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700" w:type="dxa"/>
          <w:start w:w="600" w:type="dxa"/>
          <w:bottom w:w="700" w:type="dxa"/>
          <w:end w:w="600" w:type="dxa"/>
        </w:tblCellMar>
      </w:tblPr>
      <w:tblGrid>
        <w:gridCol w:w="9026"/>
      </w:tblGrid>
      <w:tr>
        <w:trPr>
          <w:trHeight w:val="3800" w:hRule="atLeast"/>
        </w:trPr>
        <w:tc>
          <w:tcPr>
            <w:tcW w:w="9026" w:type="dxa"/>
            <w:tcBorders/>
            <w:shd w:fill="0000FF" w:val="clear"/>
          </w:tcPr>
          <w:p>
            <w:pPr>
              <w:pStyle w:val="Normal"/>
              <w:spacing w:before="0" w:after="300"/>
              <w:jc w:val="center"/>
              <w:rPr/>
            </w:pPr>
            <w:r>
              <w:rPr/>
              <w:drawing>
                <wp:inline distT="0" distB="0" distL="0" distR="0">
                  <wp:extent cx="1428750" cy="1085850"/>
                  <wp:effectExtent l="0" t="0" r="0" b="0"/>
                  <wp:docPr id="1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18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52"/>
                <w:szCs w:val="52"/>
              </w:rPr>
              <w:t>Data Masking Policy</w:t>
            </w:r>
          </w:p>
          <w:p>
            <w:pPr>
              <w:pStyle w:val="Normal"/>
              <w:spacing w:before="0" w:after="40"/>
              <w:jc w:val="center"/>
              <w:rPr/>
            </w:pPr>
            <w:r>
              <w:rPr>
                <w:rFonts w:eastAsia="Arial" w:cs="Arial"/>
                <w:color w:val="FFFFFF"/>
                <w:sz w:val="22"/>
                <w:szCs w:val="22"/>
              </w:rPr>
              <w:t>Information Security Management System</w:t>
            </w:r>
          </w:p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Arial" w:cs="Arial"/>
                <w:i/>
                <w:iCs/>
                <w:color w:val="FFFFFF"/>
                <w:sz w:val="22"/>
                <w:szCs w:val="22"/>
              </w:rPr>
              <w:t>Conversational AI. Always connected.</w:t>
            </w:r>
          </w:p>
        </w:tc>
      </w:tr>
    </w:tbl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40" w:type="dxa"/>
          <w:start w:w="200" w:type="dxa"/>
          <w:bottom w:w="140" w:type="dxa"/>
          <w:end w:w="20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ID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POL-016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VERSION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1.0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DOCUMENT TITLE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Data Masking Policy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STATUS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Approved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OWNER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Information Security Manager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APPROVER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Chief Executive Officer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ISSUE DATE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EFFECTIVE FROM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2026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NEXT REVIEW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April 2027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REVIEW CYCLE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Annual or on material change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CLASSIFICATION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Internal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DISTRIBUTION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All personnel; third parties on request</w:t>
            </w:r>
          </w:p>
        </w:tc>
      </w:tr>
      <w:tr>
        <w:trPr/>
        <w:tc>
          <w:tcPr>
            <w:tcW w:w="4513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SoA REFERENCE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ISMS-SOA-001 v4.0</w:t>
            </w:r>
          </w:p>
        </w:tc>
        <w:tc>
          <w:tcPr>
            <w:tcW w:w="4512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FFFF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Arial" w:cs="Arial"/>
                <w:b/>
                <w:bCs/>
                <w:color w:val="0000FF"/>
                <w:spacing w:val="40"/>
                <w:sz w:val="18"/>
                <w:szCs w:val="18"/>
              </w:rPr>
              <w:t>ISMS MAP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eastAsia="Arial" w:cs="Arial"/>
                <w:color w:val="1A1A1A"/>
                <w:sz w:val="22"/>
                <w:szCs w:val="22"/>
              </w:rPr>
              <w:t>ISMS-MAP-001 v1.0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Contents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1. Purpose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2. Scope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3. Definitions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4. Principles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5. Roles and Responsibilities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6. When Masking is Required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7. Masking Techniques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8. Pseudonymisation and Anonymisation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9. Use of Production Data in Non-Production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10. Synthetic Data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11. Masking in Customer Demonstrations and Support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12. Logging and Audit Considerations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13. Compliance Monitoring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14. Review and Maintenance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15. Acknowledgement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A — Annex A Controls Addressed</w:t>
      </w:r>
    </w:p>
    <w:p>
      <w:pPr>
        <w:pStyle w:val="Normal"/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Annex B — Version History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1. Purpose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defines how Cloudax Ltd. masks personal data and other sensitive information to reduce its exposure when used outside its primary processing context.</w:t>
      </w:r>
    </w:p>
    <w:p>
      <w:pPr>
        <w:pStyle w:val="Normal"/>
        <w:spacing w:before="40" w:after="120"/>
        <w:rPr/>
      </w:pPr>
      <w:r>
        <w:rPr>
          <w:rFonts w:eastAsia="Arial" w:cs="Arial"/>
          <w:b/>
          <w:bCs/>
          <w:color w:val="0000FF"/>
          <w:spacing w:val="20"/>
          <w:sz w:val="18"/>
          <w:szCs w:val="18"/>
        </w:rPr>
        <w:t xml:space="preserve">ISO 27001:2022 references: </w:t>
      </w:r>
      <w:r>
        <w:rPr>
          <w:rFonts w:eastAsia="Arial" w:cs="Arial"/>
          <w:color w:val="1A1A1A"/>
          <w:sz w:val="18"/>
          <w:szCs w:val="18"/>
        </w:rPr>
        <w:t>Linked control: A.8.11 Data masking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2. Scope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applies to all use of personal data and Confidential or Restricted information in non-production environments, support, demonstrations, training, analytics, and AI / ML training and evaluation.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3. Definitions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3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Masking: </w:t>
      </w:r>
      <w:r>
        <w:rPr>
          <w:rFonts w:eastAsia="Arial" w:cs="Arial"/>
          <w:color w:val="1A1A1A"/>
          <w:sz w:val="22"/>
          <w:szCs w:val="22"/>
        </w:rPr>
        <w:t>the process of obscuring sensitive information in data, while preserving its structure and utility for the intended purpose.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Pseudonymisation: </w:t>
      </w:r>
      <w:r>
        <w:rPr>
          <w:rFonts w:eastAsia="Arial" w:cs="Arial"/>
          <w:color w:val="1A1A1A"/>
          <w:sz w:val="22"/>
          <w:szCs w:val="22"/>
        </w:rPr>
        <w:t>the processing of personal data in such a way that it can no longer be attributed to a specific data subject without additional information held separately.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b/>
          <w:bCs/>
          <w:color w:val="1A1A1A"/>
          <w:sz w:val="22"/>
          <w:szCs w:val="22"/>
        </w:rPr>
        <w:t xml:space="preserve">Anonymisation: </w:t>
      </w:r>
      <w:r>
        <w:rPr>
          <w:rFonts w:eastAsia="Arial" w:cs="Arial"/>
          <w:color w:val="1A1A1A"/>
          <w:sz w:val="22"/>
          <w:szCs w:val="22"/>
        </w:rPr>
        <w:t>the irreversible removal of identifying information so that data subjects cannot be re-identified.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4. Principles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Use the minimum data necessary.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personal or sensitive data is not required, mask, pseudonymise, anonymise, or use synthetic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Masked data is treated according to its residual sensitivity, not the sensitivity of the unmasked source.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Re-identification of pseudonymised data requires authorisation.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5. Roles and Responsibilities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Chief Technology Officer: ensures masking is applied in development and test environments.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Privacy Lead: advises on masking adequacy in respect of personal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Information Security Manager: owns this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6. When Masking is Required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Masking, pseudonymisation, or anonymisation is required when: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Personal data is used in non-production environments.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Confidential or Restricted information is used in demonstrations or training material.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is shared with third parties for analysis or evaluation, except where the underlying contract permits unmasked use.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Data is used in AI / ML training or evaluation, except where the customer DPA permits use of unmasked data.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7. Masking Techniques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Substitution (replace values with realistic alternatives).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Redaction (remove or replace with placeholder).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Tokenisation (replace with non-sensitive token mapped to original value held separately).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Generalisation (reduce precision, e.g. age range instead of date of birth).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Hashing with appropriate salt for de-duplication while preventing reversal.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8. Pseudonymisation and Anonymisation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Pseudonymisation is used where reversibility may be required for legitimate purposes; the mapping is held with strict access controls.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Anonymisation requires assessment of re-identification risk, taking account of all reasonably available means.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Anonymised data is no longer personal data under the UK GDPR but should still be treated with care given residual disclosure risk.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9. Use of Production Data in Non-Production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Production personal data must not be used in non-production environments without masking, pseudonymisation, or anonymisation, or unless the customer contract explicitly permits unmasked use for the purpose.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Where unmasked production data is required for diagnostic purposes, it is used in time-bound, authorised access in production-equivalent environments, with logging and minimisation.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10. Synthetic Data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generation is preferred where realistic data is required without using real customer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Synthetic data must not inadvertently re-create real personal data; quality is assessed.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11. Masking in Customer Demonstrations and Support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Demonstrations use synthetic or anonymised data.</w:t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Support sessions involving customer data follow the customer’s authorisation; screen-shares of customer data are minimised.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12. Logging and Audit Considerations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Logs are masked or redacted where they would otherwise contain personal data or credentials, in line with POL-019 Logging Policy.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13. Compliance Monitoring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ListParagraph"/>
        <w:numPr>
          <w:ilvl w:val="0"/>
          <w:numId w:val="1"/>
        </w:numPr>
        <w:spacing w:lineRule="exact" w:line="280" w:before="40" w:after="40"/>
        <w:rPr/>
      </w:pPr>
      <w:r>
        <w:rPr>
          <w:rFonts w:eastAsia="Arial" w:cs="Arial"/>
          <w:color w:val="1A1A1A"/>
          <w:sz w:val="22"/>
          <w:szCs w:val="22"/>
        </w:rPr>
        <w:t>Compliance is monitored through code review, internal audit, and Privacy Lead oversight.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14. Review and Maintenance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is reviewed at least annually and on material change.</w:t>
      </w:r>
    </w:p>
    <w:p>
      <w:pPr>
        <w:pStyle w:val="Heading1"/>
        <w:spacing w:before="36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15. Acknowledgement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All personnel are required to acknowledge this Policy on commencement, on material change, and on request.</w:t>
      </w:r>
    </w:p>
    <w:p>
      <w:pPr>
        <w:pStyle w:val="Normal"/>
        <w:spacing w:before="60" w:after="6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600" w:type="dxa"/>
          <w:start w:w="0" w:type="dxa"/>
          <w:bottom w:w="40" w:type="dxa"/>
          <w:end w:w="0" w:type="dxa"/>
        </w:tblCellMar>
      </w:tblPr>
      <w:tblGrid>
        <w:gridCol w:w="4513"/>
        <w:gridCol w:w="4512"/>
      </w:tblGrid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NAME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SIGNATURE</w:t>
            </w:r>
          </w:p>
        </w:tc>
      </w:tr>
      <w:tr>
        <w:trPr/>
        <w:tc>
          <w:tcPr>
            <w:tcW w:w="4513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4512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4513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ROLE</w:t>
            </w:r>
          </w:p>
        </w:tc>
        <w:tc>
          <w:tcPr>
            <w:tcW w:w="4512" w:type="dxa"/>
            <w:tcBorders>
              <w:top w:val="single" w:sz="4" w:space="0" w:color="1A1A1A"/>
            </w:tcBorders>
            <w:tcMar>
              <w:top w:w="300" w:type="dxa"/>
              <w:start w:w="200" w:type="dxa"/>
              <w:bottom w:w="300" w:type="dxa"/>
              <w:end w:w="200" w:type="dxa"/>
            </w:tcMar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pacing w:val="40"/>
                <w:sz w:val="20"/>
                <w:szCs w:val="20"/>
              </w:rPr>
              <w:t>DATE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A — Annex A Controls Addressed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p>
      <w:pPr>
        <w:pStyle w:val="Normal"/>
        <w:spacing w:lineRule="exact" w:line="300" w:before="80" w:after="120"/>
        <w:rPr/>
      </w:pPr>
      <w:r>
        <w:rPr>
          <w:rFonts w:eastAsia="Arial" w:cs="Arial"/>
          <w:color w:val="1A1A1A"/>
          <w:sz w:val="22"/>
          <w:szCs w:val="22"/>
        </w:rPr>
        <w:t>This Policy gives effect to the following ISO/IEC 27001:2022 Annex A controls, as recorded in the Cloudax Statement of Applicability (ISMS-SOA-001 v4.0). The authoritative list of applicable controls and their justification for applicability is the SoA itself.</w:t>
      </w:r>
    </w:p>
    <w:tbl>
      <w:tblPr>
        <w:tblW w:w="9026" w:type="dxa"/>
        <w:jc w:val="start"/>
        <w:tblInd w:w="0" w:type="dxa"/>
        <w:tblLayout w:type="fixed"/>
        <w:tblCellMar>
          <w:top w:w="100" w:type="dxa"/>
          <w:start w:w="160" w:type="dxa"/>
          <w:bottom w:w="100" w:type="dxa"/>
          <w:end w:w="160" w:type="dxa"/>
        </w:tblCellMar>
      </w:tblPr>
      <w:tblGrid>
        <w:gridCol w:w="1699"/>
        <w:gridCol w:w="7326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ANNEX A REF</w:t>
            </w:r>
          </w:p>
        </w:tc>
        <w:tc>
          <w:tcPr>
            <w:tcW w:w="7326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CONTROL TITLE</w:t>
            </w:r>
          </w:p>
        </w:tc>
      </w:tr>
      <w:tr>
        <w:trPr/>
        <w:tc>
          <w:tcPr>
            <w:tcW w:w="16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A.8.11</w:t>
            </w:r>
          </w:p>
        </w:tc>
        <w:tc>
          <w:tcPr>
            <w:tcW w:w="7326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Data masking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80"/>
        <w:rPr/>
      </w:pPr>
      <w:r>
        <w:rPr>
          <w:rFonts w:eastAsia="Arial" w:cs="Arial" w:ascii="Arial" w:hAnsi="Arial"/>
          <w:b/>
          <w:bCs/>
          <w:color w:val="0000FF"/>
          <w:sz w:val="36"/>
          <w:szCs w:val="36"/>
        </w:rPr>
        <w:t>Annex B — Version History</w:t>
      </w:r>
    </w:p>
    <w:p>
      <w:pPr>
        <w:pStyle w:val="Normal"/>
        <w:pBdr>
          <w:bottom w:val="single" w:sz="12" w:space="1" w:color="0000FF"/>
        </w:pBdr>
        <w:spacing w:before="0" w:after="200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120" w:type="dxa"/>
          <w:start w:w="160" w:type="dxa"/>
          <w:bottom w:w="120" w:type="dxa"/>
          <w:end w:w="160" w:type="dxa"/>
        </w:tblCellMar>
      </w:tblPr>
      <w:tblGrid>
        <w:gridCol w:w="1299"/>
        <w:gridCol w:w="1500"/>
        <w:gridCol w:w="2201"/>
        <w:gridCol w:w="4025"/>
      </w:tblGrid>
      <w:tr>
        <w:trPr>
          <w:tblHeader w:val="true"/>
        </w:trPr>
        <w:tc>
          <w:tcPr>
            <w:tcW w:w="1299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201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4025" w:type="dxa"/>
            <w:tcBorders>
              <w:top w:val="single" w:sz="4" w:space="0" w:color="0000FF"/>
              <w:start w:val="single" w:sz="4" w:space="0" w:color="0000FF"/>
              <w:bottom w:val="single" w:sz="4" w:space="0" w:color="0000FF"/>
              <w:end w:val="single" w:sz="4" w:space="0" w:color="0000FF"/>
            </w:tcBorders>
            <w:shd w:fill="0000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18"/>
                <w:szCs w:val="18"/>
              </w:rPr>
              <w:t>SUMMARY OF CHANGES</w:t>
            </w:r>
          </w:p>
        </w:tc>
      </w:tr>
      <w:tr>
        <w:trPr/>
        <w:tc>
          <w:tcPr>
            <w:tcW w:w="1299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1.0</w:t>
            </w:r>
          </w:p>
        </w:tc>
        <w:tc>
          <w:tcPr>
            <w:tcW w:w="1500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April 2026</w:t>
            </w:r>
          </w:p>
        </w:tc>
        <w:tc>
          <w:tcPr>
            <w:tcW w:w="2201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Information Security Manager</w:t>
            </w:r>
          </w:p>
        </w:tc>
        <w:tc>
          <w:tcPr>
            <w:tcW w:w="4025" w:type="dxa"/>
            <w:tcBorders>
              <w:top w:val="single" w:sz="4" w:space="0" w:color="E0E0E0"/>
              <w:start w:val="single" w:sz="4" w:space="0" w:color="E0E0E0"/>
              <w:bottom w:val="single" w:sz="4" w:space="0" w:color="E0E0E0"/>
              <w:end w:val="single" w:sz="4" w:space="0" w:color="E0E0E0"/>
            </w:tcBorders>
            <w:shd w:fill="F0F2E5" w:val="clear"/>
          </w:tcPr>
          <w:p>
            <w:pPr>
              <w:pStyle w:val="Normal"/>
              <w:rPr/>
            </w:pPr>
            <w:r>
              <w:rPr>
                <w:rFonts w:eastAsia="Arial" w:cs="Arial"/>
                <w:color w:val="1A1A1A"/>
                <w:sz w:val="20"/>
                <w:szCs w:val="20"/>
              </w:rPr>
              <w:t>Initial issue. Aligned to ISO/IEC 27001:2022 and Cloudax Statement of Applicability v4.0. Document numbering aligned to ISMS-MAP-001 v1.0.</w:t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POL-016 Data Masking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0000FF"/>
      </w:pBdr>
      <w:tabs>
        <w:tab w:val="clear" w:pos="720"/>
        <w:tab w:val="center" w:pos="4513" w:leader="none"/>
        <w:tab w:val="right" w:pos="9026" w:leader="none"/>
      </w:tabs>
      <w:spacing w:before="0" w:after="0"/>
      <w:rPr/>
    </w:pPr>
    <w:r>
      <w:rPr>
        <w:rFonts w:eastAsia="Arial" w:cs="Arial"/>
        <w:color w:val="1A1A1A"/>
        <w:sz w:val="18"/>
        <w:szCs w:val="18"/>
      </w:rPr>
      <w:t xml:space="preserve">POL-016 Data Masking Policy  •  Internal  </w:t>
      <w:tab/>
      <w:t>v1.0  •  April 2026</w:t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  <w:r>
      <w:rPr>
        <w:rFonts w:eastAsia="Arial" w:cs="Arial"/>
        <w:color w:val="1A1A1A"/>
        <w:sz w:val="18"/>
        <w:szCs w:val="18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2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0000FF"/>
      </w:pBdr>
      <w:spacing w:before="0" w:after="80"/>
      <w:jc w:val="end"/>
      <w:rPr/>
    </w:pPr>
    <w:r>
      <w:rPr/>
      <w:drawing>
        <wp:inline distT="0" distB="0" distL="0" distR="0">
          <wp:extent cx="857250" cy="171450"/>
          <wp:effectExtent l="0" t="0" r="0" b="0"/>
          <wp:docPr id="3" name="Image2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171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•"/>
      <w:lvlJc w:val="start"/>
      <w:pPr>
        <w:tabs>
          <w:tab w:val="num" w:pos="0"/>
        </w:tabs>
        <w:ind w:start="540" w:hanging="260"/>
      </w:pPr>
      <w:rPr>
        <w:rFonts w:ascii="Arial" w:hAnsi="Arial" w:cs="Arial" w:hint="default"/>
        <w:color w:val="0000FF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260"/>
      </w:pPr>
      <w:rPr>
        <w:rFonts w:ascii="Arial" w:hAnsi="Arial" w:cs="Arial" w:hint="default"/>
        <w:color w:val="0000FF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color w:val="1A1A1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80"/>
      <w:outlineLvl w:val="0"/>
    </w:pPr>
    <w:rPr>
      <w:rFonts w:ascii="Arial" w:hAnsi="Arial" w:eastAsia="Arial" w:cs="Arial"/>
      <w:b/>
      <w:bCs/>
      <w:color w:val="0000FF"/>
      <w:sz w:val="36"/>
      <w:szCs w:val="36"/>
    </w:rPr>
  </w:style>
  <w:style w:type="paragraph" w:styleId="Heading2">
    <w:name w:val="Heading 2"/>
    <w:basedOn w:val="Heading"/>
    <w:qFormat/>
    <w:pPr>
      <w:spacing w:before="280" w:after="140"/>
      <w:outlineLvl w:val="1"/>
    </w:pPr>
    <w:rPr>
      <w:rFonts w:ascii="Arial" w:hAnsi="Arial" w:eastAsia="Arial" w:cs="Arial"/>
      <w:b/>
      <w:bCs/>
      <w:color w:val="0000FF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Arial" w:hAnsi="Arial" w:eastAsia="Arial" w:cs="Arial"/>
      <w:b/>
      <w:bCs/>
      <w:color w:val="1A1A1A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1A1A1A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1A1A1A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Microsoft Office Word</Application>
  <AppVersion>16.0000</AppVersion>
  <Company>Cloudax Ltd.</Company>
  <DocSecurity>0</DocSecurity>
  <ScaleCrop>false</ScaleCrop>
  <LinksUpToDate>false</LinksUpToDate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2026-04-20T15:18:45Z</dcterms:created>
  <dc:creator>David Stokes</dc:creator>
  <dc:description/>
  <dc:language>en-US</dc:language>
  <cp:lastModifiedBy>David Stokes</cp:lastModifiedBy>
  <dcterms:modified xsi:type="dcterms:W3CDTF">2026-04-20T16:04:45Z</dcterms:modified>
  <cp:revision>1</cp:revision>
  <dc:subject/>
  <dc:title>Cloudax Data Masking Policy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