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Information Classification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POL-004</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Classification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Classification Scheme</w:t>
      </w:r>
    </w:p>
    <w:p>
      <w:pPr>
        <w:pStyle w:val="Normal"/>
        <w:spacing w:before="40" w:after="40"/>
        <w:rPr/>
      </w:pPr>
      <w:r>
        <w:rPr>
          <w:rFonts w:eastAsia="Arial" w:cs="Arial"/>
          <w:color w:val="1A1A1A"/>
          <w:sz w:val="22"/>
          <w:szCs w:val="22"/>
        </w:rPr>
        <w:t>7. Labelling of Information</w:t>
      </w:r>
    </w:p>
    <w:p>
      <w:pPr>
        <w:pStyle w:val="Normal"/>
        <w:spacing w:before="40" w:after="40"/>
        <w:rPr/>
      </w:pPr>
      <w:r>
        <w:rPr>
          <w:rFonts w:eastAsia="Arial" w:cs="Arial"/>
          <w:color w:val="1A1A1A"/>
          <w:sz w:val="22"/>
          <w:szCs w:val="22"/>
        </w:rPr>
        <w:t>8. Reclassification</w:t>
      </w:r>
    </w:p>
    <w:p>
      <w:pPr>
        <w:pStyle w:val="Normal"/>
        <w:spacing w:before="40" w:after="40"/>
        <w:rPr/>
      </w:pPr>
      <w:r>
        <w:rPr>
          <w:rFonts w:eastAsia="Arial" w:cs="Arial"/>
          <w:color w:val="1A1A1A"/>
          <w:sz w:val="22"/>
          <w:szCs w:val="22"/>
        </w:rPr>
        <w:t>9. Customer Data and Voice/Transcript Data</w:t>
      </w:r>
    </w:p>
    <w:p>
      <w:pPr>
        <w:pStyle w:val="Normal"/>
        <w:spacing w:before="40" w:after="40"/>
        <w:rPr/>
      </w:pPr>
      <w:r>
        <w:rPr>
          <w:rFonts w:eastAsia="Arial" w:cs="Arial"/>
          <w:color w:val="1A1A1A"/>
          <w:sz w:val="22"/>
          <w:szCs w:val="22"/>
        </w:rPr>
        <w:t>10. Handling Requirements by Classification</w:t>
      </w:r>
    </w:p>
    <w:p>
      <w:pPr>
        <w:pStyle w:val="Normal"/>
        <w:spacing w:before="40" w:after="40"/>
        <w:rPr/>
      </w:pPr>
      <w:r>
        <w:rPr>
          <w:rFonts w:eastAsia="Arial" w:cs="Arial"/>
          <w:color w:val="1A1A1A"/>
          <w:sz w:val="22"/>
          <w:szCs w:val="22"/>
        </w:rPr>
        <w:t>11. Information Sharing and Transfer</w:t>
      </w:r>
    </w:p>
    <w:p>
      <w:pPr>
        <w:pStyle w:val="Normal"/>
        <w:spacing w:before="40" w:after="40"/>
        <w:rPr/>
      </w:pPr>
      <w:r>
        <w:rPr>
          <w:rFonts w:eastAsia="Arial" w:cs="Arial"/>
          <w:color w:val="1A1A1A"/>
          <w:sz w:val="22"/>
          <w:szCs w:val="22"/>
        </w:rPr>
        <w:t>12. Storage, Retention, and Disposal</w:t>
      </w:r>
    </w:p>
    <w:p>
      <w:pPr>
        <w:pStyle w:val="Normal"/>
        <w:spacing w:before="40" w:after="40"/>
        <w:rPr/>
      </w:pPr>
      <w:r>
        <w:rPr>
          <w:rFonts w:eastAsia="Arial" w:cs="Arial"/>
          <w:color w:val="1A1A1A"/>
          <w:sz w:val="22"/>
          <w:szCs w:val="22"/>
        </w:rPr>
        <w:t>13. Compliance Monitoring</w:t>
      </w:r>
    </w:p>
    <w:p>
      <w:pPr>
        <w:pStyle w:val="Normal"/>
        <w:spacing w:before="40" w:after="40"/>
        <w:rPr/>
      </w:pPr>
      <w:r>
        <w:rPr>
          <w:rFonts w:eastAsia="Arial" w:cs="Arial"/>
          <w:color w:val="1A1A1A"/>
          <w:sz w:val="22"/>
          <w:szCs w:val="22"/>
        </w:rPr>
        <w:t>14. Review and Maintenance</w:t>
      </w:r>
    </w:p>
    <w:p>
      <w:pPr>
        <w:pStyle w:val="Normal"/>
        <w:spacing w:before="40" w:after="40"/>
        <w:rPr/>
      </w:pPr>
      <w:r>
        <w:rPr>
          <w:rFonts w:eastAsia="Arial" w:cs="Arial"/>
          <w:color w:val="1A1A1A"/>
          <w:sz w:val="22"/>
          <w:szCs w:val="22"/>
        </w:rPr>
        <w:t>15.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Information Classification Policy defines how Cloudax Ltd. classifies and labels information so that it receives a level of protection proportionate to its sensitivity, value, and the consequence of unauthorised disclosure or modification.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A.5.12 Classification of information; A.5.13 Labelling of information</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information created, received, held, or processed by Cloudax in any form (electronic, paper, verbal, or recorded), and to all personnel and third parties handling Cloudax information.</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Classification: </w:t>
      </w:r>
      <w:r>
        <w:rPr>
          <w:rFonts w:eastAsia="Arial" w:cs="Arial"/>
          <w:color w:val="1A1A1A"/>
          <w:sz w:val="22"/>
          <w:szCs w:val="22"/>
        </w:rPr>
        <w:t>the assignment of an information asset to a defined level based on its sensitivity and value.</w:t>
      </w:r>
    </w:p>
    <w:p>
      <w:pPr>
        <w:pStyle w:val="ListParagraph"/>
        <w:numPr>
          <w:ilvl w:val="0"/>
          <w:numId w:val="1"/>
        </w:numPr>
        <w:spacing w:lineRule="exact" w:line="280" w:before="40" w:after="40"/>
        <w:rPr/>
      </w:pPr>
      <w:r>
        <w:rPr>
          <w:rFonts w:eastAsia="Arial" w:cs="Arial"/>
          <w:b/>
          <w:bCs/>
          <w:color w:val="1A1A1A"/>
          <w:sz w:val="22"/>
          <w:szCs w:val="22"/>
        </w:rPr>
        <w:t xml:space="preserve">Labelling: </w:t>
      </w:r>
      <w:r>
        <w:rPr>
          <w:rFonts w:eastAsia="Arial" w:cs="Arial"/>
          <w:color w:val="1A1A1A"/>
          <w:sz w:val="22"/>
          <w:szCs w:val="22"/>
        </w:rPr>
        <w:t>the application of an indicator (visual or metadata) of the classification level to an information asset.</w:t>
      </w:r>
    </w:p>
    <w:p>
      <w:pPr>
        <w:pStyle w:val="ListParagraph"/>
        <w:numPr>
          <w:ilvl w:val="0"/>
          <w:numId w:val="1"/>
        </w:numPr>
        <w:spacing w:lineRule="exact" w:line="280" w:before="40" w:after="40"/>
        <w:rPr/>
      </w:pPr>
      <w:r>
        <w:rPr>
          <w:rFonts w:eastAsia="Arial" w:cs="Arial"/>
          <w:b/>
          <w:bCs/>
          <w:color w:val="1A1A1A"/>
          <w:sz w:val="22"/>
          <w:szCs w:val="22"/>
        </w:rPr>
        <w:t xml:space="preserve">Information owner: </w:t>
      </w:r>
      <w:r>
        <w:rPr>
          <w:rFonts w:eastAsia="Arial" w:cs="Arial"/>
          <w:color w:val="1A1A1A"/>
          <w:sz w:val="22"/>
          <w:szCs w:val="22"/>
        </w:rPr>
        <w:t>the person accountable for the protection of a particular information asset.</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information asset has an owner and a classification.</w:t>
      </w:r>
    </w:p>
    <w:p>
      <w:pPr>
        <w:pStyle w:val="ListParagraph"/>
        <w:numPr>
          <w:ilvl w:val="0"/>
          <w:numId w:val="1"/>
        </w:numPr>
        <w:spacing w:lineRule="exact" w:line="280" w:before="40" w:after="40"/>
        <w:rPr/>
      </w:pPr>
      <w:r>
        <w:rPr>
          <w:rFonts w:eastAsia="Arial" w:cs="Arial"/>
          <w:color w:val="1A1A1A"/>
          <w:sz w:val="22"/>
          <w:szCs w:val="22"/>
        </w:rPr>
        <w:t>Classification reflects the highest sensitivity of the information contained, considering legal, contractual, and business factors.</w:t>
      </w:r>
    </w:p>
    <w:p>
      <w:pPr>
        <w:pStyle w:val="ListParagraph"/>
        <w:numPr>
          <w:ilvl w:val="0"/>
          <w:numId w:val="1"/>
        </w:numPr>
        <w:spacing w:lineRule="exact" w:line="280" w:before="40" w:after="40"/>
        <w:rPr/>
      </w:pPr>
      <w:r>
        <w:rPr>
          <w:rFonts w:eastAsia="Arial" w:cs="Arial"/>
          <w:color w:val="1A1A1A"/>
          <w:sz w:val="22"/>
          <w:szCs w:val="22"/>
        </w:rPr>
        <w:t>When in doubt, classify higher; reclassify down once confirmed.</w:t>
      </w:r>
    </w:p>
    <w:p>
      <w:pPr>
        <w:pStyle w:val="ListParagraph"/>
        <w:numPr>
          <w:ilvl w:val="0"/>
          <w:numId w:val="1"/>
        </w:numPr>
        <w:spacing w:lineRule="exact" w:line="280" w:before="40" w:after="40"/>
        <w:rPr/>
      </w:pPr>
      <w:r>
        <w:rPr>
          <w:rFonts w:eastAsia="Arial" w:cs="Arial"/>
          <w:color w:val="1A1A1A"/>
          <w:sz w:val="22"/>
          <w:szCs w:val="22"/>
        </w:rPr>
        <w:t>Handling rules follow classification automatically; unclassified material defaults to Internal.</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Information owners: </w:t>
      </w:r>
      <w:r>
        <w:rPr>
          <w:rFonts w:eastAsia="Arial" w:cs="Arial"/>
          <w:color w:val="1A1A1A"/>
          <w:sz w:val="22"/>
          <w:szCs w:val="22"/>
        </w:rPr>
        <w:t>classify the information they create or hold; review classification on change.</w:t>
      </w:r>
    </w:p>
    <w:p>
      <w:pPr>
        <w:pStyle w:val="ListParagraph"/>
        <w:numPr>
          <w:ilvl w:val="0"/>
          <w:numId w:val="1"/>
        </w:numPr>
        <w:spacing w:lineRule="exact" w:line="280" w:before="40" w:after="40"/>
        <w:rPr/>
      </w:pPr>
      <w:r>
        <w:rPr>
          <w:rFonts w:eastAsia="Arial" w:cs="Arial"/>
          <w:b/>
          <w:bCs/>
          <w:color w:val="1A1A1A"/>
          <w:sz w:val="22"/>
          <w:szCs w:val="22"/>
        </w:rPr>
        <w:t xml:space="preserve">Information Security Manager: </w:t>
      </w:r>
      <w:r>
        <w:rPr>
          <w:rFonts w:eastAsia="Arial" w:cs="Arial"/>
          <w:color w:val="1A1A1A"/>
          <w:sz w:val="22"/>
          <w:szCs w:val="22"/>
        </w:rPr>
        <w:t>owns this Policy; provides guidance and dispute resolution.</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apply classifications and handling rules; treat unmarked material as Internal until confirmed.</w:t>
      </w:r>
    </w:p>
    <w:p>
      <w:pPr>
        <w:pStyle w:val="Heading1"/>
        <w:spacing w:before="360" w:after="180"/>
        <w:rPr/>
      </w:pPr>
      <w:r>
        <w:rPr>
          <w:rFonts w:eastAsia="Arial" w:cs="Arial" w:ascii="Arial" w:hAnsi="Arial"/>
          <w:b/>
          <w:bCs/>
          <w:color w:val="0000FF"/>
          <w:sz w:val="36"/>
          <w:szCs w:val="36"/>
        </w:rPr>
        <w:t>6. Classification Scheme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a four-level classification scheme:</w:t>
      </w:r>
    </w:p>
    <w:p>
      <w:pPr>
        <w:pStyle w:val="ListParagraph"/>
        <w:numPr>
          <w:ilvl w:val="0"/>
          <w:numId w:val="1"/>
        </w:numPr>
        <w:spacing w:lineRule="exact" w:line="280" w:before="40" w:after="40"/>
        <w:rPr/>
      </w:pPr>
      <w:r>
        <w:rPr>
          <w:rFonts w:eastAsia="Arial" w:cs="Arial"/>
          <w:b/>
          <w:bCs/>
          <w:color w:val="1A1A1A"/>
          <w:sz w:val="22"/>
          <w:szCs w:val="22"/>
        </w:rPr>
        <w:t xml:space="preserve">Public — </w:t>
      </w:r>
      <w:r>
        <w:rPr>
          <w:rFonts w:eastAsia="Arial" w:cs="Arial"/>
          <w:color w:val="1A1A1A"/>
          <w:sz w:val="22"/>
          <w:szCs w:val="22"/>
        </w:rPr>
        <w:t>information approved for unrestricted disclosure (published marketing content, public website, press releases).</w:t>
      </w:r>
    </w:p>
    <w:p>
      <w:pPr>
        <w:pStyle w:val="ListParagraph"/>
        <w:numPr>
          <w:ilvl w:val="0"/>
          <w:numId w:val="1"/>
        </w:numPr>
        <w:spacing w:lineRule="exact" w:line="280" w:before="40" w:after="40"/>
        <w:rPr/>
      </w:pPr>
      <w:r>
        <w:rPr>
          <w:rFonts w:eastAsia="Arial" w:cs="Arial"/>
          <w:b/>
          <w:bCs/>
          <w:color w:val="1A1A1A"/>
          <w:sz w:val="22"/>
          <w:szCs w:val="22"/>
        </w:rPr>
        <w:t xml:space="preserve">Internal — </w:t>
      </w:r>
      <w:r>
        <w:rPr>
          <w:rFonts w:eastAsia="Arial" w:cs="Arial"/>
          <w:color w:val="1A1A1A"/>
          <w:sz w:val="22"/>
          <w:szCs w:val="22"/>
        </w:rPr>
        <w:t>information intended for use within Cloudax and authorised third parties (internal announcements, general policies, non-sensitive project information).</w:t>
      </w:r>
    </w:p>
    <w:p>
      <w:pPr>
        <w:pStyle w:val="ListParagraph"/>
        <w:numPr>
          <w:ilvl w:val="0"/>
          <w:numId w:val="1"/>
        </w:numPr>
        <w:spacing w:lineRule="exact" w:line="280" w:before="40" w:after="40"/>
        <w:rPr/>
      </w:pPr>
      <w:r>
        <w:rPr>
          <w:rFonts w:eastAsia="Arial" w:cs="Arial"/>
          <w:b/>
          <w:bCs/>
          <w:color w:val="1A1A1A"/>
          <w:sz w:val="22"/>
          <w:szCs w:val="22"/>
        </w:rPr>
        <w:t xml:space="preserve">Confidential — </w:t>
      </w:r>
      <w:r>
        <w:rPr>
          <w:rFonts w:eastAsia="Arial" w:cs="Arial"/>
          <w:color w:val="1A1A1A"/>
          <w:sz w:val="22"/>
          <w:szCs w:val="22"/>
        </w:rPr>
        <w:t>unauthorised disclosure would cause material harm (customer contracts, commercial terms, non-public roadmap, most customer data).</w:t>
      </w:r>
    </w:p>
    <w:p>
      <w:pPr>
        <w:pStyle w:val="ListParagraph"/>
        <w:numPr>
          <w:ilvl w:val="0"/>
          <w:numId w:val="1"/>
        </w:numPr>
        <w:spacing w:lineRule="exact" w:line="280" w:before="40" w:after="40"/>
        <w:rPr/>
      </w:pPr>
      <w:r>
        <w:rPr>
          <w:rFonts w:eastAsia="Arial" w:cs="Arial"/>
          <w:b/>
          <w:bCs/>
          <w:color w:val="1A1A1A"/>
          <w:sz w:val="22"/>
          <w:szCs w:val="22"/>
        </w:rPr>
        <w:t xml:space="preserve">Restricted — </w:t>
      </w:r>
      <w:r>
        <w:rPr>
          <w:rFonts w:eastAsia="Arial" w:cs="Arial"/>
          <w:color w:val="1A1A1A"/>
          <w:sz w:val="22"/>
          <w:szCs w:val="22"/>
        </w:rPr>
        <w:t>unauthorised disclosure would cause serious harm; strictly limited distribution (credentials, encryption keys, production call recordings, sensitive personal data, security incident details).</w:t>
      </w:r>
    </w:p>
    <w:p>
      <w:pPr>
        <w:pStyle w:val="Heading1"/>
        <w:spacing w:before="360" w:after="180"/>
        <w:rPr/>
      </w:pPr>
      <w:r>
        <w:rPr>
          <w:rFonts w:eastAsia="Arial" w:cs="Arial" w:ascii="Arial" w:hAnsi="Arial"/>
          <w:b/>
          <w:bCs/>
          <w:color w:val="0000FF"/>
          <w:sz w:val="36"/>
          <w:szCs w:val="36"/>
        </w:rPr>
        <w:t>7. Labelling of Information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Documents and presentations include the classification in the footer or document control block.</w:t>
      </w:r>
    </w:p>
    <w:p>
      <w:pPr>
        <w:pStyle w:val="ListParagraph"/>
        <w:numPr>
          <w:ilvl w:val="0"/>
          <w:numId w:val="1"/>
        </w:numPr>
        <w:spacing w:lineRule="exact" w:line="280" w:before="40" w:after="40"/>
        <w:rPr/>
      </w:pPr>
      <w:r>
        <w:rPr>
          <w:rFonts w:eastAsia="Arial" w:cs="Arial"/>
          <w:color w:val="1A1A1A"/>
          <w:sz w:val="22"/>
          <w:szCs w:val="22"/>
        </w:rPr>
        <w:t>Emails containing Confidential or Restricted information include the classification in the subject line or first line.</w:t>
      </w:r>
    </w:p>
    <w:p>
      <w:pPr>
        <w:pStyle w:val="ListParagraph"/>
        <w:numPr>
          <w:ilvl w:val="0"/>
          <w:numId w:val="1"/>
        </w:numPr>
        <w:spacing w:lineRule="exact" w:line="280" w:before="40" w:after="40"/>
        <w:rPr/>
      </w:pPr>
      <w:r>
        <w:rPr>
          <w:rFonts w:eastAsia="Arial" w:cs="Arial"/>
          <w:color w:val="1A1A1A"/>
          <w:sz w:val="22"/>
          <w:szCs w:val="22"/>
        </w:rPr>
        <w:t>Files containing Confidential or Restricted information are stored in approved repositories with appropriate access controls.</w:t>
      </w:r>
    </w:p>
    <w:p>
      <w:pPr>
        <w:pStyle w:val="ListParagraph"/>
        <w:numPr>
          <w:ilvl w:val="0"/>
          <w:numId w:val="1"/>
        </w:numPr>
        <w:spacing w:lineRule="exact" w:line="280" w:before="40" w:after="40"/>
        <w:rPr/>
      </w:pPr>
      <w:r>
        <w:rPr>
          <w:rFonts w:eastAsia="Arial" w:cs="Arial"/>
          <w:color w:val="1A1A1A"/>
          <w:sz w:val="22"/>
          <w:szCs w:val="22"/>
        </w:rPr>
        <w:t>Where automated labelling tools are deployed (e.g. Microsoft Purview), labels are applied consistently.</w:t>
      </w:r>
    </w:p>
    <w:p>
      <w:pPr>
        <w:pStyle w:val="ListParagraph"/>
        <w:numPr>
          <w:ilvl w:val="0"/>
          <w:numId w:val="1"/>
        </w:numPr>
        <w:spacing w:lineRule="exact" w:line="280" w:before="40" w:after="40"/>
        <w:rPr/>
      </w:pPr>
      <w:r>
        <w:rPr>
          <w:rFonts w:eastAsia="Arial" w:cs="Arial"/>
          <w:color w:val="1A1A1A"/>
          <w:sz w:val="22"/>
          <w:szCs w:val="22"/>
        </w:rPr>
        <w:t>Public information may be labelled or unlabelled at the discretion of the publisher.</w:t>
      </w:r>
    </w:p>
    <w:p>
      <w:pPr>
        <w:pStyle w:val="Heading1"/>
        <w:spacing w:before="360" w:after="180"/>
        <w:rPr/>
      </w:pPr>
      <w:r>
        <w:rPr>
          <w:rFonts w:eastAsia="Arial" w:cs="Arial" w:ascii="Arial" w:hAnsi="Arial"/>
          <w:b/>
          <w:bCs/>
          <w:color w:val="0000FF"/>
          <w:sz w:val="36"/>
          <w:szCs w:val="36"/>
        </w:rPr>
        <w:t>8. Reclassification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Classification is reviewed when:</w:t>
      </w:r>
    </w:p>
    <w:p>
      <w:pPr>
        <w:pStyle w:val="ListParagraph"/>
        <w:numPr>
          <w:ilvl w:val="0"/>
          <w:numId w:val="1"/>
        </w:numPr>
        <w:spacing w:lineRule="exact" w:line="280" w:before="40" w:after="40"/>
        <w:rPr/>
      </w:pPr>
      <w:r>
        <w:rPr>
          <w:rFonts w:eastAsia="Arial" w:cs="Arial"/>
          <w:color w:val="1A1A1A"/>
          <w:sz w:val="22"/>
          <w:szCs w:val="22"/>
        </w:rPr>
        <w:t>The information undergoes material change.</w:t>
      </w:r>
    </w:p>
    <w:p>
      <w:pPr>
        <w:pStyle w:val="ListParagraph"/>
        <w:numPr>
          <w:ilvl w:val="0"/>
          <w:numId w:val="1"/>
        </w:numPr>
        <w:spacing w:lineRule="exact" w:line="280" w:before="40" w:after="40"/>
        <w:rPr/>
      </w:pPr>
      <w:r>
        <w:rPr>
          <w:rFonts w:eastAsia="Arial" w:cs="Arial"/>
          <w:color w:val="1A1A1A"/>
          <w:sz w:val="22"/>
          <w:szCs w:val="22"/>
        </w:rPr>
        <w:t>The information is published, made public, or formally shared with third parties.</w:t>
      </w:r>
    </w:p>
    <w:p>
      <w:pPr>
        <w:pStyle w:val="ListParagraph"/>
        <w:numPr>
          <w:ilvl w:val="0"/>
          <w:numId w:val="1"/>
        </w:numPr>
        <w:spacing w:lineRule="exact" w:line="280" w:before="40" w:after="40"/>
        <w:rPr/>
      </w:pPr>
      <w:r>
        <w:rPr>
          <w:rFonts w:eastAsia="Arial" w:cs="Arial"/>
          <w:color w:val="1A1A1A"/>
          <w:sz w:val="22"/>
          <w:szCs w:val="22"/>
        </w:rPr>
        <w:t>Retention triggers require it (e.g. expiry of commercial sensitivity).</w:t>
      </w:r>
    </w:p>
    <w:p>
      <w:pPr>
        <w:pStyle w:val="ListParagraph"/>
        <w:numPr>
          <w:ilvl w:val="0"/>
          <w:numId w:val="1"/>
        </w:numPr>
        <w:spacing w:lineRule="exact" w:line="280" w:before="40" w:after="40"/>
        <w:rPr/>
      </w:pPr>
      <w:r>
        <w:rPr>
          <w:rFonts w:eastAsia="Arial" w:cs="Arial"/>
          <w:color w:val="1A1A1A"/>
          <w:sz w:val="22"/>
          <w:szCs w:val="22"/>
        </w:rPr>
        <w:t>An incident or audit indicates the classification is incorrect.</w:t>
      </w:r>
    </w:p>
    <w:p>
      <w:pPr>
        <w:pStyle w:val="Heading1"/>
        <w:spacing w:before="360" w:after="180"/>
        <w:rPr/>
      </w:pPr>
      <w:r>
        <w:rPr>
          <w:rFonts w:eastAsia="Arial" w:cs="Arial" w:ascii="Arial" w:hAnsi="Arial"/>
          <w:b/>
          <w:bCs/>
          <w:color w:val="0000FF"/>
          <w:sz w:val="36"/>
          <w:szCs w:val="36"/>
        </w:rPr>
        <w:t>9. Customer Data and Voice/Transcript Data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As a conversational AI provider, Cloudax processes customer voice recordings, transcripts, and derived metadata. These are classified as follows:</w:t>
      </w:r>
    </w:p>
    <w:p>
      <w:pPr>
        <w:pStyle w:val="ListParagraph"/>
        <w:numPr>
          <w:ilvl w:val="0"/>
          <w:numId w:val="1"/>
        </w:numPr>
        <w:spacing w:lineRule="exact" w:line="280" w:before="40" w:after="40"/>
        <w:rPr/>
      </w:pPr>
      <w:r>
        <w:rPr>
          <w:rFonts w:eastAsia="Arial" w:cs="Arial"/>
          <w:color w:val="1A1A1A"/>
          <w:sz w:val="22"/>
          <w:szCs w:val="22"/>
        </w:rPr>
        <w:t>Customer voice recordings, transcripts, and call metadata: Restricted (where they may contain personal data) or Confidential (anonymised or aggregated).</w:t>
      </w:r>
    </w:p>
    <w:p>
      <w:pPr>
        <w:pStyle w:val="ListParagraph"/>
        <w:numPr>
          <w:ilvl w:val="0"/>
          <w:numId w:val="1"/>
        </w:numPr>
        <w:spacing w:lineRule="exact" w:line="280" w:before="40" w:after="40"/>
        <w:rPr/>
      </w:pPr>
      <w:r>
        <w:rPr>
          <w:rFonts w:eastAsia="Arial" w:cs="Arial"/>
          <w:color w:val="1A1A1A"/>
          <w:sz w:val="22"/>
          <w:szCs w:val="22"/>
        </w:rPr>
        <w:t>Customer configuration, integrations, and prompt content: Confidential.</w:t>
      </w:r>
    </w:p>
    <w:p>
      <w:pPr>
        <w:pStyle w:val="ListParagraph"/>
        <w:numPr>
          <w:ilvl w:val="0"/>
          <w:numId w:val="1"/>
        </w:numPr>
        <w:spacing w:lineRule="exact" w:line="280" w:before="40" w:after="40"/>
        <w:rPr/>
      </w:pPr>
      <w:r>
        <w:rPr>
          <w:rFonts w:eastAsia="Arial" w:cs="Arial"/>
          <w:color w:val="1A1A1A"/>
          <w:sz w:val="22"/>
          <w:szCs w:val="22"/>
        </w:rPr>
        <w:t>Customer-derived analytics and aggregated insights: Confidential, reclassified to Internal once aggregated and anonymised in accordance with the Data Anonymisation Procedure.</w:t>
      </w:r>
    </w:p>
    <w:p>
      <w:pPr>
        <w:pStyle w:val="ListParagraph"/>
        <w:numPr>
          <w:ilvl w:val="0"/>
          <w:numId w:val="1"/>
        </w:numPr>
        <w:spacing w:lineRule="exact" w:line="280" w:before="40" w:after="40"/>
        <w:rPr/>
      </w:pPr>
      <w:r>
        <w:rPr>
          <w:rFonts w:eastAsia="Arial" w:cs="Arial"/>
          <w:color w:val="1A1A1A"/>
          <w:sz w:val="22"/>
          <w:szCs w:val="22"/>
        </w:rPr>
        <w:t>Test data must not be created or used in violation of POL-024 Secure Development Lifecycle Policy.</w:t>
      </w:r>
    </w:p>
    <w:p>
      <w:pPr>
        <w:pStyle w:val="Heading1"/>
        <w:spacing w:before="360" w:after="180"/>
        <w:rPr/>
      </w:pPr>
      <w:r>
        <w:rPr>
          <w:rFonts w:eastAsia="Arial" w:cs="Arial" w:ascii="Arial" w:hAnsi="Arial"/>
          <w:b/>
          <w:bCs/>
          <w:color w:val="0000FF"/>
          <w:sz w:val="36"/>
          <w:szCs w:val="36"/>
        </w:rPr>
        <w:t>10. Handling Requirements by Classification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classification carries handling requirements covering storage, transmission, access, sharing, retention, and disposal. Detailed handling rules by classification are set out in PRO-008 Information Handling Procedure. Summary requirements include:</w:t>
      </w:r>
    </w:p>
    <w:p>
      <w:pPr>
        <w:pStyle w:val="Heading2"/>
        <w:spacing w:before="280" w:after="140"/>
        <w:rPr/>
      </w:pPr>
      <w:r>
        <w:rPr>
          <w:rFonts w:eastAsia="Arial" w:cs="Arial" w:ascii="Arial" w:hAnsi="Arial"/>
          <w:b/>
          <w:bCs/>
          <w:color w:val="0000FF"/>
          <w:sz w:val="28"/>
          <w:szCs w:val="28"/>
        </w:rPr>
        <w:t>Public</w:t>
      </w:r>
    </w:p>
    <w:p>
      <w:pPr>
        <w:pStyle w:val="ListParagraph"/>
        <w:numPr>
          <w:ilvl w:val="0"/>
          <w:numId w:val="1"/>
        </w:numPr>
        <w:spacing w:lineRule="exact" w:line="280" w:before="40" w:after="40"/>
        <w:rPr/>
      </w:pPr>
      <w:r>
        <w:rPr>
          <w:rFonts w:eastAsia="Arial" w:cs="Arial"/>
          <w:color w:val="1A1A1A"/>
          <w:sz w:val="22"/>
          <w:szCs w:val="22"/>
        </w:rPr>
        <w:t>No restrictions on storage or transmission.</w:t>
      </w:r>
    </w:p>
    <w:p>
      <w:pPr>
        <w:pStyle w:val="Heading2"/>
        <w:spacing w:before="280" w:after="140"/>
        <w:rPr/>
      </w:pPr>
      <w:r>
        <w:rPr>
          <w:rFonts w:eastAsia="Arial" w:cs="Arial" w:ascii="Arial" w:hAnsi="Arial"/>
          <w:b/>
          <w:bCs/>
          <w:color w:val="0000FF"/>
          <w:sz w:val="28"/>
          <w:szCs w:val="28"/>
        </w:rPr>
        <w:t>Internal</w:t>
      </w:r>
    </w:p>
    <w:p>
      <w:pPr>
        <w:pStyle w:val="ListParagraph"/>
        <w:numPr>
          <w:ilvl w:val="0"/>
          <w:numId w:val="1"/>
        </w:numPr>
        <w:spacing w:lineRule="exact" w:line="280" w:before="40" w:after="40"/>
        <w:rPr/>
      </w:pPr>
      <w:r>
        <w:rPr>
          <w:rFonts w:eastAsia="Arial" w:cs="Arial"/>
          <w:color w:val="1A1A1A"/>
          <w:sz w:val="22"/>
          <w:szCs w:val="22"/>
        </w:rPr>
        <w:t>Stored on Cloudax-approved systems; not shared externally without business reason.</w:t>
      </w:r>
    </w:p>
    <w:p>
      <w:pPr>
        <w:pStyle w:val="Heading2"/>
        <w:spacing w:before="280" w:after="140"/>
        <w:rPr/>
      </w:pPr>
      <w:r>
        <w:rPr>
          <w:rFonts w:eastAsia="Arial" w:cs="Arial" w:ascii="Arial" w:hAnsi="Arial"/>
          <w:b/>
          <w:bCs/>
          <w:color w:val="0000FF"/>
          <w:sz w:val="28"/>
          <w:szCs w:val="28"/>
        </w:rPr>
        <w:t>Confidential</w:t>
      </w:r>
    </w:p>
    <w:p>
      <w:pPr>
        <w:pStyle w:val="ListParagraph"/>
        <w:numPr>
          <w:ilvl w:val="0"/>
          <w:numId w:val="1"/>
        </w:numPr>
        <w:spacing w:lineRule="exact" w:line="280" w:before="40" w:after="40"/>
        <w:rPr/>
      </w:pPr>
      <w:r>
        <w:rPr>
          <w:rFonts w:eastAsia="Arial" w:cs="Arial"/>
          <w:color w:val="1A1A1A"/>
          <w:sz w:val="22"/>
          <w:szCs w:val="22"/>
        </w:rPr>
        <w:t>Stored on Cloudax-approved systems with access controls.</w:t>
      </w:r>
    </w:p>
    <w:p>
      <w:pPr>
        <w:pStyle w:val="ListParagraph"/>
        <w:numPr>
          <w:ilvl w:val="0"/>
          <w:numId w:val="1"/>
        </w:numPr>
        <w:spacing w:lineRule="exact" w:line="280" w:before="40" w:after="40"/>
        <w:rPr/>
      </w:pPr>
      <w:r>
        <w:rPr>
          <w:rFonts w:eastAsia="Arial" w:cs="Arial"/>
          <w:color w:val="1A1A1A"/>
          <w:sz w:val="22"/>
          <w:szCs w:val="22"/>
        </w:rPr>
        <w:t>Transmitted using encryption in transit (TLS 1.2+).</w:t>
      </w:r>
    </w:p>
    <w:p>
      <w:pPr>
        <w:pStyle w:val="ListParagraph"/>
        <w:numPr>
          <w:ilvl w:val="0"/>
          <w:numId w:val="1"/>
        </w:numPr>
        <w:spacing w:lineRule="exact" w:line="280" w:before="40" w:after="40"/>
        <w:rPr/>
      </w:pPr>
      <w:r>
        <w:rPr>
          <w:rFonts w:eastAsia="Arial" w:cs="Arial"/>
          <w:color w:val="1A1A1A"/>
          <w:sz w:val="22"/>
          <w:szCs w:val="22"/>
        </w:rPr>
        <w:t>Shared externally only under contractual confidentiality.</w:t>
      </w:r>
    </w:p>
    <w:p>
      <w:pPr>
        <w:pStyle w:val="ListParagraph"/>
        <w:numPr>
          <w:ilvl w:val="0"/>
          <w:numId w:val="1"/>
        </w:numPr>
        <w:spacing w:lineRule="exact" w:line="280" w:before="40" w:after="40"/>
        <w:rPr/>
      </w:pPr>
      <w:r>
        <w:rPr>
          <w:rFonts w:eastAsia="Arial" w:cs="Arial"/>
          <w:color w:val="1A1A1A"/>
          <w:sz w:val="22"/>
          <w:szCs w:val="22"/>
        </w:rPr>
        <w:t>Not stored on personal devices or accounts.</w:t>
      </w:r>
    </w:p>
    <w:p>
      <w:pPr>
        <w:pStyle w:val="Heading2"/>
        <w:spacing w:before="280" w:after="140"/>
        <w:rPr/>
      </w:pPr>
      <w:r>
        <w:rPr>
          <w:rFonts w:eastAsia="Arial" w:cs="Arial" w:ascii="Arial" w:hAnsi="Arial"/>
          <w:b/>
          <w:bCs/>
          <w:color w:val="0000FF"/>
          <w:sz w:val="28"/>
          <w:szCs w:val="28"/>
        </w:rPr>
        <w:t>Restricted</w:t>
      </w:r>
    </w:p>
    <w:p>
      <w:pPr>
        <w:pStyle w:val="ListParagraph"/>
        <w:numPr>
          <w:ilvl w:val="0"/>
          <w:numId w:val="1"/>
        </w:numPr>
        <w:spacing w:lineRule="exact" w:line="280" w:before="40" w:after="40"/>
        <w:rPr/>
      </w:pPr>
      <w:r>
        <w:rPr>
          <w:rFonts w:eastAsia="Arial" w:cs="Arial"/>
          <w:color w:val="1A1A1A"/>
          <w:sz w:val="22"/>
          <w:szCs w:val="22"/>
        </w:rPr>
        <w:t>Stored only on Cloudax-approved systems with strict access controls and logging.</w:t>
      </w:r>
    </w:p>
    <w:p>
      <w:pPr>
        <w:pStyle w:val="ListParagraph"/>
        <w:numPr>
          <w:ilvl w:val="0"/>
          <w:numId w:val="1"/>
        </w:numPr>
        <w:spacing w:lineRule="exact" w:line="280" w:before="40" w:after="40"/>
        <w:rPr/>
      </w:pPr>
      <w:r>
        <w:rPr>
          <w:rFonts w:eastAsia="Arial" w:cs="Arial"/>
          <w:color w:val="1A1A1A"/>
          <w:sz w:val="22"/>
          <w:szCs w:val="22"/>
        </w:rPr>
        <w:t>Encrypted at rest and in transit using approved cryptography (POL-023).</w:t>
      </w:r>
    </w:p>
    <w:p>
      <w:pPr>
        <w:pStyle w:val="ListParagraph"/>
        <w:numPr>
          <w:ilvl w:val="0"/>
          <w:numId w:val="1"/>
        </w:numPr>
        <w:spacing w:lineRule="exact" w:line="280" w:before="40" w:after="40"/>
        <w:rPr/>
      </w:pPr>
      <w:r>
        <w:rPr>
          <w:rFonts w:eastAsia="Arial" w:cs="Arial"/>
          <w:color w:val="1A1A1A"/>
          <w:sz w:val="22"/>
          <w:szCs w:val="22"/>
        </w:rPr>
        <w:t>Shared externally only with explicit authorisation and contractual safeguards.</w:t>
      </w:r>
    </w:p>
    <w:p>
      <w:pPr>
        <w:pStyle w:val="ListParagraph"/>
        <w:numPr>
          <w:ilvl w:val="0"/>
          <w:numId w:val="1"/>
        </w:numPr>
        <w:spacing w:lineRule="exact" w:line="280" w:before="40" w:after="40"/>
        <w:rPr/>
      </w:pPr>
      <w:r>
        <w:rPr>
          <w:rFonts w:eastAsia="Arial" w:cs="Arial"/>
          <w:color w:val="1A1A1A"/>
          <w:sz w:val="22"/>
          <w:szCs w:val="22"/>
        </w:rPr>
        <w:t>Subject to data leakage prevention controls (POL-017).</w:t>
      </w:r>
    </w:p>
    <w:p>
      <w:pPr>
        <w:pStyle w:val="ListParagraph"/>
        <w:numPr>
          <w:ilvl w:val="0"/>
          <w:numId w:val="1"/>
        </w:numPr>
        <w:spacing w:lineRule="exact" w:line="280" w:before="40" w:after="40"/>
        <w:rPr/>
      </w:pPr>
      <w:r>
        <w:rPr>
          <w:rFonts w:eastAsia="Arial" w:cs="Arial"/>
          <w:color w:val="1A1A1A"/>
          <w:sz w:val="22"/>
          <w:szCs w:val="22"/>
        </w:rPr>
        <w:t>Pseudonymised or masked where possible (POL-016 Data Masking Policy).</w:t>
      </w:r>
    </w:p>
    <w:p>
      <w:pPr>
        <w:pStyle w:val="Heading1"/>
        <w:spacing w:before="360" w:after="180"/>
        <w:rPr/>
      </w:pPr>
      <w:r>
        <w:rPr>
          <w:rFonts w:eastAsia="Arial" w:cs="Arial" w:ascii="Arial" w:hAnsi="Arial"/>
          <w:b/>
          <w:bCs/>
          <w:color w:val="0000FF"/>
          <w:sz w:val="36"/>
          <w:szCs w:val="36"/>
        </w:rPr>
        <w:t>11. Information Sharing and Transfer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Information sharing and transfer is governed by POL-005 Information Transfer Policy.</w:t>
      </w:r>
    </w:p>
    <w:p>
      <w:pPr>
        <w:pStyle w:val="Heading1"/>
        <w:spacing w:before="360" w:after="180"/>
        <w:rPr/>
      </w:pPr>
      <w:r>
        <w:rPr>
          <w:rFonts w:eastAsia="Arial" w:cs="Arial" w:ascii="Arial" w:hAnsi="Arial"/>
          <w:b/>
          <w:bCs/>
          <w:color w:val="0000FF"/>
          <w:sz w:val="36"/>
          <w:szCs w:val="36"/>
        </w:rPr>
        <w:t>12. Storage, Retention, and Disposal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Retention and disposal are governed by POL-009 Records Retention Policy and the Records Retention Schedule. Information is securely deleted on expiry of retention periods (see POL-009 and PRO-017 Information Deletion Procedure).</w:t>
      </w:r>
    </w:p>
    <w:p>
      <w:pPr>
        <w:pStyle w:val="Heading1"/>
        <w:spacing w:before="360" w:after="180"/>
        <w:rPr/>
      </w:pPr>
      <w:r>
        <w:rPr>
          <w:rFonts w:eastAsia="Arial" w:cs="Arial" w:ascii="Arial" w:hAnsi="Arial"/>
          <w:b/>
          <w:bCs/>
          <w:color w:val="0000FF"/>
          <w:sz w:val="36"/>
          <w:szCs w:val="36"/>
        </w:rPr>
        <w:t>13. Compliance Monitoring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Compliance with this Policy is monitored through internal audit (PROG-AUDIT-001), data leakage prevention controls (POL-017), and management review.</w:t>
      </w:r>
    </w:p>
    <w:p>
      <w:pPr>
        <w:pStyle w:val="Heading1"/>
        <w:spacing w:before="360" w:after="180"/>
        <w:rPr/>
      </w:pPr>
      <w:r>
        <w:rPr>
          <w:rFonts w:eastAsia="Arial" w:cs="Arial" w:ascii="Arial" w:hAnsi="Arial"/>
          <w:b/>
          <w:bCs/>
          <w:color w:val="0000FF"/>
          <w:sz w:val="36"/>
          <w:szCs w:val="36"/>
        </w:rPr>
        <w:t>14.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15.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A.5.12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Classification of information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A.5.13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Labelling of information</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POL-004 Information Classification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POL-004 Information Classification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2026-04-03T13:08:16Z</dcterms:created>
  <dc:creator>David Stokes</dc:creator>
  <dc:description/>
  <dc:language>en-US</dc:language>
  <cp:lastModifiedBy>David Stokes</cp:lastModifiedBy>
  <dcterms:modified xsi:type="dcterms:W3CDTF">2026-04-03T16:04:16Z</dcterms:modified>
  <cp:revision>1</cp:revision>
  <dc:subject/>
  <dc:title>Cloudax Information Classification Policy</dc:title>
</cp:coreProperties>
</file>

<file path=docProps/custom.xml><?xml version="1.0" encoding="utf-8"?>
<Properties xmlns="http://schemas.openxmlformats.org/officeDocument/2006/custom-properties" xmlns:vt="http://schemas.openxmlformats.org/officeDocument/2006/docPropsVTypes"/>
</file>