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Intellectual Property and Software Licence Policy</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POL-008</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Intellectual Property and Software Licence Policy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Principles</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Cloudax-Owned Intellectual Property</w:t>
      </w:r>
    </w:p>
    <w:p>
      <w:pPr>
        <w:pStyle w:val="Normal"/>
        <w:spacing w:before="40" w:after="40"/>
        <w:rPr/>
      </w:pPr>
      <w:r>
        <w:rPr>
          <w:rFonts w:eastAsia="Arial" w:cs="Arial"/>
          <w:color w:val="1A1A1A"/>
          <w:sz w:val="22"/>
          <w:szCs w:val="22"/>
        </w:rPr>
        <w:t>7. Use of Third-Party Software and Licences</w:t>
      </w:r>
    </w:p>
    <w:p>
      <w:pPr>
        <w:pStyle w:val="Normal"/>
        <w:spacing w:before="40" w:after="40"/>
        <w:rPr/>
      </w:pPr>
      <w:r>
        <w:rPr>
          <w:rFonts w:eastAsia="Arial" w:cs="Arial"/>
          <w:color w:val="1A1A1A"/>
          <w:sz w:val="22"/>
          <w:szCs w:val="22"/>
        </w:rPr>
        <w:t>8. Open Source Software</w:t>
      </w:r>
    </w:p>
    <w:p>
      <w:pPr>
        <w:pStyle w:val="Normal"/>
        <w:spacing w:before="40" w:after="40"/>
        <w:rPr/>
      </w:pPr>
      <w:r>
        <w:rPr>
          <w:rFonts w:eastAsia="Arial" w:cs="Arial"/>
          <w:color w:val="1A1A1A"/>
          <w:sz w:val="22"/>
          <w:szCs w:val="22"/>
        </w:rPr>
        <w:t>9. Use of AI-Generated Content and Code</w:t>
      </w:r>
    </w:p>
    <w:p>
      <w:pPr>
        <w:pStyle w:val="Normal"/>
        <w:spacing w:before="40" w:after="40"/>
        <w:rPr/>
      </w:pPr>
      <w:r>
        <w:rPr>
          <w:rFonts w:eastAsia="Arial" w:cs="Arial"/>
          <w:color w:val="1A1A1A"/>
          <w:sz w:val="22"/>
          <w:szCs w:val="22"/>
        </w:rPr>
        <w:t>10. Outbound Sharing of Cloudax IP</w:t>
      </w:r>
    </w:p>
    <w:p>
      <w:pPr>
        <w:pStyle w:val="Normal"/>
        <w:spacing w:before="40" w:after="40"/>
        <w:rPr/>
      </w:pPr>
      <w:r>
        <w:rPr>
          <w:rFonts w:eastAsia="Arial" w:cs="Arial"/>
          <w:color w:val="1A1A1A"/>
          <w:sz w:val="22"/>
          <w:szCs w:val="22"/>
        </w:rPr>
        <w:t>11. Personnel Obligations Relating to IP</w:t>
      </w:r>
    </w:p>
    <w:p>
      <w:pPr>
        <w:pStyle w:val="Normal"/>
        <w:spacing w:before="40" w:after="40"/>
        <w:rPr/>
      </w:pPr>
      <w:r>
        <w:rPr>
          <w:rFonts w:eastAsia="Arial" w:cs="Arial"/>
          <w:color w:val="1A1A1A"/>
          <w:sz w:val="22"/>
          <w:szCs w:val="22"/>
        </w:rPr>
        <w:t>12. Compliance Monitoring and Audit</w:t>
      </w:r>
    </w:p>
    <w:p>
      <w:pPr>
        <w:pStyle w:val="Normal"/>
        <w:spacing w:before="40" w:after="40"/>
        <w:rPr/>
      </w:pPr>
      <w:r>
        <w:rPr>
          <w:rFonts w:eastAsia="Arial" w:cs="Arial"/>
          <w:color w:val="1A1A1A"/>
          <w:sz w:val="22"/>
          <w:szCs w:val="22"/>
        </w:rPr>
        <w:t>13. Review and Maintenance</w:t>
      </w:r>
    </w:p>
    <w:p>
      <w:pPr>
        <w:pStyle w:val="Normal"/>
        <w:spacing w:before="40" w:after="40"/>
        <w:rPr/>
      </w:pPr>
      <w:r>
        <w:rPr>
          <w:rFonts w:eastAsia="Arial" w:cs="Arial"/>
          <w:color w:val="1A1A1A"/>
          <w:sz w:val="22"/>
          <w:szCs w:val="22"/>
        </w:rPr>
        <w:t>14. Acknowledgement</w:t>
      </w:r>
    </w:p>
    <w:p>
      <w:pPr>
        <w:pStyle w:val="Normal"/>
        <w:spacing w:before="40" w:after="40"/>
        <w:rPr/>
      </w:pPr>
      <w:r>
        <w:rPr>
          <w:rFonts w:eastAsia="Arial" w:cs="Arial"/>
          <w:color w:val="1A1A1A"/>
          <w:sz w:val="22"/>
          <w:szCs w:val="22"/>
        </w:rPr>
        <w:t>Annex A —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defines how Cloudax Ltd. protects its intellectual property (IP) and ensures lawful use of third-party intellectual property, including software licences.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 A.5.32 Intellectual property rights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applies to all intellectual property created, used, or held by Cloudax — source code, designs, documentation, trademarks, logos, models, training data, datasets, and other proprietary content — and to the use of third-party intellectual property, software, and content by Cloudax personnel and authorised third parties.</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Intellectual property: </w:t>
      </w:r>
      <w:r>
        <w:rPr>
          <w:rFonts w:eastAsia="Arial" w:cs="Arial"/>
          <w:color w:val="1A1A1A"/>
          <w:sz w:val="22"/>
          <w:szCs w:val="22"/>
        </w:rPr>
        <w:t>creations of the mind, including patents, copyrights, trademarks, trade secrets, and design rights.</w:t>
      </w:r>
    </w:p>
    <w:p>
      <w:pPr>
        <w:pStyle w:val="ListParagraph"/>
        <w:numPr>
          <w:ilvl w:val="0"/>
          <w:numId w:val="1"/>
        </w:numPr>
        <w:spacing w:lineRule="exact" w:line="280" w:before="40" w:after="40"/>
        <w:rPr/>
      </w:pPr>
      <w:r>
        <w:rPr>
          <w:rFonts w:eastAsia="Arial" w:cs="Arial"/>
          <w:b/>
          <w:bCs/>
          <w:color w:val="1A1A1A"/>
          <w:sz w:val="22"/>
          <w:szCs w:val="22"/>
        </w:rPr>
        <w:t xml:space="preserve">Software licence: </w:t>
      </w:r>
      <w:r>
        <w:rPr>
          <w:rFonts w:eastAsia="Arial" w:cs="Arial"/>
          <w:color w:val="1A1A1A"/>
          <w:sz w:val="22"/>
          <w:szCs w:val="22"/>
        </w:rPr>
        <w:t>the legal terms under which software is permitted to be used.</w:t>
      </w:r>
    </w:p>
    <w:p>
      <w:pPr>
        <w:pStyle w:val="ListParagraph"/>
        <w:numPr>
          <w:ilvl w:val="0"/>
          <w:numId w:val="1"/>
        </w:numPr>
        <w:spacing w:lineRule="exact" w:line="280" w:before="40" w:after="40"/>
        <w:rPr/>
      </w:pPr>
      <w:r>
        <w:rPr>
          <w:rFonts w:eastAsia="Arial" w:cs="Arial"/>
          <w:b/>
          <w:bCs/>
          <w:color w:val="1A1A1A"/>
          <w:sz w:val="22"/>
          <w:szCs w:val="22"/>
        </w:rPr>
        <w:t xml:space="preserve">Open source software (OSS): </w:t>
      </w:r>
      <w:r>
        <w:rPr>
          <w:rFonts w:eastAsia="Arial" w:cs="Arial"/>
          <w:color w:val="1A1A1A"/>
          <w:sz w:val="22"/>
          <w:szCs w:val="22"/>
        </w:rPr>
        <w:t>software released under a licence that permits use, study, modification, and redistribution.</w:t>
      </w:r>
    </w:p>
    <w:p>
      <w:pPr>
        <w:pStyle w:val="Heading1"/>
        <w:spacing w:before="360" w:after="180"/>
        <w:rPr/>
      </w:pPr>
      <w:r>
        <w:rPr>
          <w:rFonts w:eastAsia="Arial" w:cs="Arial" w:ascii="Arial" w:hAnsi="Arial"/>
          <w:b/>
          <w:bCs/>
          <w:color w:val="0000FF"/>
          <w:sz w:val="36"/>
          <w:szCs w:val="36"/>
        </w:rPr>
        <w:t>4. Principles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Cloudax respects the intellectual property of others.</w:t>
      </w:r>
    </w:p>
    <w:p>
      <w:pPr>
        <w:pStyle w:val="ListParagraph"/>
        <w:numPr>
          <w:ilvl w:val="0"/>
          <w:numId w:val="1"/>
        </w:numPr>
        <w:spacing w:lineRule="exact" w:line="280" w:before="40" w:after="40"/>
        <w:rPr/>
      </w:pPr>
      <w:r>
        <w:rPr>
          <w:rFonts w:eastAsia="Arial" w:cs="Arial"/>
          <w:color w:val="1A1A1A"/>
          <w:sz w:val="22"/>
          <w:szCs w:val="22"/>
        </w:rPr>
        <w:t>All software in use at Cloudax must have a valid licence appropriate to its use.</w:t>
      </w:r>
    </w:p>
    <w:p>
      <w:pPr>
        <w:pStyle w:val="ListParagraph"/>
        <w:numPr>
          <w:ilvl w:val="0"/>
          <w:numId w:val="1"/>
        </w:numPr>
        <w:spacing w:lineRule="exact" w:line="280" w:before="40" w:after="40"/>
        <w:rPr/>
      </w:pPr>
      <w:r>
        <w:rPr>
          <w:rFonts w:eastAsia="Arial" w:cs="Arial"/>
          <w:color w:val="1A1A1A"/>
          <w:sz w:val="22"/>
          <w:szCs w:val="22"/>
        </w:rPr>
        <w:t>Cloudax intellectual property is protected, registered where appropriate, and used in line with strategic objectives.</w:t>
      </w:r>
    </w:p>
    <w:p>
      <w:pPr>
        <w:pStyle w:val="ListParagraph"/>
        <w:numPr>
          <w:ilvl w:val="0"/>
          <w:numId w:val="1"/>
        </w:numPr>
        <w:spacing w:lineRule="exact" w:line="280" w:before="40" w:after="40"/>
        <w:rPr/>
      </w:pPr>
      <w:r>
        <w:rPr>
          <w:rFonts w:eastAsia="Arial" w:cs="Arial"/>
          <w:color w:val="1A1A1A"/>
          <w:sz w:val="22"/>
          <w:szCs w:val="22"/>
        </w:rPr>
        <w:t>Personnel use only software approved for business use (POL-021).</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Chief Executive Officer: ultimate accountability for Cloudax IP.</w:t>
      </w:r>
    </w:p>
    <w:p>
      <w:pPr>
        <w:pStyle w:val="ListParagraph"/>
        <w:numPr>
          <w:ilvl w:val="0"/>
          <w:numId w:val="1"/>
        </w:numPr>
        <w:spacing w:lineRule="exact" w:line="280" w:before="40" w:after="40"/>
        <w:rPr/>
      </w:pPr>
      <w:r>
        <w:rPr>
          <w:rFonts w:eastAsia="Arial" w:cs="Arial"/>
          <w:color w:val="1A1A1A"/>
          <w:sz w:val="22"/>
          <w:szCs w:val="22"/>
        </w:rPr>
        <w:t>Information Security Manager: owns this Policy.</w:t>
      </w:r>
    </w:p>
    <w:p>
      <w:pPr>
        <w:pStyle w:val="ListParagraph"/>
        <w:numPr>
          <w:ilvl w:val="0"/>
          <w:numId w:val="1"/>
        </w:numPr>
        <w:spacing w:lineRule="exact" w:line="280" w:before="40" w:after="40"/>
        <w:rPr/>
      </w:pPr>
      <w:r>
        <w:rPr>
          <w:rFonts w:eastAsia="Arial" w:cs="Arial"/>
          <w:color w:val="1A1A1A"/>
          <w:sz w:val="22"/>
          <w:szCs w:val="22"/>
        </w:rPr>
        <w:t>Chief Technology Officer: oversees source code, build dependencies, and OSS use in the Cloudax platform.</w:t>
      </w:r>
    </w:p>
    <w:p>
      <w:pPr>
        <w:pStyle w:val="ListParagraph"/>
        <w:numPr>
          <w:ilvl w:val="0"/>
          <w:numId w:val="1"/>
        </w:numPr>
        <w:spacing w:lineRule="exact" w:line="280" w:before="40" w:after="40"/>
        <w:rPr/>
      </w:pPr>
      <w:r>
        <w:rPr>
          <w:rFonts w:eastAsia="Arial" w:cs="Arial"/>
          <w:color w:val="1A1A1A"/>
          <w:sz w:val="22"/>
          <w:szCs w:val="22"/>
        </w:rPr>
        <w:t>All personnel: comply with this Policy; use only approved software; respect third-party IP.</w:t>
      </w:r>
    </w:p>
    <w:p>
      <w:pPr>
        <w:pStyle w:val="Heading1"/>
        <w:spacing w:before="360" w:after="180"/>
        <w:rPr/>
      </w:pPr>
      <w:r>
        <w:rPr>
          <w:rFonts w:eastAsia="Arial" w:cs="Arial" w:ascii="Arial" w:hAnsi="Arial"/>
          <w:b/>
          <w:bCs/>
          <w:color w:val="0000FF"/>
          <w:sz w:val="36"/>
          <w:szCs w:val="36"/>
        </w:rPr>
        <w:t>6. Cloudax-Owned Intellectual Property</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All work product created by personnel in the course of their employment or engagement with Cloudax is, or is assigned to, Cloudax in accordance with the relevant employment or contractor agreement.</w:t>
      </w:r>
    </w:p>
    <w:p>
      <w:pPr>
        <w:pStyle w:val="ListParagraph"/>
        <w:numPr>
          <w:ilvl w:val="0"/>
          <w:numId w:val="1"/>
        </w:numPr>
        <w:spacing w:lineRule="exact" w:line="280" w:before="40" w:after="40"/>
        <w:rPr/>
      </w:pPr>
      <w:r>
        <w:rPr>
          <w:rFonts w:eastAsia="Arial" w:cs="Arial"/>
          <w:color w:val="1A1A1A"/>
          <w:sz w:val="22"/>
          <w:szCs w:val="22"/>
        </w:rPr>
        <w:t>Cloudax trademarks, logos, and brand assets are used in accordance with the Cloudax Brand Guidelines.</w:t>
      </w:r>
    </w:p>
    <w:p>
      <w:pPr>
        <w:pStyle w:val="ListParagraph"/>
        <w:numPr>
          <w:ilvl w:val="0"/>
          <w:numId w:val="1"/>
        </w:numPr>
        <w:spacing w:lineRule="exact" w:line="280" w:before="40" w:after="40"/>
        <w:rPr/>
      </w:pPr>
      <w:r>
        <w:rPr>
          <w:rFonts w:eastAsia="Arial" w:cs="Arial"/>
          <w:color w:val="1A1A1A"/>
          <w:sz w:val="22"/>
          <w:szCs w:val="22"/>
        </w:rPr>
        <w:t>Source code, models, and proprietary algorithms are stored only in approved repositories and treated as Confidential or Restricted information per POL-004.</w:t>
      </w:r>
    </w:p>
    <w:p>
      <w:pPr>
        <w:pStyle w:val="ListParagraph"/>
        <w:numPr>
          <w:ilvl w:val="0"/>
          <w:numId w:val="1"/>
        </w:numPr>
        <w:spacing w:lineRule="exact" w:line="280" w:before="40" w:after="40"/>
        <w:rPr/>
      </w:pPr>
      <w:r>
        <w:rPr>
          <w:rFonts w:eastAsia="Arial" w:cs="Arial"/>
          <w:color w:val="1A1A1A"/>
          <w:sz w:val="22"/>
          <w:szCs w:val="22"/>
        </w:rPr>
        <w:t>Confidentiality and assignment-of-IP clauses are included in all employment and contractor agreements.</w:t>
      </w:r>
    </w:p>
    <w:p>
      <w:pPr>
        <w:pStyle w:val="Heading1"/>
        <w:spacing w:before="360" w:after="180"/>
        <w:rPr/>
      </w:pPr>
      <w:r>
        <w:rPr>
          <w:rFonts w:eastAsia="Arial" w:cs="Arial" w:ascii="Arial" w:hAnsi="Arial"/>
          <w:b/>
          <w:bCs/>
          <w:color w:val="0000FF"/>
          <w:sz w:val="36"/>
          <w:szCs w:val="36"/>
        </w:rPr>
        <w:t>7. Use of Third-Party Software and Licences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Software is acquired only through approved channels with documented licences.</w:t>
      </w:r>
    </w:p>
    <w:p>
      <w:pPr>
        <w:pStyle w:val="ListParagraph"/>
        <w:numPr>
          <w:ilvl w:val="0"/>
          <w:numId w:val="1"/>
        </w:numPr>
        <w:spacing w:lineRule="exact" w:line="280" w:before="40" w:after="40"/>
        <w:rPr/>
      </w:pPr>
      <w:r>
        <w:rPr>
          <w:rFonts w:eastAsia="Arial" w:cs="Arial"/>
          <w:color w:val="1A1A1A"/>
          <w:sz w:val="22"/>
          <w:szCs w:val="22"/>
        </w:rPr>
        <w:t>Software is used only in accordance with the terms of its licence.</w:t>
      </w:r>
    </w:p>
    <w:p>
      <w:pPr>
        <w:pStyle w:val="ListParagraph"/>
        <w:numPr>
          <w:ilvl w:val="0"/>
          <w:numId w:val="1"/>
        </w:numPr>
        <w:spacing w:lineRule="exact" w:line="280" w:before="40" w:after="40"/>
        <w:rPr/>
      </w:pPr>
      <w:r>
        <w:rPr>
          <w:rFonts w:eastAsia="Arial" w:cs="Arial"/>
          <w:color w:val="1A1A1A"/>
          <w:sz w:val="22"/>
          <w:szCs w:val="22"/>
        </w:rPr>
        <w:t>Software inventory is maintained and reviewed periodically.</w:t>
      </w:r>
    </w:p>
    <w:p>
      <w:pPr>
        <w:pStyle w:val="ListParagraph"/>
        <w:numPr>
          <w:ilvl w:val="0"/>
          <w:numId w:val="1"/>
        </w:numPr>
        <w:spacing w:lineRule="exact" w:line="280" w:before="40" w:after="40"/>
        <w:rPr/>
      </w:pPr>
      <w:r>
        <w:rPr>
          <w:rFonts w:eastAsia="Arial" w:cs="Arial"/>
          <w:color w:val="1A1A1A"/>
          <w:sz w:val="22"/>
          <w:szCs w:val="22"/>
        </w:rPr>
        <w:t>Software no longer required is removed; surplus licences are reclaimed.</w:t>
      </w:r>
    </w:p>
    <w:p>
      <w:pPr>
        <w:pStyle w:val="ListParagraph"/>
        <w:numPr>
          <w:ilvl w:val="0"/>
          <w:numId w:val="1"/>
        </w:numPr>
        <w:spacing w:lineRule="exact" w:line="280" w:before="40" w:after="40"/>
        <w:rPr/>
      </w:pPr>
      <w:r>
        <w:rPr>
          <w:rFonts w:eastAsia="Arial" w:cs="Arial"/>
          <w:color w:val="1A1A1A"/>
          <w:sz w:val="22"/>
          <w:szCs w:val="22"/>
        </w:rPr>
        <w:t>Use of unlicensed or improperly licensed software is prohibited.</w:t>
      </w:r>
    </w:p>
    <w:p>
      <w:pPr>
        <w:pStyle w:val="Heading1"/>
        <w:spacing w:before="360" w:after="180"/>
        <w:rPr/>
      </w:pPr>
      <w:r>
        <w:rPr>
          <w:rFonts w:eastAsia="Arial" w:cs="Arial" w:ascii="Arial" w:hAnsi="Arial"/>
          <w:b/>
          <w:bCs/>
          <w:color w:val="0000FF"/>
          <w:sz w:val="36"/>
          <w:szCs w:val="36"/>
        </w:rPr>
        <w:t>8. Open Source Software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OSS components introduced into the Cloudax platform are reviewed for licence compatibility before introduction.</w:t>
      </w:r>
    </w:p>
    <w:p>
      <w:pPr>
        <w:pStyle w:val="ListParagraph"/>
        <w:numPr>
          <w:ilvl w:val="0"/>
          <w:numId w:val="1"/>
        </w:numPr>
        <w:spacing w:lineRule="exact" w:line="280" w:before="40" w:after="40"/>
        <w:rPr/>
      </w:pPr>
      <w:r>
        <w:rPr>
          <w:rFonts w:eastAsia="Arial" w:cs="Arial"/>
          <w:color w:val="1A1A1A"/>
          <w:sz w:val="22"/>
          <w:szCs w:val="22"/>
        </w:rPr>
        <w:t>OSS licence types are recorded in the software bill of materials (SBOM); copyleft licences (e.g. AGPL, GPL) are subject to additional review.</w:t>
      </w:r>
    </w:p>
    <w:p>
      <w:pPr>
        <w:pStyle w:val="ListParagraph"/>
        <w:numPr>
          <w:ilvl w:val="0"/>
          <w:numId w:val="1"/>
        </w:numPr>
        <w:spacing w:lineRule="exact" w:line="280" w:before="40" w:after="40"/>
        <w:rPr/>
      </w:pPr>
      <w:r>
        <w:rPr>
          <w:rFonts w:eastAsia="Arial" w:cs="Arial"/>
          <w:color w:val="1A1A1A"/>
          <w:sz w:val="22"/>
          <w:szCs w:val="22"/>
        </w:rPr>
        <w:t>Attribution and notice requirements are honoured in distributed and customer-facing artefacts.</w:t>
      </w:r>
    </w:p>
    <w:p>
      <w:pPr>
        <w:pStyle w:val="ListParagraph"/>
        <w:numPr>
          <w:ilvl w:val="0"/>
          <w:numId w:val="1"/>
        </w:numPr>
        <w:spacing w:lineRule="exact" w:line="280" w:before="40" w:after="40"/>
        <w:rPr/>
      </w:pPr>
      <w:r>
        <w:rPr>
          <w:rFonts w:eastAsia="Arial" w:cs="Arial"/>
          <w:color w:val="1A1A1A"/>
          <w:sz w:val="22"/>
          <w:szCs w:val="22"/>
        </w:rPr>
        <w:t>Contributions to OSS by Cloudax personnel in the course of their work require prior approval, with attention to IP assignment, contributor licence agreements (CLAs), and confidentiality.</w:t>
      </w:r>
    </w:p>
    <w:p>
      <w:pPr>
        <w:pStyle w:val="Heading1"/>
        <w:spacing w:before="360" w:after="180"/>
        <w:rPr/>
      </w:pPr>
      <w:r>
        <w:rPr>
          <w:rFonts w:eastAsia="Arial" w:cs="Arial" w:ascii="Arial" w:hAnsi="Arial"/>
          <w:b/>
          <w:bCs/>
          <w:color w:val="0000FF"/>
          <w:sz w:val="36"/>
          <w:szCs w:val="36"/>
        </w:rPr>
        <w:t>9. Use of AI-Generated Content and Code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AI-generated content used in Cloudax products or marketing is reviewed for IP risk, including potential reproduction of training data.</w:t>
      </w:r>
    </w:p>
    <w:p>
      <w:pPr>
        <w:pStyle w:val="ListParagraph"/>
        <w:numPr>
          <w:ilvl w:val="0"/>
          <w:numId w:val="1"/>
        </w:numPr>
        <w:spacing w:lineRule="exact" w:line="280" w:before="40" w:after="40"/>
        <w:rPr/>
      </w:pPr>
      <w:r>
        <w:rPr>
          <w:rFonts w:eastAsia="Arial" w:cs="Arial"/>
          <w:color w:val="1A1A1A"/>
          <w:sz w:val="22"/>
          <w:szCs w:val="22"/>
        </w:rPr>
        <w:t>AI-generated code introduced into the Cloudax platform is subject to the same review and testing as human-authored code under POL-024.</w:t>
      </w:r>
    </w:p>
    <w:p>
      <w:pPr>
        <w:pStyle w:val="ListParagraph"/>
        <w:numPr>
          <w:ilvl w:val="0"/>
          <w:numId w:val="1"/>
        </w:numPr>
        <w:spacing w:lineRule="exact" w:line="280" w:before="40" w:after="40"/>
        <w:rPr/>
      </w:pPr>
      <w:r>
        <w:rPr>
          <w:rFonts w:eastAsia="Arial" w:cs="Arial"/>
          <w:color w:val="1A1A1A"/>
          <w:sz w:val="22"/>
          <w:szCs w:val="22"/>
        </w:rPr>
        <w:t>Use of generative AI tools follows POL-003 §12 and the AI Use Register.</w:t>
      </w:r>
    </w:p>
    <w:p>
      <w:pPr>
        <w:pStyle w:val="Heading1"/>
        <w:spacing w:before="360" w:after="180"/>
        <w:rPr/>
      </w:pPr>
      <w:r>
        <w:rPr>
          <w:rFonts w:eastAsia="Arial" w:cs="Arial" w:ascii="Arial" w:hAnsi="Arial"/>
          <w:b/>
          <w:bCs/>
          <w:color w:val="0000FF"/>
          <w:sz w:val="36"/>
          <w:szCs w:val="36"/>
        </w:rPr>
        <w:t>10. Outbound Sharing of Cloudax IP</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Cloudax IP shared externally is governed by written agreements, including NDAs and licence agreements.</w:t>
      </w:r>
    </w:p>
    <w:p>
      <w:pPr>
        <w:pStyle w:val="ListParagraph"/>
        <w:numPr>
          <w:ilvl w:val="0"/>
          <w:numId w:val="1"/>
        </w:numPr>
        <w:spacing w:lineRule="exact" w:line="280" w:before="40" w:after="40"/>
        <w:rPr/>
      </w:pPr>
      <w:r>
        <w:rPr>
          <w:rFonts w:eastAsia="Arial" w:cs="Arial"/>
          <w:color w:val="1A1A1A"/>
          <w:sz w:val="22"/>
          <w:szCs w:val="22"/>
        </w:rPr>
        <w:t>Marketing material, public-facing demonstrations, and conference content are reviewed before release.</w:t>
      </w:r>
    </w:p>
    <w:p>
      <w:pPr>
        <w:pStyle w:val="ListParagraph"/>
        <w:numPr>
          <w:ilvl w:val="0"/>
          <w:numId w:val="1"/>
        </w:numPr>
        <w:spacing w:lineRule="exact" w:line="280" w:before="40" w:after="40"/>
        <w:rPr/>
      </w:pPr>
      <w:r>
        <w:rPr>
          <w:rFonts w:eastAsia="Arial" w:cs="Arial"/>
          <w:color w:val="1A1A1A"/>
          <w:sz w:val="22"/>
          <w:szCs w:val="22"/>
        </w:rPr>
        <w:t>Source code, models, and proprietary algorithms are not shared publicly except where the Chief Executive Officer has authorised release under an open-source licence.</w:t>
      </w:r>
    </w:p>
    <w:p>
      <w:pPr>
        <w:pStyle w:val="Heading1"/>
        <w:spacing w:before="360" w:after="180"/>
        <w:rPr/>
      </w:pPr>
      <w:r>
        <w:rPr>
          <w:rFonts w:eastAsia="Arial" w:cs="Arial" w:ascii="Arial" w:hAnsi="Arial"/>
          <w:b/>
          <w:bCs/>
          <w:color w:val="0000FF"/>
          <w:sz w:val="36"/>
          <w:szCs w:val="36"/>
        </w:rPr>
        <w:t>11. Personnel Obligations Relating to IP</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On commencement, personnel sign agreements covering confidentiality and IP assignment.</w:t>
      </w:r>
    </w:p>
    <w:p>
      <w:pPr>
        <w:pStyle w:val="ListParagraph"/>
        <w:numPr>
          <w:ilvl w:val="0"/>
          <w:numId w:val="1"/>
        </w:numPr>
        <w:spacing w:lineRule="exact" w:line="280" w:before="40" w:after="40"/>
        <w:rPr/>
      </w:pPr>
      <w:r>
        <w:rPr>
          <w:rFonts w:eastAsia="Arial" w:cs="Arial"/>
          <w:color w:val="1A1A1A"/>
          <w:sz w:val="22"/>
          <w:szCs w:val="22"/>
        </w:rPr>
        <w:t>On termination, personnel return Cloudax IP and observe ongoing confidentiality and non-disclosure obligations.</w:t>
      </w:r>
    </w:p>
    <w:p>
      <w:pPr>
        <w:pStyle w:val="ListParagraph"/>
        <w:numPr>
          <w:ilvl w:val="0"/>
          <w:numId w:val="1"/>
        </w:numPr>
        <w:spacing w:lineRule="exact" w:line="280" w:before="40" w:after="40"/>
        <w:rPr/>
      </w:pPr>
      <w:r>
        <w:rPr>
          <w:rFonts w:eastAsia="Arial" w:cs="Arial"/>
          <w:color w:val="1A1A1A"/>
          <w:sz w:val="22"/>
          <w:szCs w:val="22"/>
        </w:rPr>
        <w:t>Personnel must not bring third-party IP into Cloudax in violation of prior confidentiality obligations to former employers or clients.</w:t>
      </w:r>
    </w:p>
    <w:p>
      <w:pPr>
        <w:pStyle w:val="Heading1"/>
        <w:spacing w:before="360" w:after="180"/>
        <w:rPr/>
      </w:pPr>
      <w:r>
        <w:rPr>
          <w:rFonts w:eastAsia="Arial" w:cs="Arial" w:ascii="Arial" w:hAnsi="Arial"/>
          <w:b/>
          <w:bCs/>
          <w:color w:val="0000FF"/>
          <w:sz w:val="36"/>
          <w:szCs w:val="36"/>
        </w:rPr>
        <w:t>12. Compliance Monitoring and Audit</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Software inventory is reconciled with deployed software at least annually.</w:t>
      </w:r>
    </w:p>
    <w:p>
      <w:pPr>
        <w:pStyle w:val="ListParagraph"/>
        <w:numPr>
          <w:ilvl w:val="0"/>
          <w:numId w:val="1"/>
        </w:numPr>
        <w:spacing w:lineRule="exact" w:line="280" w:before="40" w:after="40"/>
        <w:rPr/>
      </w:pPr>
      <w:r>
        <w:rPr>
          <w:rFonts w:eastAsia="Arial" w:cs="Arial"/>
          <w:color w:val="1A1A1A"/>
          <w:sz w:val="22"/>
          <w:szCs w:val="22"/>
        </w:rPr>
        <w:t>OSS licence inventory is reconciled with the SBOM at each release.</w:t>
      </w:r>
    </w:p>
    <w:p>
      <w:pPr>
        <w:pStyle w:val="ListParagraph"/>
        <w:numPr>
          <w:ilvl w:val="0"/>
          <w:numId w:val="1"/>
        </w:numPr>
        <w:spacing w:lineRule="exact" w:line="280" w:before="40" w:after="40"/>
        <w:rPr/>
      </w:pPr>
      <w:r>
        <w:rPr>
          <w:rFonts w:eastAsia="Arial" w:cs="Arial"/>
          <w:color w:val="1A1A1A"/>
          <w:sz w:val="22"/>
          <w:szCs w:val="22"/>
        </w:rPr>
        <w:t>Findings are addressed through corrective action under PRO-031.</w:t>
      </w:r>
    </w:p>
    <w:p>
      <w:pPr>
        <w:pStyle w:val="Heading1"/>
        <w:spacing w:before="360" w:after="180"/>
        <w:rPr/>
      </w:pPr>
      <w:r>
        <w:rPr>
          <w:rFonts w:eastAsia="Arial" w:cs="Arial" w:ascii="Arial" w:hAnsi="Arial"/>
          <w:b/>
          <w:bCs/>
          <w:color w:val="0000FF"/>
          <w:sz w:val="36"/>
          <w:szCs w:val="36"/>
        </w:rPr>
        <w:t>13. Review and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reviewed at least annually and on material change.</w:t>
      </w:r>
    </w:p>
    <w:p>
      <w:pPr>
        <w:pStyle w:val="Heading1"/>
        <w:spacing w:before="360" w:after="180"/>
        <w:rPr/>
      </w:pPr>
      <w:r>
        <w:rPr>
          <w:rFonts w:eastAsia="Arial" w:cs="Arial" w:ascii="Arial" w:hAnsi="Arial"/>
          <w:b/>
          <w:bCs/>
          <w:color w:val="0000FF"/>
          <w:sz w:val="36"/>
          <w:szCs w:val="36"/>
        </w:rPr>
        <w:t>14.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this Policy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gives effect to the following ISO/IEC 27001:2022 Annex A controls, as recorded in the Cloudax Statement of Applicability (ISMS-SOA-001 v4.0). The authoritative list of applicable controls and their justification for applicability is the SoA itself.</w:t>
      </w:r>
    </w:p>
    <w:tbl>
      <w:tblPr>
        <w:tblW w:w="9026" w:type="dxa"/>
        <w:jc w:val="start"/>
        <w:tblInd w:w="0" w:type="dxa"/>
        <w:tblLayout w:type="fixed"/>
        <w:tblCellMar>
          <w:top w:w="100" w:type="dxa"/>
          <w:start w:w="160" w:type="dxa"/>
          <w:bottom w:w="100" w:type="dxa"/>
          <w:end w:w="16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A.5.32</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Intellectual property rights</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Cloudax Statement of Applicability v4.0. Document numbering aligned to ISMS-MAP-001 v1.0.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POL-008 Intellectual Property and Software Licence Policy  •  Internal  </w:t>
      <w:tab/>
      <w:t>v1.0  •  April 2026</w:t>
      <w:tab/>
      <w:t xml:space="preserve">Page </w:t>
    </w:r>
    <w:r>
      <w:rPr/>
      <w:fldChar w:fldCharType="begin"/>
    </w:r>
    <w:r>
      <w:rPr/>
      <w:instrText xml:space="preserve"> PAGE </w:instrText>
    </w:r>
    <w:r>
      <w:rPr/>
      <w:fldChar w:fldCharType="separate"/>
    </w:r>
    <w:r>
      <w:rPr/>
      <w:t>8</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POL-008 Intellectual Property and Software Licence Policy  •  Internal  </w:t>
      <w:tab/>
      <w:t>v1.0  •  April 2026</w:t>
      <w:tab/>
      <w:t xml:space="preserve">Page </w:t>
    </w:r>
    <w:r>
      <w:rPr/>
      <w:fldChar w:fldCharType="begin"/>
    </w:r>
    <w:r>
      <w:rPr/>
      <w:instrText xml:space="preserve"> PAGE </w:instrText>
    </w:r>
    <w:r>
      <w:rPr/>
      <w:fldChar w:fldCharType="separate"/>
    </w:r>
    <w:r>
      <w:rPr/>
      <w:t>8</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2026-04-23T10:25:55Z</dcterms:created>
  <dc:creator>David Stokes</dc:creator>
  <dc:description/>
  <dc:language>en-US</dc:language>
  <cp:lastModifiedBy>David Stokes</cp:lastModifiedBy>
  <dcterms:modified xsi:type="dcterms:W3CDTF">2026-04-23T10:50:55Z</dcterms:modified>
  <cp:revision>1</cp:revision>
  <dc:subject/>
  <dc:title>Cloudax Intellectual Property and Software Licence Policy</dc:title>
</cp:coreProperties>
</file>

<file path=docProps/custom.xml><?xml version="1.0" encoding="utf-8"?>
<Properties xmlns="http://schemas.openxmlformats.org/officeDocument/2006/custom-properties" xmlns:vt="http://schemas.openxmlformats.org/officeDocument/2006/docPropsVTypes"/>
</file>