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Privacy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POL-010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Privacy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Data Protection Principles</w:t>
      </w:r>
    </w:p>
    <w:p>
      <w:pPr>
        <w:pStyle w:val="Normal"/>
        <w:spacing w:before="40" w:after="40"/>
        <w:rPr/>
      </w:pPr>
      <w:r>
        <w:rPr>
          <w:rFonts w:eastAsia="Arial" w:cs="Arial"/>
          <w:color w:val="1A1A1A"/>
          <w:sz w:val="22"/>
          <w:szCs w:val="22"/>
        </w:rPr>
        <w:t>5. Lawful Bases for Processing</w:t>
      </w:r>
    </w:p>
    <w:p>
      <w:pPr>
        <w:pStyle w:val="Normal"/>
        <w:spacing w:before="40" w:after="40"/>
        <w:rPr/>
      </w:pPr>
      <w:r>
        <w:rPr>
          <w:rFonts w:eastAsia="Arial" w:cs="Arial"/>
          <w:color w:val="1A1A1A"/>
          <w:sz w:val="22"/>
          <w:szCs w:val="22"/>
        </w:rPr>
        <w:t>6. Roles and Responsibilities</w:t>
      </w:r>
    </w:p>
    <w:p>
      <w:pPr>
        <w:pStyle w:val="Normal"/>
        <w:spacing w:before="40" w:after="40"/>
        <w:rPr/>
      </w:pPr>
      <w:r>
        <w:rPr>
          <w:rFonts w:eastAsia="Arial" w:cs="Arial"/>
          <w:color w:val="1A1A1A"/>
          <w:sz w:val="22"/>
          <w:szCs w:val="22"/>
        </w:rPr>
        <w:t>7. Records of Processing Activities</w:t>
      </w:r>
    </w:p>
    <w:p>
      <w:pPr>
        <w:pStyle w:val="Normal"/>
        <w:spacing w:before="40" w:after="40"/>
        <w:rPr/>
      </w:pPr>
      <w:r>
        <w:rPr>
          <w:rFonts w:eastAsia="Arial" w:cs="Arial"/>
          <w:color w:val="1A1A1A"/>
          <w:sz w:val="22"/>
          <w:szCs w:val="22"/>
        </w:rPr>
        <w:t>8. Data Subject Rights</w:t>
      </w:r>
    </w:p>
    <w:p>
      <w:pPr>
        <w:pStyle w:val="Normal"/>
        <w:spacing w:before="40" w:after="40"/>
        <w:rPr/>
      </w:pPr>
      <w:r>
        <w:rPr>
          <w:rFonts w:eastAsia="Arial" w:cs="Arial"/>
          <w:color w:val="1A1A1A"/>
          <w:sz w:val="22"/>
          <w:szCs w:val="22"/>
        </w:rPr>
        <w:t>9. Lawful Processing of Special Category and Voice Data</w:t>
      </w:r>
    </w:p>
    <w:p>
      <w:pPr>
        <w:pStyle w:val="Normal"/>
        <w:spacing w:before="40" w:after="40"/>
        <w:rPr/>
      </w:pPr>
      <w:r>
        <w:rPr>
          <w:rFonts w:eastAsia="Arial" w:cs="Arial"/>
          <w:color w:val="1A1A1A"/>
          <w:sz w:val="22"/>
          <w:szCs w:val="22"/>
        </w:rPr>
        <w:t>10. International Data Transfers</w:t>
      </w:r>
    </w:p>
    <w:p>
      <w:pPr>
        <w:pStyle w:val="Normal"/>
        <w:spacing w:before="40" w:after="40"/>
        <w:rPr/>
      </w:pPr>
      <w:r>
        <w:rPr>
          <w:rFonts w:eastAsia="Arial" w:cs="Arial"/>
          <w:color w:val="1A1A1A"/>
          <w:sz w:val="22"/>
          <w:szCs w:val="22"/>
        </w:rPr>
        <w:t>11. Privacy by Design and by Default</w:t>
      </w:r>
    </w:p>
    <w:p>
      <w:pPr>
        <w:pStyle w:val="Normal"/>
        <w:spacing w:before="40" w:after="40"/>
        <w:rPr/>
      </w:pPr>
      <w:r>
        <w:rPr>
          <w:rFonts w:eastAsia="Arial" w:cs="Arial"/>
          <w:color w:val="1A1A1A"/>
          <w:sz w:val="22"/>
          <w:szCs w:val="22"/>
        </w:rPr>
        <w:t>12. Data Protection Impact Assessments (DPIAs)</w:t>
      </w:r>
    </w:p>
    <w:p>
      <w:pPr>
        <w:pStyle w:val="Normal"/>
        <w:spacing w:before="40" w:after="40"/>
        <w:rPr/>
      </w:pPr>
      <w:r>
        <w:rPr>
          <w:rFonts w:eastAsia="Arial" w:cs="Arial"/>
          <w:color w:val="1A1A1A"/>
          <w:sz w:val="22"/>
          <w:szCs w:val="22"/>
        </w:rPr>
        <w:t>13. Personal Data Breach Management</w:t>
      </w:r>
    </w:p>
    <w:p>
      <w:pPr>
        <w:pStyle w:val="Normal"/>
        <w:spacing w:before="40" w:after="40"/>
        <w:rPr/>
      </w:pPr>
      <w:r>
        <w:rPr>
          <w:rFonts w:eastAsia="Arial" w:cs="Arial"/>
          <w:color w:val="1A1A1A"/>
          <w:sz w:val="22"/>
          <w:szCs w:val="22"/>
        </w:rPr>
        <w:t>14. Engaging Processors and Sub-Processors</w:t>
      </w:r>
    </w:p>
    <w:p>
      <w:pPr>
        <w:pStyle w:val="Normal"/>
        <w:spacing w:before="40" w:after="40"/>
        <w:rPr/>
      </w:pPr>
      <w:r>
        <w:rPr>
          <w:rFonts w:eastAsia="Arial" w:cs="Arial"/>
          <w:color w:val="1A1A1A"/>
          <w:sz w:val="22"/>
          <w:szCs w:val="22"/>
        </w:rPr>
        <w:t>15. Training and Compliance</w:t>
      </w:r>
    </w:p>
    <w:p>
      <w:pPr>
        <w:pStyle w:val="Normal"/>
        <w:spacing w:before="40" w:after="40"/>
        <w:rPr/>
      </w:pPr>
      <w:r>
        <w:rPr>
          <w:rFonts w:eastAsia="Arial" w:cs="Arial"/>
          <w:color w:val="1A1A1A"/>
          <w:sz w:val="22"/>
          <w:szCs w:val="22"/>
        </w:rPr>
        <w:t>16. Review and Maintenance</w:t>
      </w:r>
    </w:p>
    <w:p>
      <w:pPr>
        <w:pStyle w:val="Normal"/>
        <w:spacing w:before="40" w:after="40"/>
        <w:rPr/>
      </w:pPr>
      <w:r>
        <w:rPr>
          <w:rFonts w:eastAsia="Arial" w:cs="Arial"/>
          <w:color w:val="1A1A1A"/>
          <w:sz w:val="22"/>
          <w:szCs w:val="22"/>
        </w:rPr>
        <w:t>17.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Privacy Policy defines how Cloudax Ltd. protects personal data and complies with the UK General Data Protection Regulation (UK GDPR), the Data Protection Act 2018, and the Privacy and Electronic Communications Regulations 2003 (PECR).</w:t>
      </w:r>
    </w:p>
    <w:p>
      <w:pPr>
        <w:pStyle w:val="Normal"/>
        <w:spacing w:lineRule="exact" w:line="300" w:before="80" w:after="120"/>
        <w:rPr/>
      </w:pPr>
      <w:r>
        <w:rPr>
          <w:rFonts w:eastAsia="Arial" w:cs="Arial"/>
          <w:color w:val="1A1A1A"/>
          <w:sz w:val="22"/>
          <w:szCs w:val="22"/>
        </w:rPr>
        <w:t>Given Cloudax’s role as a conversational AI provider, this Policy gives particular attention to the handling of voice recordings, transcripts, and derived data, which may contain personal data and, in some cases, special category or biometric data.</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A.5.34 Privacy and protection of PII</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personal data processed by Cloudax in any role under the UK GDPR — as a controller, joint controller, or processor — in any format and on any media. It applies to all personnel and to all suppliers and partners who process personal data on Cloudax’s behalf or share personal data with Cloudax.</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Terms used have the meanings given in the UK GDPR and the DPA 2018.</w:t>
      </w:r>
    </w:p>
    <w:p>
      <w:pPr>
        <w:pStyle w:val="Heading1"/>
        <w:spacing w:before="360" w:after="180"/>
        <w:rPr/>
      </w:pPr>
      <w:r>
        <w:rPr>
          <w:rFonts w:eastAsia="Arial" w:cs="Arial" w:ascii="Arial" w:hAnsi="Arial"/>
          <w:b/>
          <w:bCs/>
          <w:color w:val="0000FF"/>
          <w:sz w:val="36"/>
          <w:szCs w:val="36"/>
        </w:rPr>
        <w:t>4. Data Protection Principles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processes personal data in accordance with the seven principles of the UK GDPR:</w:t>
      </w:r>
    </w:p>
    <w:p>
      <w:pPr>
        <w:pStyle w:val="ListParagraph"/>
        <w:numPr>
          <w:ilvl w:val="0"/>
          <w:numId w:val="3"/>
        </w:numPr>
        <w:spacing w:lineRule="exact" w:line="280" w:before="40" w:after="40"/>
        <w:rPr/>
      </w:pPr>
      <w:r>
        <w:rPr>
          <w:rFonts w:eastAsia="Arial" w:cs="Arial"/>
          <w:b/>
          <w:bCs/>
          <w:color w:val="1A1A1A"/>
          <w:sz w:val="22"/>
          <w:szCs w:val="22"/>
        </w:rPr>
        <w:t>Lawfulness, fairness, and transparency</w:t>
      </w:r>
    </w:p>
    <w:p>
      <w:pPr>
        <w:pStyle w:val="ListParagraph"/>
        <w:numPr>
          <w:ilvl w:val="0"/>
          <w:numId w:val="1"/>
        </w:numPr>
        <w:spacing w:lineRule="exact" w:line="280" w:before="40" w:after="40"/>
        <w:rPr/>
      </w:pPr>
      <w:r>
        <w:rPr>
          <w:rFonts w:eastAsia="Arial" w:cs="Arial"/>
          <w:b/>
          <w:bCs/>
          <w:color w:val="1A1A1A"/>
          <w:sz w:val="22"/>
          <w:szCs w:val="22"/>
        </w:rPr>
        <w:t>Purpose limitation</w:t>
      </w:r>
    </w:p>
    <w:p>
      <w:pPr>
        <w:pStyle w:val="ListParagraph"/>
        <w:numPr>
          <w:ilvl w:val="0"/>
          <w:numId w:val="1"/>
        </w:numPr>
        <w:spacing w:lineRule="exact" w:line="280" w:before="40" w:after="40"/>
        <w:rPr/>
      </w:pPr>
      <w:r>
        <w:rPr>
          <w:rFonts w:eastAsia="Arial" w:cs="Arial"/>
          <w:b/>
          <w:bCs/>
          <w:color w:val="1A1A1A"/>
          <w:sz w:val="22"/>
          <w:szCs w:val="22"/>
        </w:rPr>
        <w:t>Data minimisation</w:t>
      </w:r>
    </w:p>
    <w:p>
      <w:pPr>
        <w:pStyle w:val="ListParagraph"/>
        <w:numPr>
          <w:ilvl w:val="0"/>
          <w:numId w:val="1"/>
        </w:numPr>
        <w:spacing w:lineRule="exact" w:line="280" w:before="40" w:after="40"/>
        <w:rPr/>
      </w:pPr>
      <w:r>
        <w:rPr>
          <w:rFonts w:eastAsia="Arial" w:cs="Arial"/>
          <w:b/>
          <w:bCs/>
          <w:color w:val="1A1A1A"/>
          <w:sz w:val="22"/>
          <w:szCs w:val="22"/>
        </w:rPr>
        <w:t>Accuracy</w:t>
      </w:r>
    </w:p>
    <w:p>
      <w:pPr>
        <w:pStyle w:val="ListParagraph"/>
        <w:numPr>
          <w:ilvl w:val="0"/>
          <w:numId w:val="1"/>
        </w:numPr>
        <w:spacing w:lineRule="exact" w:line="280" w:before="40" w:after="40"/>
        <w:rPr/>
      </w:pPr>
      <w:r>
        <w:rPr>
          <w:rFonts w:eastAsia="Arial" w:cs="Arial"/>
          <w:b/>
          <w:bCs/>
          <w:color w:val="1A1A1A"/>
          <w:sz w:val="22"/>
          <w:szCs w:val="22"/>
        </w:rPr>
        <w:t>Storage limitation</w:t>
      </w:r>
    </w:p>
    <w:p>
      <w:pPr>
        <w:pStyle w:val="ListParagraph"/>
        <w:numPr>
          <w:ilvl w:val="0"/>
          <w:numId w:val="1"/>
        </w:numPr>
        <w:spacing w:lineRule="exact" w:line="280" w:before="40" w:after="40"/>
        <w:rPr/>
      </w:pPr>
      <w:r>
        <w:rPr>
          <w:rFonts w:eastAsia="Arial" w:cs="Arial"/>
          <w:b/>
          <w:bCs/>
          <w:color w:val="1A1A1A"/>
          <w:sz w:val="22"/>
          <w:szCs w:val="22"/>
        </w:rPr>
        <w:t>Integrity and confidentiality</w:t>
      </w:r>
    </w:p>
    <w:p>
      <w:pPr>
        <w:pStyle w:val="ListParagraph"/>
        <w:numPr>
          <w:ilvl w:val="0"/>
          <w:numId w:val="1"/>
        </w:numPr>
        <w:spacing w:lineRule="exact" w:line="280" w:before="40" w:after="40"/>
        <w:rPr/>
      </w:pPr>
      <w:r>
        <w:rPr>
          <w:rFonts w:eastAsia="Arial" w:cs="Arial"/>
          <w:b/>
          <w:bCs/>
          <w:color w:val="1A1A1A"/>
          <w:sz w:val="22"/>
          <w:szCs w:val="22"/>
        </w:rPr>
        <w:t>Accountability</w:t>
      </w:r>
    </w:p>
    <w:p>
      <w:pPr>
        <w:pStyle w:val="Heading1"/>
        <w:spacing w:before="360" w:after="180"/>
        <w:rPr/>
      </w:pPr>
      <w:r>
        <w:rPr>
          <w:rFonts w:eastAsia="Arial" w:cs="Arial" w:ascii="Arial" w:hAnsi="Arial"/>
          <w:b/>
          <w:bCs/>
          <w:color w:val="0000FF"/>
          <w:sz w:val="36"/>
          <w:szCs w:val="36"/>
        </w:rPr>
        <w:t>5. Lawful Bases for Processing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identifies and documents an Article 6 lawful basis for every processing activity:</w:t>
      </w:r>
    </w:p>
    <w:p>
      <w:pPr>
        <w:pStyle w:val="ListParagraph"/>
        <w:numPr>
          <w:ilvl w:val="0"/>
          <w:numId w:val="1"/>
        </w:numPr>
        <w:spacing w:lineRule="exact" w:line="280" w:before="40" w:after="40"/>
        <w:rPr/>
      </w:pPr>
      <w:r>
        <w:rPr>
          <w:rFonts w:eastAsia="Arial" w:cs="Arial"/>
          <w:color w:val="1A1A1A"/>
          <w:sz w:val="22"/>
          <w:szCs w:val="22"/>
        </w:rPr>
        <w:t>Performance of a contract.</w:t>
      </w:r>
    </w:p>
    <w:p>
      <w:pPr>
        <w:pStyle w:val="ListParagraph"/>
        <w:numPr>
          <w:ilvl w:val="0"/>
          <w:numId w:val="1"/>
        </w:numPr>
        <w:spacing w:lineRule="exact" w:line="280" w:before="40" w:after="40"/>
        <w:rPr/>
      </w:pPr>
      <w:r>
        <w:rPr>
          <w:rFonts w:eastAsia="Arial" w:cs="Arial"/>
          <w:color w:val="1A1A1A"/>
          <w:sz w:val="22"/>
          <w:szCs w:val="22"/>
        </w:rPr>
        <w:t>Compliance with a legal obligation.</w:t>
      </w:r>
    </w:p>
    <w:p>
      <w:pPr>
        <w:pStyle w:val="ListParagraph"/>
        <w:numPr>
          <w:ilvl w:val="0"/>
          <w:numId w:val="1"/>
        </w:numPr>
        <w:spacing w:lineRule="exact" w:line="280" w:before="40" w:after="40"/>
        <w:rPr/>
      </w:pPr>
      <w:r>
        <w:rPr>
          <w:rFonts w:eastAsia="Arial" w:cs="Arial"/>
          <w:color w:val="1A1A1A"/>
          <w:sz w:val="22"/>
          <w:szCs w:val="22"/>
        </w:rPr>
        <w:t>Legitimate interests.</w:t>
      </w:r>
    </w:p>
    <w:p>
      <w:pPr>
        <w:pStyle w:val="ListParagraph"/>
        <w:numPr>
          <w:ilvl w:val="0"/>
          <w:numId w:val="1"/>
        </w:numPr>
        <w:spacing w:lineRule="exact" w:line="280" w:before="40" w:after="40"/>
        <w:rPr/>
      </w:pPr>
      <w:r>
        <w:rPr>
          <w:rFonts w:eastAsia="Arial" w:cs="Arial"/>
          <w:color w:val="1A1A1A"/>
          <w:sz w:val="22"/>
          <w:szCs w:val="22"/>
        </w:rPr>
        <w:t>Consent, where appropriate.</w:t>
      </w:r>
    </w:p>
    <w:p>
      <w:pPr>
        <w:pStyle w:val="Normal"/>
        <w:spacing w:lineRule="exact" w:line="300" w:before="80" w:after="120"/>
        <w:rPr/>
      </w:pPr>
      <w:r>
        <w:rPr>
          <w:rFonts w:eastAsia="Arial" w:cs="Arial"/>
          <w:color w:val="1A1A1A"/>
          <w:sz w:val="22"/>
          <w:szCs w:val="22"/>
        </w:rPr>
        <w:t>For special category data, an Article 9 condition is identified. Where Cloudax acts as a processor on behalf of customers, the customer is responsible for the lawful basis for the underlying processing.</w:t>
      </w:r>
    </w:p>
    <w:p>
      <w:pPr>
        <w:pStyle w:val="Heading1"/>
        <w:spacing w:before="360" w:after="180"/>
        <w:rPr/>
      </w:pPr>
      <w:r>
        <w:rPr>
          <w:rFonts w:eastAsia="Arial" w:cs="Arial" w:ascii="Arial" w:hAnsi="Arial"/>
          <w:b/>
          <w:bCs/>
          <w:color w:val="0000FF"/>
          <w:sz w:val="36"/>
          <w:szCs w:val="36"/>
        </w:rPr>
        <w:t>6.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 has assessed its obligation to appoint a Data Protection Officer (DPO) under Article 37 of the UK GDPR. Where a DPO is not statutorily required, a Privacy Lead is appointed with equivalent coordinating responsibilities.</w:t>
      </w:r>
    </w:p>
    <w:p>
      <w:pPr>
        <w:pStyle w:val="ListParagraph"/>
        <w:numPr>
          <w:ilvl w:val="0"/>
          <w:numId w:val="1"/>
        </w:numPr>
        <w:spacing w:lineRule="exact" w:line="280" w:before="40" w:after="40"/>
        <w:rPr/>
      </w:pPr>
      <w:r>
        <w:rPr>
          <w:rFonts w:eastAsia="Arial" w:cs="Arial"/>
          <w:color w:val="1A1A1A"/>
          <w:sz w:val="22"/>
          <w:szCs w:val="22"/>
        </w:rPr>
        <w:t>Privacy Lead: monitors compliance, advises on DPIAs, coordinates personal data breach response, serves as the point of contact for data subjects and the ICO.</w:t>
      </w:r>
    </w:p>
    <w:p>
      <w:pPr>
        <w:pStyle w:val="ListParagraph"/>
        <w:numPr>
          <w:ilvl w:val="0"/>
          <w:numId w:val="1"/>
        </w:numPr>
        <w:spacing w:lineRule="exact" w:line="280" w:before="40" w:after="40"/>
        <w:rPr/>
      </w:pPr>
      <w:r>
        <w:rPr>
          <w:rFonts w:eastAsia="Arial" w:cs="Arial"/>
          <w:color w:val="1A1A1A"/>
          <w:sz w:val="22"/>
          <w:szCs w:val="22"/>
        </w:rPr>
        <w:t>Information Security Manager: ensures appropriate technical and organisational security measures are in place.</w:t>
      </w:r>
    </w:p>
    <w:p>
      <w:pPr>
        <w:pStyle w:val="ListParagraph"/>
        <w:numPr>
          <w:ilvl w:val="0"/>
          <w:numId w:val="1"/>
        </w:numPr>
        <w:spacing w:lineRule="exact" w:line="280" w:before="40" w:after="40"/>
        <w:rPr/>
      </w:pPr>
      <w:r>
        <w:rPr>
          <w:rFonts w:eastAsia="Arial" w:cs="Arial"/>
          <w:color w:val="1A1A1A"/>
          <w:sz w:val="22"/>
          <w:szCs w:val="22"/>
        </w:rPr>
        <w:t>Chief Technology Officer: ensures privacy by design and by default in the Cloudax platform.</w:t>
      </w:r>
    </w:p>
    <w:p>
      <w:pPr>
        <w:pStyle w:val="Heading1"/>
        <w:spacing w:before="360" w:after="180"/>
        <w:rPr/>
      </w:pPr>
      <w:r>
        <w:rPr>
          <w:rFonts w:eastAsia="Arial" w:cs="Arial" w:ascii="Arial" w:hAnsi="Arial"/>
          <w:b/>
          <w:bCs/>
          <w:color w:val="0000FF"/>
          <w:sz w:val="36"/>
          <w:szCs w:val="36"/>
        </w:rPr>
        <w:t>7. Records of Processing Activities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maintains a Record of Processing Activities (REG-ROPA-001) under Article 30 UK GDPR, covering processing activities both as controller and as processor. The ROPA is owned by the Privacy Lead and reviewed at least annually and on material change.</w:t>
      </w:r>
    </w:p>
    <w:p>
      <w:pPr>
        <w:pStyle w:val="Heading1"/>
        <w:spacing w:before="360" w:after="180"/>
        <w:rPr/>
      </w:pPr>
      <w:r>
        <w:rPr>
          <w:rFonts w:eastAsia="Arial" w:cs="Arial" w:ascii="Arial" w:hAnsi="Arial"/>
          <w:b/>
          <w:bCs/>
          <w:color w:val="0000FF"/>
          <w:sz w:val="36"/>
          <w:szCs w:val="36"/>
        </w:rPr>
        <w:t>8. Data Subject Rights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respects and facilitates the exercise of data subject rights under the UK GDPR — access, rectification, erasure, restriction, portability, objection, and rights related to automated decision-making and profiling.</w:t>
      </w:r>
    </w:p>
    <w:p>
      <w:pPr>
        <w:pStyle w:val="Normal"/>
        <w:spacing w:lineRule="exact" w:line="300" w:before="80" w:after="120"/>
        <w:rPr/>
      </w:pPr>
      <w:r>
        <w:rPr>
          <w:rFonts w:eastAsia="Arial" w:cs="Arial"/>
          <w:color w:val="1A1A1A"/>
          <w:sz w:val="22"/>
          <w:szCs w:val="22"/>
        </w:rPr>
        <w:t>Requests are handled by the Privacy Lead and responded to without undue delay, and in any event within one month of receipt subject to permitted extensions. Where Cloudax acts as a processor, requests received from data subjects are forwarded promptly to the relevant controller.</w:t>
      </w:r>
    </w:p>
    <w:p>
      <w:pPr>
        <w:pStyle w:val="Heading1"/>
        <w:spacing w:before="360" w:after="180"/>
        <w:rPr/>
      </w:pPr>
      <w:r>
        <w:rPr>
          <w:rFonts w:eastAsia="Arial" w:cs="Arial" w:ascii="Arial" w:hAnsi="Arial"/>
          <w:b/>
          <w:bCs/>
          <w:color w:val="0000FF"/>
          <w:sz w:val="36"/>
          <w:szCs w:val="36"/>
        </w:rPr>
        <w:t>9. Lawful Processing of Special Category and Voice Data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As a conversational AI provider, Cloudax may process voice recordings, transcripts, and derived metadata that contain personal data. In some contexts, these may include special category data or biometric data. Cloudax addresses this through:</w:t>
      </w:r>
    </w:p>
    <w:p>
      <w:pPr>
        <w:pStyle w:val="ListParagraph"/>
        <w:numPr>
          <w:ilvl w:val="0"/>
          <w:numId w:val="1"/>
        </w:numPr>
        <w:spacing w:lineRule="exact" w:line="280" w:before="40" w:after="40"/>
        <w:rPr/>
      </w:pPr>
      <w:r>
        <w:rPr>
          <w:rFonts w:eastAsia="Arial" w:cs="Arial"/>
          <w:color w:val="1A1A1A"/>
          <w:sz w:val="22"/>
          <w:szCs w:val="22"/>
        </w:rPr>
        <w:t>Customer agreements clearly allocate controller and processor roles.</w:t>
      </w:r>
    </w:p>
    <w:p>
      <w:pPr>
        <w:pStyle w:val="ListParagraph"/>
        <w:numPr>
          <w:ilvl w:val="0"/>
          <w:numId w:val="1"/>
        </w:numPr>
        <w:spacing w:lineRule="exact" w:line="280" w:before="40" w:after="40"/>
        <w:rPr/>
      </w:pPr>
      <w:r>
        <w:rPr>
          <w:rFonts w:eastAsia="Arial" w:cs="Arial"/>
          <w:color w:val="1A1A1A"/>
          <w:sz w:val="22"/>
          <w:szCs w:val="22"/>
        </w:rPr>
        <w:t>Voice and transcript data is treated as Confidential or Restricted under POL-004.</w:t>
      </w:r>
    </w:p>
    <w:p>
      <w:pPr>
        <w:pStyle w:val="ListParagraph"/>
        <w:numPr>
          <w:ilvl w:val="0"/>
          <w:numId w:val="1"/>
        </w:numPr>
        <w:spacing w:lineRule="exact" w:line="280" w:before="40" w:after="40"/>
        <w:rPr/>
      </w:pPr>
      <w:r>
        <w:rPr>
          <w:rFonts w:eastAsia="Arial" w:cs="Arial"/>
          <w:color w:val="1A1A1A"/>
          <w:sz w:val="22"/>
          <w:szCs w:val="22"/>
        </w:rPr>
        <w:t>Access is restricted on a least-privilege basis and logged.</w:t>
      </w:r>
    </w:p>
    <w:p>
      <w:pPr>
        <w:pStyle w:val="ListParagraph"/>
        <w:numPr>
          <w:ilvl w:val="0"/>
          <w:numId w:val="1"/>
        </w:numPr>
        <w:spacing w:lineRule="exact" w:line="280" w:before="40" w:after="40"/>
        <w:rPr/>
      </w:pPr>
      <w:r>
        <w:rPr>
          <w:rFonts w:eastAsia="Arial" w:cs="Arial"/>
          <w:color w:val="1A1A1A"/>
          <w:sz w:val="22"/>
          <w:szCs w:val="22"/>
        </w:rPr>
        <w:t>Voice biometric processing, where used, is subject to a DPIA and an explicit Article 9 condition.</w:t>
      </w:r>
    </w:p>
    <w:p>
      <w:pPr>
        <w:pStyle w:val="ListParagraph"/>
        <w:numPr>
          <w:ilvl w:val="0"/>
          <w:numId w:val="1"/>
        </w:numPr>
        <w:spacing w:lineRule="exact" w:line="280" w:before="40" w:after="40"/>
        <w:rPr/>
      </w:pPr>
      <w:r>
        <w:rPr>
          <w:rFonts w:eastAsia="Arial" w:cs="Arial"/>
          <w:color w:val="1A1A1A"/>
          <w:sz w:val="22"/>
          <w:szCs w:val="22"/>
        </w:rPr>
        <w:t>Customers are provided with information needed to inform their data subjects of the processing, including the use of AI.</w:t>
      </w:r>
    </w:p>
    <w:p>
      <w:pPr>
        <w:pStyle w:val="Heading1"/>
        <w:spacing w:before="360" w:after="180"/>
        <w:rPr/>
      </w:pPr>
      <w:r>
        <w:rPr>
          <w:rFonts w:eastAsia="Arial" w:cs="Arial" w:ascii="Arial" w:hAnsi="Arial"/>
          <w:b/>
          <w:bCs/>
          <w:color w:val="0000FF"/>
          <w:sz w:val="36"/>
          <w:szCs w:val="36"/>
        </w:rPr>
        <w:t>10. International Data Transfers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International transfers outside the UK use one of the safeguards permitted under the UK GDPR — adequacy regulations, the UK International Data Transfer Agreement (IDTA), the UK Addendum to the EU SCCs, Binding Corporate Rules, or other Article 46 / 49 provisions — supported by transfer risk assessments where required.</w:t>
      </w:r>
    </w:p>
    <w:p>
      <w:pPr>
        <w:pStyle w:val="Heading1"/>
        <w:spacing w:before="360" w:after="180"/>
        <w:rPr/>
      </w:pPr>
      <w:r>
        <w:rPr>
          <w:rFonts w:eastAsia="Arial" w:cs="Arial" w:ascii="Arial" w:hAnsi="Arial"/>
          <w:b/>
          <w:bCs/>
          <w:color w:val="0000FF"/>
          <w:sz w:val="36"/>
          <w:szCs w:val="36"/>
        </w:rPr>
        <w:t>11. Privacy by Design and by Default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Privacy considerations are embedded in the design of new features.</w:t>
      </w:r>
    </w:p>
    <w:p>
      <w:pPr>
        <w:pStyle w:val="ListParagraph"/>
        <w:numPr>
          <w:ilvl w:val="0"/>
          <w:numId w:val="1"/>
        </w:numPr>
        <w:spacing w:lineRule="exact" w:line="280" w:before="40" w:after="40"/>
        <w:rPr/>
      </w:pPr>
      <w:r>
        <w:rPr>
          <w:rFonts w:eastAsia="Arial" w:cs="Arial"/>
          <w:color w:val="1A1A1A"/>
          <w:sz w:val="22"/>
          <w:szCs w:val="22"/>
        </w:rPr>
        <w:t>Default settings minimise the personal data collected, processed, stored, and accessible.</w:t>
      </w:r>
    </w:p>
    <w:p>
      <w:pPr>
        <w:pStyle w:val="ListParagraph"/>
        <w:numPr>
          <w:ilvl w:val="0"/>
          <w:numId w:val="1"/>
        </w:numPr>
        <w:spacing w:lineRule="exact" w:line="280" w:before="40" w:after="40"/>
        <w:rPr/>
      </w:pPr>
      <w:r>
        <w:rPr>
          <w:rFonts w:eastAsia="Arial" w:cs="Arial"/>
          <w:color w:val="1A1A1A"/>
          <w:sz w:val="22"/>
          <w:szCs w:val="22"/>
        </w:rPr>
        <w:t>Pseudonymisation, encryption in transit and at rest, and access controls are applied to personal data.</w:t>
      </w:r>
    </w:p>
    <w:p>
      <w:pPr>
        <w:pStyle w:val="ListParagraph"/>
        <w:numPr>
          <w:ilvl w:val="0"/>
          <w:numId w:val="1"/>
        </w:numPr>
        <w:spacing w:lineRule="exact" w:line="280" w:before="40" w:after="40"/>
        <w:rPr/>
      </w:pPr>
      <w:r>
        <w:rPr>
          <w:rFonts w:eastAsia="Arial" w:cs="Arial"/>
          <w:color w:val="1A1A1A"/>
          <w:sz w:val="22"/>
          <w:szCs w:val="22"/>
        </w:rPr>
        <w:t>Logging and monitoring of access to personal data is in place, with logs protected against tampering.</w:t>
      </w:r>
    </w:p>
    <w:p>
      <w:pPr>
        <w:pStyle w:val="Heading1"/>
        <w:spacing w:before="360" w:after="180"/>
        <w:rPr/>
      </w:pPr>
      <w:r>
        <w:rPr>
          <w:rFonts w:eastAsia="Arial" w:cs="Arial" w:ascii="Arial" w:hAnsi="Arial"/>
          <w:b/>
          <w:bCs/>
          <w:color w:val="0000FF"/>
          <w:sz w:val="36"/>
          <w:szCs w:val="36"/>
        </w:rPr>
        <w:t>12. Data Protection Impact Assessments (DPIAs)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conducts a DPIA for any processing likely to result in a high risk to the rights and freedoms of natural persons, including:</w:t>
      </w:r>
    </w:p>
    <w:p>
      <w:pPr>
        <w:pStyle w:val="ListParagraph"/>
        <w:numPr>
          <w:ilvl w:val="0"/>
          <w:numId w:val="1"/>
        </w:numPr>
        <w:spacing w:lineRule="exact" w:line="280" w:before="40" w:after="40"/>
        <w:rPr/>
      </w:pPr>
      <w:r>
        <w:rPr>
          <w:rFonts w:eastAsia="Arial" w:cs="Arial"/>
          <w:color w:val="1A1A1A"/>
          <w:sz w:val="22"/>
          <w:szCs w:val="22"/>
        </w:rPr>
        <w:t>Systematic and extensive evaluation through automated processing.</w:t>
      </w:r>
    </w:p>
    <w:p>
      <w:pPr>
        <w:pStyle w:val="ListParagraph"/>
        <w:numPr>
          <w:ilvl w:val="0"/>
          <w:numId w:val="1"/>
        </w:numPr>
        <w:spacing w:lineRule="exact" w:line="280" w:before="40" w:after="40"/>
        <w:rPr/>
      </w:pPr>
      <w:r>
        <w:rPr>
          <w:rFonts w:eastAsia="Arial" w:cs="Arial"/>
          <w:color w:val="1A1A1A"/>
          <w:sz w:val="22"/>
          <w:szCs w:val="22"/>
        </w:rPr>
        <w:t>Large-scale processing of special category or criminal offence data.</w:t>
      </w:r>
    </w:p>
    <w:p>
      <w:pPr>
        <w:pStyle w:val="ListParagraph"/>
        <w:numPr>
          <w:ilvl w:val="0"/>
          <w:numId w:val="1"/>
        </w:numPr>
        <w:spacing w:lineRule="exact" w:line="280" w:before="40" w:after="40"/>
        <w:rPr/>
      </w:pPr>
      <w:r>
        <w:rPr>
          <w:rFonts w:eastAsia="Arial" w:cs="Arial"/>
          <w:color w:val="1A1A1A"/>
          <w:sz w:val="22"/>
          <w:szCs w:val="22"/>
        </w:rPr>
        <w:t>New applications of conversational AI, voice biometrics, or generative AI.</w:t>
      </w:r>
    </w:p>
    <w:p>
      <w:pPr>
        <w:pStyle w:val="Normal"/>
        <w:spacing w:lineRule="exact" w:line="300" w:before="80" w:after="120"/>
        <w:rPr/>
      </w:pPr>
      <w:r>
        <w:rPr>
          <w:rFonts w:eastAsia="Arial" w:cs="Arial"/>
          <w:color w:val="1A1A1A"/>
          <w:sz w:val="22"/>
          <w:szCs w:val="22"/>
        </w:rPr>
        <w:t>DPIAs are recorded in the DPIA Register (REG-DPIA-001). High residual risk that cannot be mitigated requires consultation with the ICO before processing begins.</w:t>
      </w:r>
    </w:p>
    <w:p>
      <w:pPr>
        <w:pStyle w:val="Heading1"/>
        <w:spacing w:before="360" w:after="180"/>
        <w:rPr/>
      </w:pPr>
      <w:r>
        <w:rPr>
          <w:rFonts w:eastAsia="Arial" w:cs="Arial" w:ascii="Arial" w:hAnsi="Arial"/>
          <w:b/>
          <w:bCs/>
          <w:color w:val="0000FF"/>
          <w:sz w:val="36"/>
          <w:szCs w:val="36"/>
        </w:rPr>
        <w:t>13. Personal Data Breach Management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Personal data breaches are managed in accordance with PLAN-IRP-001 Incident Response Plan and PRO-024 Breach Notification Procedure.</w:t>
      </w:r>
    </w:p>
    <w:p>
      <w:pPr>
        <w:pStyle w:val="ListParagraph"/>
        <w:numPr>
          <w:ilvl w:val="0"/>
          <w:numId w:val="1"/>
        </w:numPr>
        <w:spacing w:lineRule="exact" w:line="280" w:before="40" w:after="40"/>
        <w:rPr/>
      </w:pPr>
      <w:r>
        <w:rPr>
          <w:rFonts w:eastAsia="Arial" w:cs="Arial"/>
          <w:color w:val="1A1A1A"/>
          <w:sz w:val="22"/>
          <w:szCs w:val="22"/>
        </w:rPr>
        <w:t>Where Cloudax is a controller and the breach is likely to result in a risk to data subjects, the ICO is notified without undue delay and, where feasible, within 72 hours.</w:t>
      </w:r>
    </w:p>
    <w:p>
      <w:pPr>
        <w:pStyle w:val="ListParagraph"/>
        <w:numPr>
          <w:ilvl w:val="0"/>
          <w:numId w:val="1"/>
        </w:numPr>
        <w:spacing w:lineRule="exact" w:line="280" w:before="40" w:after="40"/>
        <w:rPr/>
      </w:pPr>
      <w:r>
        <w:rPr>
          <w:rFonts w:eastAsia="Arial" w:cs="Arial"/>
          <w:color w:val="1A1A1A"/>
          <w:sz w:val="22"/>
          <w:szCs w:val="22"/>
        </w:rPr>
        <w:t>Where the breach is likely to result in a high risk, affected data subjects are notified without undue delay.</w:t>
      </w:r>
    </w:p>
    <w:p>
      <w:pPr>
        <w:pStyle w:val="ListParagraph"/>
        <w:numPr>
          <w:ilvl w:val="0"/>
          <w:numId w:val="1"/>
        </w:numPr>
        <w:spacing w:lineRule="exact" w:line="280" w:before="40" w:after="40"/>
        <w:rPr/>
      </w:pPr>
      <w:r>
        <w:rPr>
          <w:rFonts w:eastAsia="Arial" w:cs="Arial"/>
          <w:color w:val="1A1A1A"/>
          <w:sz w:val="22"/>
          <w:szCs w:val="22"/>
        </w:rPr>
        <w:t>Where Cloudax is a processor, the relevant controller is notified in accordance with the DPA.</w:t>
      </w:r>
    </w:p>
    <w:p>
      <w:pPr>
        <w:pStyle w:val="Heading1"/>
        <w:spacing w:before="360" w:after="180"/>
        <w:rPr/>
      </w:pPr>
      <w:r>
        <w:rPr>
          <w:rFonts w:eastAsia="Arial" w:cs="Arial" w:ascii="Arial" w:hAnsi="Arial"/>
          <w:b/>
          <w:bCs/>
          <w:color w:val="0000FF"/>
          <w:sz w:val="36"/>
          <w:szCs w:val="36"/>
        </w:rPr>
        <w:t>14. Engaging Processors and Sub-Processors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Engagements involving personal data are subject to written contracts that meet the requirements of Article 28 UK GDPR, in line with POL-006 Supplier Security Policy.</w:t>
      </w:r>
    </w:p>
    <w:p>
      <w:pPr>
        <w:pStyle w:val="Heading1"/>
        <w:spacing w:before="360" w:after="180"/>
        <w:rPr/>
      </w:pPr>
      <w:r>
        <w:rPr>
          <w:rFonts w:eastAsia="Arial" w:cs="Arial" w:ascii="Arial" w:hAnsi="Arial"/>
          <w:b/>
          <w:bCs/>
          <w:color w:val="0000FF"/>
          <w:sz w:val="36"/>
          <w:szCs w:val="36"/>
        </w:rPr>
        <w:t>15. Training and Compliance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receive privacy awareness training as part of induction (PROG-TRAIN-001) and at regular intervals. Compliance is monitored through internal audit and management review.</w:t>
      </w:r>
    </w:p>
    <w:p>
      <w:pPr>
        <w:pStyle w:val="Heading1"/>
        <w:spacing w:before="360" w:after="180"/>
        <w:rPr/>
      </w:pPr>
      <w:r>
        <w:rPr>
          <w:rFonts w:eastAsia="Arial" w:cs="Arial" w:ascii="Arial" w:hAnsi="Arial"/>
          <w:b/>
          <w:bCs/>
          <w:color w:val="0000FF"/>
          <w:sz w:val="36"/>
          <w:szCs w:val="36"/>
        </w:rPr>
        <w:t>16.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w:t>
      </w:r>
    </w:p>
    <w:p>
      <w:pPr>
        <w:pStyle w:val="Heading1"/>
        <w:spacing w:before="360" w:after="180"/>
        <w:rPr/>
      </w:pPr>
      <w:r>
        <w:rPr>
          <w:rFonts w:eastAsia="Arial" w:cs="Arial" w:ascii="Arial" w:hAnsi="Arial"/>
          <w:b/>
          <w:bCs/>
          <w:color w:val="0000FF"/>
          <w:sz w:val="36"/>
          <w:szCs w:val="36"/>
        </w:rPr>
        <w:t>17.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gives effect to the following ISO/IEC 27001:2022 Annex A controls, as recorded in the Cloudax Statement of Applicability (ISMS-SOA-001 v4.0). The authoritative list of applicable controls and their justification for applicability is the SoA itself.</w:t>
      </w:r>
    </w:p>
    <w:tbl>
      <w:tblPr>
        <w:tblW w:w="9026" w:type="dxa"/>
        <w:jc w:val="start"/>
        <w:tblInd w:w="0" w:type="dxa"/>
        <w:tblLayout w:type="fixed"/>
        <w:tblCellMar>
          <w:top w:w="100" w:type="dxa"/>
          <w:start w:w="160" w:type="dxa"/>
          <w:bottom w:w="100" w:type="dxa"/>
          <w:end w:w="16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A.5.34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Privacy and protection of PII</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 Document numbering aligned to ISMS-MAP-001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POL-010 Privacy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POL-010 Privacy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2026-04-28T09:02:24Z</dcterms:created>
  <dc:creator>David Stokes</dc:creator>
  <dc:description/>
  <dc:language>en-US</dc:language>
  <cp:lastModifiedBy>David Stokes</cp:lastModifiedBy>
  <dcterms:modified xsi:type="dcterms:W3CDTF">2026-04-28T11:06:24Z</dcterms:modified>
  <cp:revision>1</cp:revision>
  <dc:subject/>
  <dc:title>Cloudax Privacy Policy</dc:title>
</cp:coreProperties>
</file>

<file path=docProps/custom.xml><?xml version="1.0" encoding="utf-8"?>
<Properties xmlns="http://schemas.openxmlformats.org/officeDocument/2006/custom-properties" xmlns:vt="http://schemas.openxmlformats.org/officeDocument/2006/docPropsVTypes"/>
</file>