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Information Handling Procedure</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PRO-008</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Information Handling Procedure</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Handling Rules by Classification</w:t>
      </w:r>
    </w:p>
    <w:p>
      <w:pPr>
        <w:pStyle w:val="Normal"/>
        <w:spacing w:before="40" w:after="40"/>
        <w:rPr/>
      </w:pPr>
      <w:r>
        <w:rPr>
          <w:rFonts w:eastAsia="Arial" w:cs="Arial"/>
          <w:color w:val="1A1A1A"/>
          <w:sz w:val="22"/>
          <w:szCs w:val="22"/>
        </w:rPr>
        <w:t xml:space="preserve">   </w:t>
      </w:r>
      <w:r>
        <w:rPr>
          <w:rFonts w:eastAsia="Arial" w:cs="Arial"/>
          <w:color w:val="1A1A1A"/>
          <w:sz w:val="22"/>
          <w:szCs w:val="22"/>
        </w:rPr>
        <w:t>6.1 Public</w:t>
      </w:r>
    </w:p>
    <w:p>
      <w:pPr>
        <w:pStyle w:val="Normal"/>
        <w:spacing w:before="40" w:after="40"/>
        <w:rPr/>
      </w:pPr>
      <w:r>
        <w:rPr>
          <w:rFonts w:eastAsia="Arial" w:cs="Arial"/>
          <w:color w:val="1A1A1A"/>
          <w:sz w:val="22"/>
          <w:szCs w:val="22"/>
        </w:rPr>
        <w:t xml:space="preserve">   </w:t>
      </w:r>
      <w:r>
        <w:rPr>
          <w:rFonts w:eastAsia="Arial" w:cs="Arial"/>
          <w:color w:val="1A1A1A"/>
          <w:sz w:val="22"/>
          <w:szCs w:val="22"/>
        </w:rPr>
        <w:t>6.2 Internal</w:t>
      </w:r>
    </w:p>
    <w:p>
      <w:pPr>
        <w:pStyle w:val="Normal"/>
        <w:spacing w:before="40" w:after="40"/>
        <w:rPr/>
      </w:pPr>
      <w:r>
        <w:rPr>
          <w:rFonts w:eastAsia="Arial" w:cs="Arial"/>
          <w:color w:val="1A1A1A"/>
          <w:sz w:val="22"/>
          <w:szCs w:val="22"/>
        </w:rPr>
        <w:t xml:space="preserve">   </w:t>
      </w:r>
      <w:r>
        <w:rPr>
          <w:rFonts w:eastAsia="Arial" w:cs="Arial"/>
          <w:color w:val="1A1A1A"/>
          <w:sz w:val="22"/>
          <w:szCs w:val="22"/>
        </w:rPr>
        <w:t>6.3 Confidential</w:t>
      </w:r>
    </w:p>
    <w:p>
      <w:pPr>
        <w:pStyle w:val="Normal"/>
        <w:spacing w:before="40" w:after="40"/>
        <w:rPr/>
      </w:pPr>
      <w:r>
        <w:rPr>
          <w:rFonts w:eastAsia="Arial" w:cs="Arial"/>
          <w:color w:val="1A1A1A"/>
          <w:sz w:val="22"/>
          <w:szCs w:val="22"/>
        </w:rPr>
        <w:t xml:space="preserve">   </w:t>
      </w:r>
      <w:r>
        <w:rPr>
          <w:rFonts w:eastAsia="Arial" w:cs="Arial"/>
          <w:color w:val="1A1A1A"/>
          <w:sz w:val="22"/>
          <w:szCs w:val="22"/>
        </w:rPr>
        <w:t>6.4 Restricted</w:t>
      </w:r>
    </w:p>
    <w:p>
      <w:pPr>
        <w:pStyle w:val="Normal"/>
        <w:spacing w:before="40" w:after="40"/>
        <w:rPr/>
      </w:pPr>
      <w:r>
        <w:rPr>
          <w:rFonts w:eastAsia="Arial" w:cs="Arial"/>
          <w:color w:val="1A1A1A"/>
          <w:sz w:val="22"/>
          <w:szCs w:val="22"/>
        </w:rPr>
        <w:t>7. Storage Requirements</w:t>
      </w:r>
    </w:p>
    <w:p>
      <w:pPr>
        <w:pStyle w:val="Normal"/>
        <w:spacing w:before="40" w:after="40"/>
        <w:rPr/>
      </w:pPr>
      <w:r>
        <w:rPr>
          <w:rFonts w:eastAsia="Arial" w:cs="Arial"/>
          <w:color w:val="1A1A1A"/>
          <w:sz w:val="22"/>
          <w:szCs w:val="22"/>
        </w:rPr>
        <w:t>8. Transmission Requirements</w:t>
      </w:r>
    </w:p>
    <w:p>
      <w:pPr>
        <w:pStyle w:val="Normal"/>
        <w:spacing w:before="40" w:after="40"/>
        <w:rPr/>
      </w:pPr>
      <w:r>
        <w:rPr>
          <w:rFonts w:eastAsia="Arial" w:cs="Arial"/>
          <w:color w:val="1A1A1A"/>
          <w:sz w:val="22"/>
          <w:szCs w:val="22"/>
        </w:rPr>
        <w:t>9. Sharing and Disclosure</w:t>
      </w:r>
    </w:p>
    <w:p>
      <w:pPr>
        <w:pStyle w:val="Normal"/>
        <w:spacing w:before="40" w:after="40"/>
        <w:rPr/>
      </w:pPr>
      <w:r>
        <w:rPr>
          <w:rFonts w:eastAsia="Arial" w:cs="Arial"/>
          <w:color w:val="1A1A1A"/>
          <w:sz w:val="22"/>
          <w:szCs w:val="22"/>
        </w:rPr>
        <w:t>10. Printing and Physical Copies</w:t>
      </w:r>
    </w:p>
    <w:p>
      <w:pPr>
        <w:pStyle w:val="Normal"/>
        <w:spacing w:before="40" w:after="40"/>
        <w:rPr/>
      </w:pPr>
      <w:r>
        <w:rPr>
          <w:rFonts w:eastAsia="Arial" w:cs="Arial"/>
          <w:color w:val="1A1A1A"/>
          <w:sz w:val="22"/>
          <w:szCs w:val="22"/>
        </w:rPr>
        <w:t>11. Disposal</w:t>
      </w:r>
    </w:p>
    <w:p>
      <w:pPr>
        <w:pStyle w:val="Normal"/>
        <w:spacing w:before="40" w:after="40"/>
        <w:rPr/>
      </w:pPr>
      <w:r>
        <w:rPr>
          <w:rFonts w:eastAsia="Arial" w:cs="Arial"/>
          <w:color w:val="1A1A1A"/>
          <w:sz w:val="22"/>
          <w:szCs w:val="22"/>
        </w:rPr>
        <w:t>12. Special Cases</w:t>
      </w:r>
    </w:p>
    <w:p>
      <w:pPr>
        <w:pStyle w:val="Normal"/>
        <w:spacing w:before="40" w:after="40"/>
        <w:rPr/>
      </w:pPr>
      <w:r>
        <w:rPr>
          <w:rFonts w:eastAsia="Arial" w:cs="Arial"/>
          <w:color w:val="1A1A1A"/>
          <w:sz w:val="22"/>
          <w:szCs w:val="22"/>
        </w:rPr>
        <w:t xml:space="preserve">   </w:t>
      </w:r>
      <w:r>
        <w:rPr>
          <w:rFonts w:eastAsia="Arial" w:cs="Arial"/>
          <w:color w:val="1A1A1A"/>
          <w:sz w:val="22"/>
          <w:szCs w:val="22"/>
        </w:rPr>
        <w:t>12.1 Customer Voice and Transcript Data</w:t>
      </w:r>
    </w:p>
    <w:p>
      <w:pPr>
        <w:pStyle w:val="Normal"/>
        <w:spacing w:before="40" w:after="40"/>
        <w:rPr/>
      </w:pPr>
      <w:r>
        <w:rPr>
          <w:rFonts w:eastAsia="Arial" w:cs="Arial"/>
          <w:color w:val="1A1A1A"/>
          <w:sz w:val="22"/>
          <w:szCs w:val="22"/>
        </w:rPr>
        <w:t xml:space="preserve">   </w:t>
      </w:r>
      <w:r>
        <w:rPr>
          <w:rFonts w:eastAsia="Arial" w:cs="Arial"/>
          <w:color w:val="1A1A1A"/>
          <w:sz w:val="22"/>
          <w:szCs w:val="22"/>
        </w:rPr>
        <w:t>12.2 Personal Data</w:t>
      </w:r>
    </w:p>
    <w:p>
      <w:pPr>
        <w:pStyle w:val="Normal"/>
        <w:spacing w:before="40" w:after="40"/>
        <w:rPr/>
      </w:pPr>
      <w:r>
        <w:rPr>
          <w:rFonts w:eastAsia="Arial" w:cs="Arial"/>
          <w:color w:val="1A1A1A"/>
          <w:sz w:val="22"/>
          <w:szCs w:val="22"/>
        </w:rPr>
        <w:t xml:space="preserve">   </w:t>
      </w:r>
      <w:r>
        <w:rPr>
          <w:rFonts w:eastAsia="Arial" w:cs="Arial"/>
          <w:color w:val="1A1A1A"/>
          <w:sz w:val="22"/>
          <w:szCs w:val="22"/>
        </w:rPr>
        <w:t>12.3 Secrets and Cryptographic Material</w:t>
      </w:r>
    </w:p>
    <w:p>
      <w:pPr>
        <w:pStyle w:val="Normal"/>
        <w:spacing w:before="40" w:after="40"/>
        <w:rPr/>
      </w:pPr>
      <w:r>
        <w:rPr>
          <w:rFonts w:eastAsia="Arial" w:cs="Arial"/>
          <w:color w:val="1A1A1A"/>
          <w:sz w:val="22"/>
          <w:szCs w:val="22"/>
        </w:rPr>
        <w:t>13. Compliance Monitoring</w:t>
      </w:r>
    </w:p>
    <w:p>
      <w:pPr>
        <w:pStyle w:val="Normal"/>
        <w:spacing w:before="40" w:after="40"/>
        <w:rPr/>
      </w:pPr>
      <w:r>
        <w:rPr>
          <w:rFonts w:eastAsia="Arial" w:cs="Arial"/>
          <w:color w:val="1A1A1A"/>
          <w:sz w:val="22"/>
          <w:szCs w:val="22"/>
        </w:rPr>
        <w:t>14. Maintenance</w:t>
      </w:r>
    </w:p>
    <w:p>
      <w:pPr>
        <w:pStyle w:val="Normal"/>
        <w:spacing w:before="40" w:after="40"/>
        <w:rPr/>
      </w:pPr>
      <w:r>
        <w:rPr>
          <w:rFonts w:eastAsia="Arial" w:cs="Arial"/>
          <w:color w:val="1A1A1A"/>
          <w:sz w:val="22"/>
          <w:szCs w:val="22"/>
        </w:rPr>
        <w:t>15.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provides operational handling rules for information at each classification level under POL-004 Information Classification Policy. It implements the requirement to handle assets in accordance with their classification under A.5.10 Acceptable use and A.5.13 Labelling, and supports A.5.8 Information security in project management where projects produce or handle classified material.</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A.5.8 Information security in project management; supports A.5.10 and A.5.13</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applies to all information processed by Cloudax in any form (electronic, paper, verbal, or recorded), and to all personnel and authorised third parties.</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Classification: </w:t>
      </w:r>
      <w:r>
        <w:rPr>
          <w:rFonts w:eastAsia="Arial" w:cs="Arial"/>
          <w:color w:val="1A1A1A"/>
          <w:sz w:val="22"/>
          <w:szCs w:val="22"/>
        </w:rPr>
        <w:t>Public, Internal, Confidential, or Restricted (POL-004).</w:t>
      </w:r>
    </w:p>
    <w:p>
      <w:pPr>
        <w:pStyle w:val="ListParagraph"/>
        <w:numPr>
          <w:ilvl w:val="0"/>
          <w:numId w:val="1"/>
        </w:numPr>
        <w:spacing w:lineRule="exact" w:line="280" w:before="40" w:after="40"/>
        <w:rPr/>
      </w:pPr>
      <w:r>
        <w:rPr>
          <w:rFonts w:eastAsia="Arial" w:cs="Arial"/>
          <w:b/>
          <w:bCs/>
          <w:color w:val="1A1A1A"/>
          <w:sz w:val="22"/>
          <w:szCs w:val="22"/>
        </w:rPr>
        <w:t xml:space="preserve">Handling: </w:t>
      </w:r>
      <w:r>
        <w:rPr>
          <w:rFonts w:eastAsia="Arial" w:cs="Arial"/>
          <w:color w:val="1A1A1A"/>
          <w:sz w:val="22"/>
          <w:szCs w:val="22"/>
        </w:rPr>
        <w:t>the storage, access, transmission, sharing, printing, and disposal of information.</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Apply protection commensurate with classification.</w:t>
      </w:r>
    </w:p>
    <w:p>
      <w:pPr>
        <w:pStyle w:val="ListParagraph"/>
        <w:numPr>
          <w:ilvl w:val="0"/>
          <w:numId w:val="1"/>
        </w:numPr>
        <w:spacing w:lineRule="exact" w:line="280" w:before="40" w:after="40"/>
        <w:rPr/>
      </w:pPr>
      <w:r>
        <w:rPr>
          <w:rFonts w:eastAsia="Arial" w:cs="Arial"/>
          <w:color w:val="1A1A1A"/>
          <w:sz w:val="22"/>
          <w:szCs w:val="22"/>
        </w:rPr>
        <w:t>When in doubt, apply the higher level.</w:t>
      </w:r>
    </w:p>
    <w:p>
      <w:pPr>
        <w:pStyle w:val="ListParagraph"/>
        <w:numPr>
          <w:ilvl w:val="0"/>
          <w:numId w:val="1"/>
        </w:numPr>
        <w:spacing w:lineRule="exact" w:line="280" w:before="40" w:after="40"/>
        <w:rPr/>
      </w:pPr>
      <w:r>
        <w:rPr>
          <w:rFonts w:eastAsia="Arial" w:cs="Arial"/>
          <w:color w:val="1A1A1A"/>
          <w:sz w:val="22"/>
          <w:szCs w:val="22"/>
        </w:rPr>
        <w:t>Treat unmarked material as Internal until confirmed.</w:t>
      </w:r>
    </w:p>
    <w:p>
      <w:pPr>
        <w:pStyle w:val="ListParagraph"/>
        <w:numPr>
          <w:ilvl w:val="0"/>
          <w:numId w:val="1"/>
        </w:numPr>
        <w:spacing w:lineRule="exact" w:line="280" w:before="40" w:after="40"/>
        <w:rPr/>
      </w:pPr>
      <w:r>
        <w:rPr>
          <w:rFonts w:eastAsia="Arial" w:cs="Arial"/>
          <w:color w:val="1A1A1A"/>
          <w:sz w:val="22"/>
          <w:szCs w:val="22"/>
        </w:rPr>
        <w:t>Verify recipients before transmitting Confidential or Restricted information.</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owners: ensure information is correctly classified and handled.</w:t>
      </w:r>
    </w:p>
    <w:p>
      <w:pPr>
        <w:pStyle w:val="ListParagraph"/>
        <w:numPr>
          <w:ilvl w:val="0"/>
          <w:numId w:val="1"/>
        </w:numPr>
        <w:spacing w:lineRule="exact" w:line="280" w:before="40" w:after="40"/>
        <w:rPr/>
      </w:pPr>
      <w:r>
        <w:rPr>
          <w:rFonts w:eastAsia="Arial" w:cs="Arial"/>
          <w:color w:val="1A1A1A"/>
          <w:sz w:val="22"/>
          <w:szCs w:val="22"/>
        </w:rPr>
        <w:t>All personnel: apply the handling rules in their day-to-day work.</w:t>
      </w:r>
    </w:p>
    <w:p>
      <w:pPr>
        <w:pStyle w:val="ListParagraph"/>
        <w:numPr>
          <w:ilvl w:val="0"/>
          <w:numId w:val="1"/>
        </w:numPr>
        <w:spacing w:lineRule="exact" w:line="280" w:before="40" w:after="40"/>
        <w:rPr/>
      </w:pPr>
      <w:r>
        <w:rPr>
          <w:rFonts w:eastAsia="Arial" w:cs="Arial"/>
          <w:color w:val="1A1A1A"/>
          <w:sz w:val="22"/>
          <w:szCs w:val="22"/>
        </w:rPr>
        <w:t>Information Security Manager: owns this Procedure; addresses ambiguous cases.</w:t>
      </w:r>
    </w:p>
    <w:p>
      <w:pPr>
        <w:pStyle w:val="Heading1"/>
        <w:spacing w:before="360" w:after="180"/>
        <w:rPr/>
      </w:pPr>
      <w:r>
        <w:rPr>
          <w:rFonts w:eastAsia="Arial" w:cs="Arial" w:ascii="Arial" w:hAnsi="Arial"/>
          <w:b/>
          <w:bCs/>
          <w:color w:val="0000FF"/>
          <w:sz w:val="36"/>
          <w:szCs w:val="36"/>
        </w:rPr>
        <w:t>6. Handling Rules by Classification</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6.1 Public</w:t>
      </w:r>
    </w:p>
    <w:p>
      <w:pPr>
        <w:pStyle w:val="ListParagraph"/>
        <w:numPr>
          <w:ilvl w:val="0"/>
          <w:numId w:val="1"/>
        </w:numPr>
        <w:spacing w:lineRule="exact" w:line="280" w:before="40" w:after="40"/>
        <w:rPr/>
      </w:pPr>
      <w:r>
        <w:rPr>
          <w:rFonts w:eastAsia="Arial" w:cs="Arial"/>
          <w:color w:val="1A1A1A"/>
          <w:sz w:val="22"/>
          <w:szCs w:val="22"/>
        </w:rPr>
        <w:t>Storage: any approved Cloudax system.</w:t>
      </w:r>
    </w:p>
    <w:p>
      <w:pPr>
        <w:pStyle w:val="ListParagraph"/>
        <w:numPr>
          <w:ilvl w:val="0"/>
          <w:numId w:val="1"/>
        </w:numPr>
        <w:spacing w:lineRule="exact" w:line="280" w:before="40" w:after="40"/>
        <w:rPr/>
      </w:pPr>
      <w:r>
        <w:rPr>
          <w:rFonts w:eastAsia="Arial" w:cs="Arial"/>
          <w:color w:val="1A1A1A"/>
          <w:sz w:val="22"/>
          <w:szCs w:val="22"/>
        </w:rPr>
        <w:t>Transmission: no specific restrictions.</w:t>
      </w:r>
    </w:p>
    <w:p>
      <w:pPr>
        <w:pStyle w:val="ListParagraph"/>
        <w:numPr>
          <w:ilvl w:val="0"/>
          <w:numId w:val="1"/>
        </w:numPr>
        <w:spacing w:lineRule="exact" w:line="280" w:before="40" w:after="40"/>
        <w:rPr/>
      </w:pPr>
      <w:r>
        <w:rPr>
          <w:rFonts w:eastAsia="Arial" w:cs="Arial"/>
          <w:color w:val="1A1A1A"/>
          <w:sz w:val="22"/>
          <w:szCs w:val="22"/>
        </w:rPr>
        <w:t>Sharing: unrestricted.</w:t>
      </w:r>
    </w:p>
    <w:p>
      <w:pPr>
        <w:pStyle w:val="ListParagraph"/>
        <w:numPr>
          <w:ilvl w:val="0"/>
          <w:numId w:val="1"/>
        </w:numPr>
        <w:spacing w:lineRule="exact" w:line="280" w:before="40" w:after="40"/>
        <w:rPr/>
      </w:pPr>
      <w:r>
        <w:rPr>
          <w:rFonts w:eastAsia="Arial" w:cs="Arial"/>
          <w:color w:val="1A1A1A"/>
          <w:sz w:val="22"/>
          <w:szCs w:val="22"/>
        </w:rPr>
        <w:t>Disposal: standard.</w:t>
      </w:r>
    </w:p>
    <w:p>
      <w:pPr>
        <w:pStyle w:val="Heading2"/>
        <w:spacing w:before="280" w:after="140"/>
        <w:rPr/>
      </w:pPr>
      <w:r>
        <w:rPr>
          <w:rFonts w:eastAsia="Arial" w:cs="Arial" w:ascii="Arial" w:hAnsi="Arial"/>
          <w:b/>
          <w:bCs/>
          <w:color w:val="0000FF"/>
          <w:sz w:val="28"/>
          <w:szCs w:val="28"/>
        </w:rPr>
        <w:t>6.2 Internal</w:t>
      </w:r>
    </w:p>
    <w:p>
      <w:pPr>
        <w:pStyle w:val="ListParagraph"/>
        <w:numPr>
          <w:ilvl w:val="0"/>
          <w:numId w:val="1"/>
        </w:numPr>
        <w:spacing w:lineRule="exact" w:line="280" w:before="40" w:after="40"/>
        <w:rPr/>
      </w:pPr>
      <w:r>
        <w:rPr>
          <w:rFonts w:eastAsia="Arial" w:cs="Arial"/>
          <w:color w:val="1A1A1A"/>
          <w:sz w:val="22"/>
          <w:szCs w:val="22"/>
        </w:rPr>
        <w:t>Storage: Cloudax-approved systems only (Microsoft 365, approved cloud, approved repositories).</w:t>
      </w:r>
    </w:p>
    <w:p>
      <w:pPr>
        <w:pStyle w:val="ListParagraph"/>
        <w:numPr>
          <w:ilvl w:val="0"/>
          <w:numId w:val="1"/>
        </w:numPr>
        <w:spacing w:lineRule="exact" w:line="280" w:before="40" w:after="40"/>
        <w:rPr/>
      </w:pPr>
      <w:r>
        <w:rPr>
          <w:rFonts w:eastAsia="Arial" w:cs="Arial"/>
          <w:color w:val="1A1A1A"/>
          <w:sz w:val="22"/>
          <w:szCs w:val="22"/>
        </w:rPr>
        <w:t>Transmission: Cloudax channels (email, Teams, approved file sharing).</w:t>
      </w:r>
    </w:p>
    <w:p>
      <w:pPr>
        <w:pStyle w:val="ListParagraph"/>
        <w:numPr>
          <w:ilvl w:val="0"/>
          <w:numId w:val="1"/>
        </w:numPr>
        <w:spacing w:lineRule="exact" w:line="280" w:before="40" w:after="40"/>
        <w:rPr/>
      </w:pPr>
      <w:r>
        <w:rPr>
          <w:rFonts w:eastAsia="Arial" w:cs="Arial"/>
          <w:color w:val="1A1A1A"/>
          <w:sz w:val="22"/>
          <w:szCs w:val="22"/>
        </w:rPr>
        <w:t>Sharing externally: only with business reason.</w:t>
      </w:r>
    </w:p>
    <w:p>
      <w:pPr>
        <w:pStyle w:val="ListParagraph"/>
        <w:numPr>
          <w:ilvl w:val="0"/>
          <w:numId w:val="1"/>
        </w:numPr>
        <w:spacing w:lineRule="exact" w:line="280" w:before="40" w:after="40"/>
        <w:rPr/>
      </w:pPr>
      <w:r>
        <w:rPr>
          <w:rFonts w:eastAsia="Arial" w:cs="Arial"/>
          <w:color w:val="1A1A1A"/>
          <w:sz w:val="22"/>
          <w:szCs w:val="22"/>
        </w:rPr>
        <w:t>Disposal: standard recycling for paper; standard digital deletion.</w:t>
      </w:r>
    </w:p>
    <w:p>
      <w:pPr>
        <w:pStyle w:val="Heading2"/>
        <w:spacing w:before="280" w:after="140"/>
        <w:rPr/>
      </w:pPr>
      <w:r>
        <w:rPr>
          <w:rFonts w:eastAsia="Arial" w:cs="Arial" w:ascii="Arial" w:hAnsi="Arial"/>
          <w:b/>
          <w:bCs/>
          <w:color w:val="0000FF"/>
          <w:sz w:val="28"/>
          <w:szCs w:val="28"/>
        </w:rPr>
        <w:t>6.3 Confidential</w:t>
      </w:r>
    </w:p>
    <w:p>
      <w:pPr>
        <w:pStyle w:val="ListParagraph"/>
        <w:numPr>
          <w:ilvl w:val="0"/>
          <w:numId w:val="1"/>
        </w:numPr>
        <w:spacing w:lineRule="exact" w:line="280" w:before="40" w:after="40"/>
        <w:rPr/>
      </w:pPr>
      <w:r>
        <w:rPr>
          <w:rFonts w:eastAsia="Arial" w:cs="Arial"/>
          <w:color w:val="1A1A1A"/>
          <w:sz w:val="22"/>
          <w:szCs w:val="22"/>
        </w:rPr>
        <w:t>Storage: Cloudax-approved systems with access controls.</w:t>
      </w:r>
    </w:p>
    <w:p>
      <w:pPr>
        <w:pStyle w:val="ListParagraph"/>
        <w:numPr>
          <w:ilvl w:val="0"/>
          <w:numId w:val="1"/>
        </w:numPr>
        <w:spacing w:lineRule="exact" w:line="280" w:before="40" w:after="40"/>
        <w:rPr/>
      </w:pPr>
      <w:r>
        <w:rPr>
          <w:rFonts w:eastAsia="Arial" w:cs="Arial"/>
          <w:color w:val="1A1A1A"/>
          <w:sz w:val="22"/>
          <w:szCs w:val="22"/>
        </w:rPr>
        <w:t>Transmission: encrypted in transit (TLS 1.2+).</w:t>
      </w:r>
    </w:p>
    <w:p>
      <w:pPr>
        <w:pStyle w:val="ListParagraph"/>
        <w:numPr>
          <w:ilvl w:val="0"/>
          <w:numId w:val="1"/>
        </w:numPr>
        <w:spacing w:lineRule="exact" w:line="280" w:before="40" w:after="40"/>
        <w:rPr/>
      </w:pPr>
      <w:r>
        <w:rPr>
          <w:rFonts w:eastAsia="Arial" w:cs="Arial"/>
          <w:color w:val="1A1A1A"/>
          <w:sz w:val="22"/>
          <w:szCs w:val="22"/>
        </w:rPr>
        <w:t>Sharing externally: only under written confidentiality (NDA or contract).</w:t>
      </w:r>
    </w:p>
    <w:p>
      <w:pPr>
        <w:pStyle w:val="ListParagraph"/>
        <w:numPr>
          <w:ilvl w:val="0"/>
          <w:numId w:val="1"/>
        </w:numPr>
        <w:spacing w:lineRule="exact" w:line="280" w:before="40" w:after="40"/>
        <w:rPr/>
      </w:pPr>
      <w:r>
        <w:rPr>
          <w:rFonts w:eastAsia="Arial" w:cs="Arial"/>
          <w:color w:val="1A1A1A"/>
          <w:sz w:val="22"/>
          <w:szCs w:val="22"/>
        </w:rPr>
        <w:t>Personal devices and accounts must not store Confidential information.</w:t>
      </w:r>
    </w:p>
    <w:p>
      <w:pPr>
        <w:pStyle w:val="ListParagraph"/>
        <w:numPr>
          <w:ilvl w:val="0"/>
          <w:numId w:val="1"/>
        </w:numPr>
        <w:spacing w:lineRule="exact" w:line="280" w:before="40" w:after="40"/>
        <w:rPr/>
      </w:pPr>
      <w:r>
        <w:rPr>
          <w:rFonts w:eastAsia="Arial" w:cs="Arial"/>
          <w:color w:val="1A1A1A"/>
          <w:sz w:val="22"/>
          <w:szCs w:val="22"/>
        </w:rPr>
        <w:t>Disposal: secure shredding for paper; secure deletion (PRO-017) for digital.</w:t>
      </w:r>
    </w:p>
    <w:p>
      <w:pPr>
        <w:pStyle w:val="Heading2"/>
        <w:spacing w:before="280" w:after="140"/>
        <w:rPr/>
      </w:pPr>
      <w:r>
        <w:rPr>
          <w:rFonts w:eastAsia="Arial" w:cs="Arial" w:ascii="Arial" w:hAnsi="Arial"/>
          <w:b/>
          <w:bCs/>
          <w:color w:val="0000FF"/>
          <w:sz w:val="28"/>
          <w:szCs w:val="28"/>
        </w:rPr>
        <w:t>6.4 Restricted</w:t>
      </w:r>
    </w:p>
    <w:p>
      <w:pPr>
        <w:pStyle w:val="ListParagraph"/>
        <w:numPr>
          <w:ilvl w:val="0"/>
          <w:numId w:val="1"/>
        </w:numPr>
        <w:spacing w:lineRule="exact" w:line="280" w:before="40" w:after="40"/>
        <w:rPr/>
      </w:pPr>
      <w:r>
        <w:rPr>
          <w:rFonts w:eastAsia="Arial" w:cs="Arial"/>
          <w:color w:val="1A1A1A"/>
          <w:sz w:val="22"/>
          <w:szCs w:val="22"/>
        </w:rPr>
        <w:t>Storage: only on Cloudax-approved systems with strict access controls and access logging.</w:t>
      </w:r>
    </w:p>
    <w:p>
      <w:pPr>
        <w:pStyle w:val="ListParagraph"/>
        <w:numPr>
          <w:ilvl w:val="0"/>
          <w:numId w:val="1"/>
        </w:numPr>
        <w:spacing w:lineRule="exact" w:line="280" w:before="40" w:after="40"/>
        <w:rPr/>
      </w:pPr>
      <w:r>
        <w:rPr>
          <w:rFonts w:eastAsia="Arial" w:cs="Arial"/>
          <w:color w:val="1A1A1A"/>
          <w:sz w:val="22"/>
          <w:szCs w:val="22"/>
        </w:rPr>
        <w:t>Encryption at rest using approved cryptography (POL-023).</w:t>
      </w:r>
    </w:p>
    <w:p>
      <w:pPr>
        <w:pStyle w:val="ListParagraph"/>
        <w:numPr>
          <w:ilvl w:val="0"/>
          <w:numId w:val="1"/>
        </w:numPr>
        <w:spacing w:lineRule="exact" w:line="280" w:before="40" w:after="40"/>
        <w:rPr/>
      </w:pPr>
      <w:r>
        <w:rPr>
          <w:rFonts w:eastAsia="Arial" w:cs="Arial"/>
          <w:color w:val="1A1A1A"/>
          <w:sz w:val="22"/>
          <w:szCs w:val="22"/>
        </w:rPr>
        <w:t>Encryption in transit using approved cryptography.</w:t>
      </w:r>
    </w:p>
    <w:p>
      <w:pPr>
        <w:pStyle w:val="ListParagraph"/>
        <w:numPr>
          <w:ilvl w:val="0"/>
          <w:numId w:val="1"/>
        </w:numPr>
        <w:spacing w:lineRule="exact" w:line="280" w:before="40" w:after="40"/>
        <w:rPr/>
      </w:pPr>
      <w:r>
        <w:rPr>
          <w:rFonts w:eastAsia="Arial" w:cs="Arial"/>
          <w:color w:val="1A1A1A"/>
          <w:sz w:val="22"/>
          <w:szCs w:val="22"/>
        </w:rPr>
        <w:t>Sharing externally: only with explicit authorisation and contractual safeguards.</w:t>
      </w:r>
    </w:p>
    <w:p>
      <w:pPr>
        <w:pStyle w:val="ListParagraph"/>
        <w:numPr>
          <w:ilvl w:val="0"/>
          <w:numId w:val="1"/>
        </w:numPr>
        <w:spacing w:lineRule="exact" w:line="280" w:before="40" w:after="40"/>
        <w:rPr/>
      </w:pPr>
      <w:r>
        <w:rPr>
          <w:rFonts w:eastAsia="Arial" w:cs="Arial"/>
          <w:color w:val="1A1A1A"/>
          <w:sz w:val="22"/>
          <w:szCs w:val="22"/>
        </w:rPr>
        <w:t>Subject to DLP monitoring (POL-017).</w:t>
      </w:r>
    </w:p>
    <w:p>
      <w:pPr>
        <w:pStyle w:val="ListParagraph"/>
        <w:numPr>
          <w:ilvl w:val="0"/>
          <w:numId w:val="1"/>
        </w:numPr>
        <w:spacing w:lineRule="exact" w:line="280" w:before="40" w:after="40"/>
        <w:rPr/>
      </w:pPr>
      <w:r>
        <w:rPr>
          <w:rFonts w:eastAsia="Arial" w:cs="Arial"/>
          <w:color w:val="1A1A1A"/>
          <w:sz w:val="22"/>
          <w:szCs w:val="22"/>
        </w:rPr>
        <w:t>Pseudonymise / mask where reasonably practicable (POL-016).</w:t>
      </w:r>
    </w:p>
    <w:p>
      <w:pPr>
        <w:pStyle w:val="ListParagraph"/>
        <w:numPr>
          <w:ilvl w:val="0"/>
          <w:numId w:val="1"/>
        </w:numPr>
        <w:spacing w:lineRule="exact" w:line="280" w:before="40" w:after="40"/>
        <w:rPr/>
      </w:pPr>
      <w:r>
        <w:rPr>
          <w:rFonts w:eastAsia="Arial" w:cs="Arial"/>
          <w:color w:val="1A1A1A"/>
          <w:sz w:val="22"/>
          <w:szCs w:val="22"/>
        </w:rPr>
        <w:t>Disposal: secure shredding for paper; cryptographic erasure or certified destruction for digital media.</w:t>
      </w:r>
    </w:p>
    <w:p>
      <w:pPr>
        <w:pStyle w:val="Heading1"/>
        <w:spacing w:before="360" w:after="180"/>
        <w:rPr/>
      </w:pPr>
      <w:r>
        <w:rPr>
          <w:rFonts w:eastAsia="Arial" w:cs="Arial" w:ascii="Arial" w:hAnsi="Arial"/>
          <w:b/>
          <w:bCs/>
          <w:color w:val="0000FF"/>
          <w:sz w:val="36"/>
          <w:szCs w:val="36"/>
        </w:rPr>
        <w:t>7. Storage Requirements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All Cloudax information is stored on approved systems with appropriate access controls.</w:t>
      </w:r>
    </w:p>
    <w:p>
      <w:pPr>
        <w:pStyle w:val="ListParagraph"/>
        <w:numPr>
          <w:ilvl w:val="0"/>
          <w:numId w:val="1"/>
        </w:numPr>
        <w:spacing w:lineRule="exact" w:line="280" w:before="40" w:after="40"/>
        <w:rPr/>
      </w:pPr>
      <w:r>
        <w:rPr>
          <w:rFonts w:eastAsia="Arial" w:cs="Arial"/>
          <w:color w:val="1A1A1A"/>
          <w:sz w:val="22"/>
          <w:szCs w:val="22"/>
        </w:rPr>
        <w:t>Confidential and Restricted information is encrypted at rest using approved cryptography (POL-023).</w:t>
      </w:r>
    </w:p>
    <w:p>
      <w:pPr>
        <w:pStyle w:val="ListParagraph"/>
        <w:numPr>
          <w:ilvl w:val="0"/>
          <w:numId w:val="1"/>
        </w:numPr>
        <w:spacing w:lineRule="exact" w:line="280" w:before="40" w:after="40"/>
        <w:rPr/>
      </w:pPr>
      <w:r>
        <w:rPr>
          <w:rFonts w:eastAsia="Arial" w:cs="Arial"/>
          <w:color w:val="1A1A1A"/>
          <w:sz w:val="22"/>
          <w:szCs w:val="22"/>
        </w:rPr>
        <w:t>Local storage on endpoints is minimised; cloud storage is preferred for collaborative work.</w:t>
      </w:r>
    </w:p>
    <w:p>
      <w:pPr>
        <w:pStyle w:val="ListParagraph"/>
        <w:numPr>
          <w:ilvl w:val="0"/>
          <w:numId w:val="1"/>
        </w:numPr>
        <w:spacing w:lineRule="exact" w:line="280" w:before="40" w:after="40"/>
        <w:rPr/>
      </w:pPr>
      <w:r>
        <w:rPr>
          <w:rFonts w:eastAsia="Arial" w:cs="Arial"/>
          <w:color w:val="1A1A1A"/>
          <w:sz w:val="22"/>
          <w:szCs w:val="22"/>
        </w:rPr>
        <w:t>Personal devices and personal cloud accounts must not be used for Cloudax information.</w:t>
      </w:r>
    </w:p>
    <w:p>
      <w:pPr>
        <w:pStyle w:val="Heading1"/>
        <w:spacing w:before="360" w:after="180"/>
        <w:rPr/>
      </w:pPr>
      <w:r>
        <w:rPr>
          <w:rFonts w:eastAsia="Arial" w:cs="Arial" w:ascii="Arial" w:hAnsi="Arial"/>
          <w:b/>
          <w:bCs/>
          <w:color w:val="0000FF"/>
          <w:sz w:val="36"/>
          <w:szCs w:val="36"/>
        </w:rPr>
        <w:t>8. Transmission Requirements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All transmission of Cloudax information uses approved channels (POL-005).</w:t>
      </w:r>
    </w:p>
    <w:p>
      <w:pPr>
        <w:pStyle w:val="ListParagraph"/>
        <w:numPr>
          <w:ilvl w:val="0"/>
          <w:numId w:val="1"/>
        </w:numPr>
        <w:spacing w:lineRule="exact" w:line="280" w:before="40" w:after="40"/>
        <w:rPr/>
      </w:pPr>
      <w:r>
        <w:rPr>
          <w:rFonts w:eastAsia="Arial" w:cs="Arial"/>
          <w:color w:val="1A1A1A"/>
          <w:sz w:val="22"/>
          <w:szCs w:val="22"/>
        </w:rPr>
        <w:t>Confidential and Restricted information is encrypted in transit.</w:t>
      </w:r>
    </w:p>
    <w:p>
      <w:pPr>
        <w:pStyle w:val="ListParagraph"/>
        <w:numPr>
          <w:ilvl w:val="0"/>
          <w:numId w:val="1"/>
        </w:numPr>
        <w:spacing w:lineRule="exact" w:line="280" w:before="40" w:after="40"/>
        <w:rPr/>
      </w:pPr>
      <w:r>
        <w:rPr>
          <w:rFonts w:eastAsia="Arial" w:cs="Arial"/>
          <w:color w:val="1A1A1A"/>
          <w:sz w:val="22"/>
          <w:szCs w:val="22"/>
        </w:rPr>
        <w:t>Recipients are verified before sending Confidential or Restricted information; out-of-band verification is used for first-time external transfers.</w:t>
      </w:r>
    </w:p>
    <w:p>
      <w:pPr>
        <w:pStyle w:val="ListParagraph"/>
        <w:numPr>
          <w:ilvl w:val="0"/>
          <w:numId w:val="1"/>
        </w:numPr>
        <w:spacing w:lineRule="exact" w:line="280" w:before="40" w:after="40"/>
        <w:rPr/>
      </w:pPr>
      <w:r>
        <w:rPr>
          <w:rFonts w:eastAsia="Arial" w:cs="Arial"/>
          <w:color w:val="1A1A1A"/>
          <w:sz w:val="22"/>
          <w:szCs w:val="22"/>
        </w:rPr>
        <w:t>Public AI services must not receive Confidential or Restricted information unless an approved DPA is in place (POL-003 §12).</w:t>
      </w:r>
    </w:p>
    <w:p>
      <w:pPr>
        <w:pStyle w:val="Heading1"/>
        <w:spacing w:before="360" w:after="180"/>
        <w:rPr/>
      </w:pPr>
      <w:r>
        <w:rPr>
          <w:rFonts w:eastAsia="Arial" w:cs="Arial" w:ascii="Arial" w:hAnsi="Arial"/>
          <w:b/>
          <w:bCs/>
          <w:color w:val="0000FF"/>
          <w:sz w:val="36"/>
          <w:szCs w:val="36"/>
        </w:rPr>
        <w:t>9. Sharing and Disclosure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External sharing of Confidential or Restricted information requires a written confidentiality agreement (NDA) or equivalent contract clause.</w:t>
      </w:r>
    </w:p>
    <w:p>
      <w:pPr>
        <w:pStyle w:val="ListParagraph"/>
        <w:numPr>
          <w:ilvl w:val="0"/>
          <w:numId w:val="1"/>
        </w:numPr>
        <w:spacing w:lineRule="exact" w:line="280" w:before="40" w:after="40"/>
        <w:rPr/>
      </w:pPr>
      <w:r>
        <w:rPr>
          <w:rFonts w:eastAsia="Arial" w:cs="Arial"/>
          <w:color w:val="1A1A1A"/>
          <w:sz w:val="22"/>
          <w:szCs w:val="22"/>
        </w:rPr>
        <w:t>Sub-processor sharing (where personal data is involved) is governed by POL-006 Supplier Security and POL-010 Privacy.</w:t>
      </w:r>
    </w:p>
    <w:p>
      <w:pPr>
        <w:pStyle w:val="ListParagraph"/>
        <w:numPr>
          <w:ilvl w:val="0"/>
          <w:numId w:val="1"/>
        </w:numPr>
        <w:spacing w:lineRule="exact" w:line="280" w:before="40" w:after="40"/>
        <w:rPr/>
      </w:pPr>
      <w:r>
        <w:rPr>
          <w:rFonts w:eastAsia="Arial" w:cs="Arial"/>
          <w:color w:val="1A1A1A"/>
          <w:sz w:val="22"/>
          <w:szCs w:val="22"/>
        </w:rPr>
        <w:t>Customer data is shared only as authorised by the customer contract / DPA.</w:t>
      </w:r>
    </w:p>
    <w:p>
      <w:pPr>
        <w:pStyle w:val="ListParagraph"/>
        <w:numPr>
          <w:ilvl w:val="0"/>
          <w:numId w:val="1"/>
        </w:numPr>
        <w:spacing w:lineRule="exact" w:line="280" w:before="40" w:after="40"/>
        <w:rPr/>
      </w:pPr>
      <w:r>
        <w:rPr>
          <w:rFonts w:eastAsia="Arial" w:cs="Arial"/>
          <w:color w:val="1A1A1A"/>
          <w:sz w:val="22"/>
          <w:szCs w:val="22"/>
        </w:rPr>
        <w:t>Where law requires disclosure (e.g. regulatory enquiry, court order), the Privacy Lead and Chief Executive Officer are consulted before disclosure.</w:t>
      </w:r>
    </w:p>
    <w:p>
      <w:pPr>
        <w:pStyle w:val="Heading1"/>
        <w:spacing w:before="360" w:after="180"/>
        <w:rPr/>
      </w:pPr>
      <w:r>
        <w:rPr>
          <w:rFonts w:eastAsia="Arial" w:cs="Arial" w:ascii="Arial" w:hAnsi="Arial"/>
          <w:b/>
          <w:bCs/>
          <w:color w:val="0000FF"/>
          <w:sz w:val="36"/>
          <w:szCs w:val="36"/>
        </w:rPr>
        <w:t>10. Printing and Physical Copies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Printing of Confidential or Restricted information should be avoided.</w:t>
      </w:r>
    </w:p>
    <w:p>
      <w:pPr>
        <w:pStyle w:val="ListParagraph"/>
        <w:numPr>
          <w:ilvl w:val="0"/>
          <w:numId w:val="1"/>
        </w:numPr>
        <w:spacing w:lineRule="exact" w:line="280" w:before="40" w:after="40"/>
        <w:rPr/>
      </w:pPr>
      <w:r>
        <w:rPr>
          <w:rFonts w:eastAsia="Arial" w:cs="Arial"/>
          <w:color w:val="1A1A1A"/>
          <w:sz w:val="22"/>
          <w:szCs w:val="22"/>
        </w:rPr>
        <w:t>Where printing is necessary, prints are collected immediately and not left in shared printer trays.</w:t>
      </w:r>
    </w:p>
    <w:p>
      <w:pPr>
        <w:pStyle w:val="ListParagraph"/>
        <w:numPr>
          <w:ilvl w:val="0"/>
          <w:numId w:val="1"/>
        </w:numPr>
        <w:spacing w:lineRule="exact" w:line="280" w:before="40" w:after="40"/>
        <w:rPr/>
      </w:pPr>
      <w:r>
        <w:rPr>
          <w:rFonts w:eastAsia="Arial" w:cs="Arial"/>
          <w:color w:val="1A1A1A"/>
          <w:sz w:val="22"/>
          <w:szCs w:val="22"/>
        </w:rPr>
        <w:t>Physical copies are secured during the working day and locked away or returned at end of day.</w:t>
      </w:r>
    </w:p>
    <w:p>
      <w:pPr>
        <w:pStyle w:val="ListParagraph"/>
        <w:numPr>
          <w:ilvl w:val="0"/>
          <w:numId w:val="1"/>
        </w:numPr>
        <w:spacing w:lineRule="exact" w:line="280" w:before="40" w:after="40"/>
        <w:rPr/>
      </w:pPr>
      <w:r>
        <w:rPr>
          <w:rFonts w:eastAsia="Arial" w:cs="Arial"/>
          <w:color w:val="1A1A1A"/>
          <w:sz w:val="22"/>
          <w:szCs w:val="22"/>
        </w:rPr>
        <w:t>Physical copies are disposed of through secure shredding.</w:t>
      </w:r>
    </w:p>
    <w:p>
      <w:pPr>
        <w:pStyle w:val="Heading1"/>
        <w:spacing w:before="360" w:after="180"/>
        <w:rPr/>
      </w:pPr>
      <w:r>
        <w:rPr>
          <w:rFonts w:eastAsia="Arial" w:cs="Arial" w:ascii="Arial" w:hAnsi="Arial"/>
          <w:b/>
          <w:bCs/>
          <w:color w:val="0000FF"/>
          <w:sz w:val="36"/>
          <w:szCs w:val="36"/>
        </w:rPr>
        <w:t>11. Disposal</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no longer required is disposed of in line with POL-009 Records Retention and PRO-017 Information Deletion.</w:t>
      </w:r>
    </w:p>
    <w:p>
      <w:pPr>
        <w:pStyle w:val="ListParagraph"/>
        <w:numPr>
          <w:ilvl w:val="0"/>
          <w:numId w:val="1"/>
        </w:numPr>
        <w:spacing w:lineRule="exact" w:line="280" w:before="40" w:after="40"/>
        <w:rPr/>
      </w:pPr>
      <w:r>
        <w:rPr>
          <w:rFonts w:eastAsia="Arial" w:cs="Arial"/>
          <w:color w:val="1A1A1A"/>
          <w:sz w:val="22"/>
          <w:szCs w:val="22"/>
        </w:rPr>
        <w:t>Paper records are disposed of through the workspace’s secure shredding facility.</w:t>
      </w:r>
    </w:p>
    <w:p>
      <w:pPr>
        <w:pStyle w:val="ListParagraph"/>
        <w:numPr>
          <w:ilvl w:val="0"/>
          <w:numId w:val="1"/>
        </w:numPr>
        <w:spacing w:lineRule="exact" w:line="280" w:before="40" w:after="40"/>
        <w:rPr/>
      </w:pPr>
      <w:r>
        <w:rPr>
          <w:rFonts w:eastAsia="Arial" w:cs="Arial"/>
          <w:color w:val="1A1A1A"/>
          <w:sz w:val="22"/>
          <w:szCs w:val="22"/>
        </w:rPr>
        <w:t>End-of-life electronic media is sanitised in accordance with PRO-028 Equipment Disposal.</w:t>
      </w:r>
    </w:p>
    <w:p>
      <w:pPr>
        <w:pStyle w:val="Heading1"/>
        <w:spacing w:before="360" w:after="180"/>
        <w:rPr/>
      </w:pPr>
      <w:r>
        <w:rPr>
          <w:rFonts w:eastAsia="Arial" w:cs="Arial" w:ascii="Arial" w:hAnsi="Arial"/>
          <w:b/>
          <w:bCs/>
          <w:color w:val="0000FF"/>
          <w:sz w:val="36"/>
          <w:szCs w:val="36"/>
        </w:rPr>
        <w:t>12. Special Cases</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12.1 Customer Voice and Transcript Data</w:t>
      </w:r>
    </w:p>
    <w:p>
      <w:pPr>
        <w:pStyle w:val="ListParagraph"/>
        <w:numPr>
          <w:ilvl w:val="0"/>
          <w:numId w:val="1"/>
        </w:numPr>
        <w:spacing w:lineRule="exact" w:line="280" w:before="40" w:after="40"/>
        <w:rPr/>
      </w:pPr>
      <w:r>
        <w:rPr>
          <w:rFonts w:eastAsia="Arial" w:cs="Arial"/>
          <w:color w:val="1A1A1A"/>
          <w:sz w:val="22"/>
          <w:szCs w:val="22"/>
        </w:rPr>
        <w:t>Customer voice recordings, transcripts, and derived metadata are Restricted by default.</w:t>
      </w:r>
    </w:p>
    <w:p>
      <w:pPr>
        <w:pStyle w:val="ListParagraph"/>
        <w:numPr>
          <w:ilvl w:val="0"/>
          <w:numId w:val="1"/>
        </w:numPr>
        <w:spacing w:lineRule="exact" w:line="280" w:before="40" w:after="40"/>
        <w:rPr/>
      </w:pPr>
      <w:r>
        <w:rPr>
          <w:rFonts w:eastAsia="Arial" w:cs="Arial"/>
          <w:color w:val="1A1A1A"/>
          <w:sz w:val="22"/>
          <w:szCs w:val="22"/>
        </w:rPr>
        <w:t>Access is on a least-privilege, need-to-know basis with logging (POL-002, POL-019).</w:t>
      </w:r>
    </w:p>
    <w:p>
      <w:pPr>
        <w:pStyle w:val="ListParagraph"/>
        <w:numPr>
          <w:ilvl w:val="0"/>
          <w:numId w:val="1"/>
        </w:numPr>
        <w:spacing w:lineRule="exact" w:line="280" w:before="40" w:after="40"/>
        <w:rPr/>
      </w:pPr>
      <w:r>
        <w:rPr>
          <w:rFonts w:eastAsia="Arial" w:cs="Arial"/>
          <w:color w:val="1A1A1A"/>
          <w:sz w:val="22"/>
          <w:szCs w:val="22"/>
        </w:rPr>
        <w:t>Discussion of customer voice/transcript content in shared workspace areas requires private booths or rooms.</w:t>
      </w:r>
    </w:p>
    <w:p>
      <w:pPr>
        <w:pStyle w:val="ListParagraph"/>
        <w:numPr>
          <w:ilvl w:val="0"/>
          <w:numId w:val="1"/>
        </w:numPr>
        <w:spacing w:lineRule="exact" w:line="280" w:before="40" w:after="40"/>
        <w:rPr/>
      </w:pPr>
      <w:r>
        <w:rPr>
          <w:rFonts w:eastAsia="Arial" w:cs="Arial"/>
          <w:color w:val="1A1A1A"/>
          <w:sz w:val="22"/>
          <w:szCs w:val="22"/>
        </w:rPr>
        <w:t>Customer voice data must not be replayed in shared areas where third parties might overhear.</w:t>
      </w:r>
    </w:p>
    <w:p>
      <w:pPr>
        <w:pStyle w:val="Heading2"/>
        <w:spacing w:before="280" w:after="140"/>
        <w:rPr/>
      </w:pPr>
      <w:r>
        <w:rPr>
          <w:rFonts w:eastAsia="Arial" w:cs="Arial" w:ascii="Arial" w:hAnsi="Arial"/>
          <w:b/>
          <w:bCs/>
          <w:color w:val="0000FF"/>
          <w:sz w:val="28"/>
          <w:szCs w:val="28"/>
        </w:rPr>
        <w:t>12.2 Personal Data</w:t>
      </w:r>
    </w:p>
    <w:p>
      <w:pPr>
        <w:pStyle w:val="ListParagraph"/>
        <w:numPr>
          <w:ilvl w:val="0"/>
          <w:numId w:val="1"/>
        </w:numPr>
        <w:spacing w:lineRule="exact" w:line="280" w:before="40" w:after="40"/>
        <w:rPr/>
      </w:pPr>
      <w:r>
        <w:rPr>
          <w:rFonts w:eastAsia="Arial" w:cs="Arial"/>
          <w:color w:val="1A1A1A"/>
          <w:sz w:val="22"/>
          <w:szCs w:val="22"/>
        </w:rPr>
        <w:t>Personal data is handled under POL-010 Privacy Policy in addition to this Procedure.</w:t>
      </w:r>
    </w:p>
    <w:p>
      <w:pPr>
        <w:pStyle w:val="ListParagraph"/>
        <w:numPr>
          <w:ilvl w:val="0"/>
          <w:numId w:val="1"/>
        </w:numPr>
        <w:spacing w:lineRule="exact" w:line="280" w:before="40" w:after="40"/>
        <w:rPr/>
      </w:pPr>
      <w:r>
        <w:rPr>
          <w:rFonts w:eastAsia="Arial" w:cs="Arial"/>
          <w:color w:val="1A1A1A"/>
          <w:sz w:val="22"/>
          <w:szCs w:val="22"/>
        </w:rPr>
        <w:t>Personal data is minimised — collect what is necessary, retain only as long as needed.</w:t>
      </w:r>
    </w:p>
    <w:p>
      <w:pPr>
        <w:pStyle w:val="ListParagraph"/>
        <w:numPr>
          <w:ilvl w:val="0"/>
          <w:numId w:val="1"/>
        </w:numPr>
        <w:spacing w:lineRule="exact" w:line="280" w:before="40" w:after="40"/>
        <w:rPr/>
      </w:pPr>
      <w:r>
        <w:rPr>
          <w:rFonts w:eastAsia="Arial" w:cs="Arial"/>
          <w:color w:val="1A1A1A"/>
          <w:sz w:val="22"/>
          <w:szCs w:val="22"/>
        </w:rPr>
        <w:t>Personal data subject to a high risk of harm (e.g. children, vulnerable people, special category data) is treated as Restricted.</w:t>
      </w:r>
    </w:p>
    <w:p>
      <w:pPr>
        <w:pStyle w:val="Heading2"/>
        <w:spacing w:before="280" w:after="140"/>
        <w:rPr/>
      </w:pPr>
      <w:r>
        <w:rPr>
          <w:rFonts w:eastAsia="Arial" w:cs="Arial" w:ascii="Arial" w:hAnsi="Arial"/>
          <w:b/>
          <w:bCs/>
          <w:color w:val="0000FF"/>
          <w:sz w:val="28"/>
          <w:szCs w:val="28"/>
        </w:rPr>
        <w:t>12.3 Secrets and Cryptographic Material</w:t>
      </w:r>
    </w:p>
    <w:p>
      <w:pPr>
        <w:pStyle w:val="ListParagraph"/>
        <w:numPr>
          <w:ilvl w:val="0"/>
          <w:numId w:val="1"/>
        </w:numPr>
        <w:spacing w:lineRule="exact" w:line="280" w:before="40" w:after="40"/>
        <w:rPr/>
      </w:pPr>
      <w:r>
        <w:rPr>
          <w:rFonts w:eastAsia="Arial" w:cs="Arial"/>
          <w:color w:val="1A1A1A"/>
          <w:sz w:val="22"/>
          <w:szCs w:val="22"/>
        </w:rPr>
        <w:t>API keys, passwords, encryption keys, and tokens are Restricted by classification.</w:t>
      </w:r>
    </w:p>
    <w:p>
      <w:pPr>
        <w:pStyle w:val="ListParagraph"/>
        <w:numPr>
          <w:ilvl w:val="0"/>
          <w:numId w:val="1"/>
        </w:numPr>
        <w:spacing w:lineRule="exact" w:line="280" w:before="40" w:after="40"/>
        <w:rPr/>
      </w:pPr>
      <w:r>
        <w:rPr>
          <w:rFonts w:eastAsia="Arial" w:cs="Arial"/>
          <w:color w:val="1A1A1A"/>
          <w:sz w:val="22"/>
          <w:szCs w:val="22"/>
        </w:rPr>
        <w:t>Secrets are stored in approved secret managers, not in code, configuration files, documents, emails, or messaging.</w:t>
      </w:r>
    </w:p>
    <w:p>
      <w:pPr>
        <w:pStyle w:val="ListParagraph"/>
        <w:numPr>
          <w:ilvl w:val="0"/>
          <w:numId w:val="1"/>
        </w:numPr>
        <w:spacing w:lineRule="exact" w:line="280" w:before="40" w:after="40"/>
        <w:rPr/>
      </w:pPr>
      <w:r>
        <w:rPr>
          <w:rFonts w:eastAsia="Arial" w:cs="Arial"/>
          <w:color w:val="1A1A1A"/>
          <w:sz w:val="22"/>
          <w:szCs w:val="22"/>
        </w:rPr>
        <w:t>Suspected exposure of a secret triggers immediate rotation and event reporting under PRO-027.</w:t>
      </w:r>
    </w:p>
    <w:p>
      <w:pPr>
        <w:pStyle w:val="Heading1"/>
        <w:spacing w:before="360" w:after="180"/>
        <w:rPr/>
      </w:pPr>
      <w:r>
        <w:rPr>
          <w:rFonts w:eastAsia="Arial" w:cs="Arial" w:ascii="Arial" w:hAnsi="Arial"/>
          <w:b/>
          <w:bCs/>
          <w:color w:val="0000FF"/>
          <w:sz w:val="36"/>
          <w:szCs w:val="36"/>
        </w:rPr>
        <w:t>13. Compliance Monitoring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Compliance is monitored through DLP (POL-017), automated label checks, and internal audit.</w:t>
      </w:r>
    </w:p>
    <w:p>
      <w:pPr>
        <w:pStyle w:val="ListParagraph"/>
        <w:numPr>
          <w:ilvl w:val="0"/>
          <w:numId w:val="1"/>
        </w:numPr>
        <w:spacing w:lineRule="exact" w:line="280" w:before="40" w:after="40"/>
        <w:rPr/>
      </w:pPr>
      <w:r>
        <w:rPr>
          <w:rFonts w:eastAsia="Arial" w:cs="Arial"/>
          <w:color w:val="1A1A1A"/>
          <w:sz w:val="22"/>
          <w:szCs w:val="22"/>
        </w:rPr>
        <w:t>Findings are recorded in REG-CAR-001 and addressed.</w:t>
      </w:r>
    </w:p>
    <w:p>
      <w:pPr>
        <w:pStyle w:val="Heading1"/>
        <w:spacing w:before="360" w:after="180"/>
        <w:rPr/>
      </w:pPr>
      <w:r>
        <w:rPr>
          <w:rFonts w:eastAsia="Arial" w:cs="Arial" w:ascii="Arial" w:hAnsi="Arial"/>
          <w:b/>
          <w:bCs/>
          <w:color w:val="0000FF"/>
          <w:sz w:val="36"/>
          <w:szCs w:val="36"/>
        </w:rPr>
        <w:t>14.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is reviewed at least annually and on material change to the classification scheme or supporting controls.</w:t>
      </w:r>
    </w:p>
    <w:p>
      <w:pPr>
        <w:pStyle w:val="Heading1"/>
        <w:spacing w:before="360" w:after="180"/>
        <w:rPr/>
      </w:pPr>
      <w:r>
        <w:rPr>
          <w:rFonts w:eastAsia="Arial" w:cs="Arial" w:ascii="Arial" w:hAnsi="Arial"/>
          <w:b/>
          <w:bCs/>
          <w:color w:val="0000FF"/>
          <w:sz w:val="36"/>
          <w:szCs w:val="36"/>
        </w:rPr>
        <w:t>15.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Procedure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27001:2022 Annex A controls, as recorded in the Cloudax Statement of Applicability (ISMS-SOA-001 v4.0).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A.5.8</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in project management</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A.5.10</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Acceptable use of information and other associated assets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A.5.12</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Classification of information</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A.5.13</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Labelling of information</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A.5.14</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transfer</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PRO-008 Information Handling Procedure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PRO-008 Information Handling Procedure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2026-04-16T11:04:52Z</dcterms:created>
  <dc:creator>David Stokes</dc:creator>
  <dc:description/>
  <dc:language>en-US</dc:language>
  <cp:lastModifiedBy>David Stokes</cp:lastModifiedBy>
  <dcterms:modified xsi:type="dcterms:W3CDTF">2026-04-16T11:36:52Z</dcterms:modified>
  <cp:revision>1</cp:revision>
  <dc:subject/>
  <dc:title>Cloudax Information Handling Procedure</dc:title>
</cp:coreProperties>
</file>

<file path=docProps/custom.xml><?xml version="1.0" encoding="utf-8"?>
<Properties xmlns="http://schemas.openxmlformats.org/officeDocument/2006/custom-properties" xmlns:vt="http://schemas.openxmlformats.org/officeDocument/2006/docPropsVTypes"/>
</file>