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4400" w:type="dxa"/>
        <w:jc w:val="start"/>
        <w:tblInd w:w="0" w:type="dxa"/>
        <w:tblLayout w:type="fixed"/>
        <w:tblCellMar>
          <w:top w:w="700" w:type="dxa"/>
          <w:start w:w="600" w:type="dxa"/>
          <w:bottom w:w="700" w:type="dxa"/>
          <w:end w:w="600" w:type="dxa"/>
        </w:tblCellMar>
      </w:tblPr>
      <w:tblGrid>
        <w:gridCol w:w="14400"/>
      </w:tblGrid>
      <w:tr>
        <w:trPr>
          <w:trHeight w:val="3800" w:hRule="atLeast"/>
        </w:trPr>
        <w:tc>
          <w:tcPr>
            <w:tcW w:w="14400" w:type="dxa"/>
            <w:tcBorders/>
            <w:shd w:fill="0000FF" w:val="clear"/>
          </w:tcPr>
          <w:p>
            <w:pPr>
              <w:pStyle w:val="Normal"/>
              <w:spacing w:before="0" w:after="300"/>
              <w:jc w:val="center"/>
              <w:rPr/>
            </w:pPr>
            <w:r>
              <w:rPr/>
              <w:drawing>
                <wp:inline distT="0" distB="0" distL="0" distR="0">
                  <wp:extent cx="1428750" cy="10858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428750" cy="1085850"/>
                          </a:xfrm>
                          <a:prstGeom prst="rect">
                            <a:avLst/>
                          </a:prstGeom>
                        </pic:spPr>
                      </pic:pic>
                    </a:graphicData>
                  </a:graphic>
                </wp:inline>
              </w:drawing>
            </w:r>
          </w:p>
          <w:p>
            <w:pPr>
              <w:pStyle w:val="Normal"/>
              <w:spacing w:before="0" w:after="180"/>
              <w:jc w:val="center"/>
              <w:rPr/>
            </w:pPr>
            <w:r>
              <w:rPr>
                <w:rFonts w:eastAsia="Arial" w:cs="Arial"/>
                <w:b/>
                <w:bCs/>
                <w:color w:val="FFFFFF"/>
                <w:sz w:val="44"/>
                <w:szCs w:val="44"/>
              </w:rPr>
              <w:t>Compliance Obligations Register</w:t>
            </w:r>
          </w:p>
          <w:p>
            <w:pPr>
              <w:pStyle w:val="Normal"/>
              <w:spacing w:before="0" w:after="40"/>
              <w:jc w:val="center"/>
              <w:rPr/>
            </w:pPr>
            <w:r>
              <w:rPr>
                <w:rFonts w:eastAsia="Arial" w:cs="Arial"/>
                <w:color w:val="FFFFFF"/>
                <w:sz w:val="22"/>
                <w:szCs w:val="22"/>
              </w:rPr>
              <w:t>Information Security Management System</w:t>
            </w:r>
          </w:p>
          <w:p>
            <w:pPr>
              <w:pStyle w:val="Normal"/>
              <w:spacing w:before="0" w:after="0"/>
              <w:jc w:val="center"/>
              <w:rPr/>
            </w:pPr>
            <w:r>
              <w:rPr>
                <w:rFonts w:eastAsia="Arial" w:cs="Arial"/>
                <w:i/>
                <w:iCs/>
                <w:color w:val="FFFFFF"/>
                <w:sz w:val="22"/>
                <w:szCs w:val="22"/>
              </w:rPr>
              <w:t>Conversational AI. Always connected.</w:t>
            </w:r>
          </w:p>
        </w:tc>
      </w:tr>
    </w:tbl>
    <w:p>
      <w:pPr>
        <w:pStyle w:val="Normal"/>
        <w:spacing w:before="60" w:after="60"/>
        <w:rPr/>
      </w:pPr>
      <w:r>
        <w:rPr/>
      </w:r>
    </w:p>
    <w:tbl>
      <w:tblPr>
        <w:tblW w:w="14400" w:type="dxa"/>
        <w:jc w:val="start"/>
        <w:tblInd w:w="0" w:type="dxa"/>
        <w:tblLayout w:type="fixed"/>
        <w:tblCellMar>
          <w:top w:w="140" w:type="dxa"/>
          <w:start w:w="200" w:type="dxa"/>
          <w:bottom w:w="140" w:type="dxa"/>
          <w:end w:w="200" w:type="dxa"/>
        </w:tblCellMar>
      </w:tblPr>
      <w:tblGrid>
        <w:gridCol w:w="7200"/>
        <w:gridCol w:w="7199"/>
      </w:tblGrid>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ID</w:t>
            </w:r>
          </w:p>
          <w:p>
            <w:pPr>
              <w:pStyle w:val="Normal"/>
              <w:spacing w:before="0" w:after="0"/>
              <w:rPr/>
            </w:pPr>
            <w:r>
              <w:rPr>
                <w:rFonts w:eastAsia="Arial" w:cs="Arial"/>
                <w:color w:val="1A1A1A"/>
                <w:sz w:val="22"/>
                <w:szCs w:val="22"/>
              </w:rPr>
              <w:t>REG-COMP-001</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VERSION</w:t>
            </w:r>
          </w:p>
          <w:p>
            <w:pPr>
              <w:pStyle w:val="Normal"/>
              <w:spacing w:before="0" w:after="0"/>
              <w:rPr/>
            </w:pPr>
            <w:r>
              <w:rPr>
                <w:rFonts w:eastAsia="Arial" w:cs="Arial"/>
                <w:color w:val="1A1A1A"/>
                <w:sz w:val="22"/>
                <w:szCs w:val="22"/>
              </w:rPr>
              <w:t>1.0</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TITLE</w:t>
            </w:r>
          </w:p>
          <w:p>
            <w:pPr>
              <w:pStyle w:val="Normal"/>
              <w:spacing w:before="0" w:after="0"/>
              <w:rPr/>
            </w:pPr>
            <w:r>
              <w:rPr>
                <w:rFonts w:eastAsia="Arial" w:cs="Arial"/>
                <w:color w:val="1A1A1A"/>
                <w:sz w:val="22"/>
                <w:szCs w:val="22"/>
              </w:rPr>
              <w:t>Compliance Obligations Register</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STATUS</w:t>
            </w:r>
          </w:p>
          <w:p>
            <w:pPr>
              <w:pStyle w:val="Normal"/>
              <w:spacing w:before="0" w:after="0"/>
              <w:rPr/>
            </w:pPr>
            <w:r>
              <w:rPr>
                <w:rFonts w:eastAsia="Arial" w:cs="Arial"/>
                <w:color w:val="1A1A1A"/>
                <w:sz w:val="22"/>
                <w:szCs w:val="22"/>
              </w:rPr>
              <w:t>Approved</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OWNER</w:t>
            </w:r>
          </w:p>
          <w:p>
            <w:pPr>
              <w:pStyle w:val="Normal"/>
              <w:spacing w:before="0" w:after="0"/>
              <w:rPr/>
            </w:pPr>
            <w:r>
              <w:rPr>
                <w:rFonts w:eastAsia="Arial" w:cs="Arial"/>
                <w:color w:val="1A1A1A"/>
                <w:sz w:val="22"/>
                <w:szCs w:val="22"/>
              </w:rPr>
              <w:t>Information Security Manager</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APPROVER</w:t>
            </w:r>
          </w:p>
          <w:p>
            <w:pPr>
              <w:pStyle w:val="Normal"/>
              <w:spacing w:before="0" w:after="0"/>
              <w:rPr/>
            </w:pPr>
            <w:r>
              <w:rPr>
                <w:rFonts w:eastAsia="Arial" w:cs="Arial"/>
                <w:color w:val="1A1A1A"/>
                <w:sz w:val="22"/>
                <w:szCs w:val="22"/>
              </w:rPr>
              <w:t>Chief Executive Officer</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ISSUE DATE</w:t>
            </w:r>
          </w:p>
          <w:p>
            <w:pPr>
              <w:pStyle w:val="Normal"/>
              <w:spacing w:before="0" w:after="0"/>
              <w:rPr/>
            </w:pPr>
            <w:r>
              <w:rPr>
                <w:rFonts w:eastAsia="Arial" w:cs="Arial"/>
                <w:color w:val="1A1A1A"/>
                <w:sz w:val="22"/>
                <w:szCs w:val="22"/>
              </w:rPr>
              <w:t>April 2026</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EFFECTIVE FROM</w:t>
            </w:r>
          </w:p>
          <w:p>
            <w:pPr>
              <w:pStyle w:val="Normal"/>
              <w:spacing w:before="0" w:after="0"/>
              <w:rPr/>
            </w:pPr>
            <w:r>
              <w:rPr>
                <w:rFonts w:eastAsia="Arial" w:cs="Arial"/>
                <w:color w:val="1A1A1A"/>
                <w:sz w:val="22"/>
                <w:szCs w:val="22"/>
              </w:rPr>
              <w:t>April 2026</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NEXT REVIEW</w:t>
            </w:r>
          </w:p>
          <w:p>
            <w:pPr>
              <w:pStyle w:val="Normal"/>
              <w:spacing w:before="0" w:after="0"/>
              <w:rPr/>
            </w:pPr>
            <w:r>
              <w:rPr>
                <w:rFonts w:eastAsia="Arial" w:cs="Arial"/>
                <w:color w:val="1A1A1A"/>
                <w:sz w:val="22"/>
                <w:szCs w:val="22"/>
              </w:rPr>
              <w:t>April 2027</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REVIEW CYCLE</w:t>
            </w:r>
          </w:p>
          <w:p>
            <w:pPr>
              <w:pStyle w:val="Normal"/>
              <w:spacing w:before="0" w:after="0"/>
              <w:rPr/>
            </w:pPr>
            <w:r>
              <w:rPr>
                <w:rFonts w:eastAsia="Arial" w:cs="Arial"/>
                <w:color w:val="1A1A1A"/>
                <w:sz w:val="22"/>
                <w:szCs w:val="22"/>
              </w:rPr>
              <w:t>Annual or on material change</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CLASSIFICATION</w:t>
            </w:r>
          </w:p>
          <w:p>
            <w:pPr>
              <w:pStyle w:val="Normal"/>
              <w:spacing w:before="0" w:after="0"/>
              <w:rPr/>
            </w:pPr>
            <w:r>
              <w:rPr>
                <w:rFonts w:eastAsia="Arial" w:cs="Arial"/>
                <w:color w:val="1A1A1A"/>
                <w:sz w:val="22"/>
                <w:szCs w:val="22"/>
              </w:rPr>
              <w:t>Internal</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DISTRIBUTION</w:t>
            </w:r>
          </w:p>
          <w:p>
            <w:pPr>
              <w:pStyle w:val="Normal"/>
              <w:spacing w:before="0" w:after="0"/>
              <w:rPr/>
            </w:pPr>
            <w:r>
              <w:rPr>
                <w:rFonts w:eastAsia="Arial" w:cs="Arial"/>
                <w:color w:val="1A1A1A"/>
                <w:sz w:val="22"/>
                <w:szCs w:val="22"/>
              </w:rPr>
              <w:t>Restricted to ISMS team</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SoA REFERENCE</w:t>
            </w:r>
          </w:p>
          <w:p>
            <w:pPr>
              <w:pStyle w:val="Normal"/>
              <w:spacing w:before="0" w:after="0"/>
              <w:rPr/>
            </w:pPr>
            <w:r>
              <w:rPr>
                <w:rFonts w:eastAsia="Arial" w:cs="Arial"/>
                <w:color w:val="1A1A1A"/>
                <w:sz w:val="22"/>
                <w:szCs w:val="22"/>
              </w:rPr>
              <w:t>ISMS-SOA-001 v4.0</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ISMS MAP</w:t>
            </w:r>
          </w:p>
          <w:p>
            <w:pPr>
              <w:pStyle w:val="Normal"/>
              <w:spacing w:before="0" w:after="0"/>
              <w:rPr/>
            </w:pPr>
            <w:r>
              <w:rPr>
                <w:rFonts w:eastAsia="Arial" w:cs="Arial"/>
                <w:color w:val="1A1A1A"/>
                <w:sz w:val="22"/>
                <w:szCs w:val="22"/>
              </w:rPr>
              <w:t>ISMS-MAP-001 v1.0</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Contents</w:t>
      </w:r>
    </w:p>
    <w:p>
      <w:pPr>
        <w:pStyle w:val="Normal"/>
        <w:pBdr>
          <w:bottom w:val="single" w:sz="12" w:space="1" w:color="0000FF"/>
        </w:pBdr>
        <w:spacing w:before="0" w:after="200"/>
        <w:rPr/>
      </w:pPr>
      <w:r>
        <w:rPr/>
      </w:r>
    </w:p>
    <w:p>
      <w:pPr>
        <w:pStyle w:val="Normal"/>
        <w:spacing w:before="40" w:after="40"/>
        <w:rPr/>
      </w:pPr>
      <w:r>
        <w:rPr>
          <w:rFonts w:eastAsia="Arial" w:cs="Arial"/>
          <w:color w:val="1A1A1A"/>
          <w:sz w:val="22"/>
          <w:szCs w:val="22"/>
        </w:rPr>
        <w:t>1. Purpose</w:t>
      </w:r>
    </w:p>
    <w:p>
      <w:pPr>
        <w:pStyle w:val="Normal"/>
        <w:spacing w:before="40" w:after="40"/>
        <w:rPr/>
      </w:pPr>
      <w:r>
        <w:rPr>
          <w:rFonts w:eastAsia="Arial" w:cs="Arial"/>
          <w:color w:val="1A1A1A"/>
          <w:sz w:val="22"/>
          <w:szCs w:val="22"/>
        </w:rPr>
        <w:t>2. Scope</w:t>
      </w:r>
    </w:p>
    <w:p>
      <w:pPr>
        <w:pStyle w:val="Normal"/>
        <w:spacing w:before="40" w:after="40"/>
        <w:rPr/>
      </w:pPr>
      <w:r>
        <w:rPr>
          <w:rFonts w:eastAsia="Arial" w:cs="Arial"/>
          <w:color w:val="1A1A1A"/>
          <w:sz w:val="22"/>
          <w:szCs w:val="22"/>
        </w:rPr>
        <w:t>3. Definitions</w:t>
      </w:r>
    </w:p>
    <w:p>
      <w:pPr>
        <w:pStyle w:val="Normal"/>
        <w:spacing w:before="40" w:after="40"/>
        <w:rPr/>
      </w:pPr>
      <w:r>
        <w:rPr>
          <w:rFonts w:eastAsia="Arial" w:cs="Arial"/>
          <w:color w:val="1A1A1A"/>
          <w:sz w:val="22"/>
          <w:szCs w:val="22"/>
        </w:rPr>
        <w:t>4. Categories of Obligation</w:t>
      </w:r>
    </w:p>
    <w:p>
      <w:pPr>
        <w:pStyle w:val="Normal"/>
        <w:spacing w:before="40" w:after="40"/>
        <w:rPr/>
      </w:pPr>
      <w:r>
        <w:rPr>
          <w:rFonts w:eastAsia="Arial" w:cs="Arial"/>
          <w:color w:val="1A1A1A"/>
          <w:sz w:val="22"/>
          <w:szCs w:val="22"/>
        </w:rPr>
        <w:t>5. Roles and Responsibilities</w:t>
      </w:r>
    </w:p>
    <w:p>
      <w:pPr>
        <w:pStyle w:val="Normal"/>
        <w:spacing w:before="40" w:after="40"/>
        <w:rPr/>
      </w:pPr>
      <w:r>
        <w:rPr>
          <w:rFonts w:eastAsia="Arial" w:cs="Arial"/>
          <w:color w:val="1A1A1A"/>
          <w:sz w:val="22"/>
          <w:szCs w:val="22"/>
        </w:rPr>
        <w:t>6. How to Use This Register</w:t>
      </w:r>
    </w:p>
    <w:p>
      <w:pPr>
        <w:pStyle w:val="Normal"/>
        <w:spacing w:before="40" w:after="40"/>
        <w:rPr/>
      </w:pPr>
      <w:r>
        <w:rPr>
          <w:rFonts w:eastAsia="Arial" w:cs="Arial"/>
          <w:color w:val="1A1A1A"/>
          <w:sz w:val="22"/>
          <w:szCs w:val="22"/>
        </w:rPr>
        <w:t>7. Statutory and Regulatory Obligations — UK</w:t>
      </w:r>
    </w:p>
    <w:p>
      <w:pPr>
        <w:pStyle w:val="Normal"/>
        <w:spacing w:before="40" w:after="40"/>
        <w:rPr/>
      </w:pPr>
      <w:r>
        <w:rPr>
          <w:rFonts w:eastAsia="Arial" w:cs="Arial"/>
          <w:color w:val="1A1A1A"/>
          <w:sz w:val="22"/>
          <w:szCs w:val="22"/>
        </w:rPr>
        <w:t>8. Sector and Industry Obligations</w:t>
      </w:r>
    </w:p>
    <w:p>
      <w:pPr>
        <w:pStyle w:val="Normal"/>
        <w:spacing w:before="40" w:after="40"/>
        <w:rPr/>
      </w:pPr>
      <w:r>
        <w:rPr>
          <w:rFonts w:eastAsia="Arial" w:cs="Arial"/>
          <w:color w:val="1A1A1A"/>
          <w:sz w:val="22"/>
          <w:szCs w:val="22"/>
        </w:rPr>
        <w:t>9. Standards and Frameworks</w:t>
      </w:r>
    </w:p>
    <w:p>
      <w:pPr>
        <w:pStyle w:val="Normal"/>
        <w:spacing w:before="40" w:after="40"/>
        <w:rPr/>
      </w:pPr>
      <w:r>
        <w:rPr>
          <w:rFonts w:eastAsia="Arial" w:cs="Arial"/>
          <w:color w:val="1A1A1A"/>
          <w:sz w:val="22"/>
          <w:szCs w:val="22"/>
        </w:rPr>
        <w:t>10. Customer Contractual Obligations</w:t>
      </w:r>
    </w:p>
    <w:p>
      <w:pPr>
        <w:pStyle w:val="Normal"/>
        <w:spacing w:before="40" w:after="40"/>
        <w:rPr/>
      </w:pPr>
      <w:r>
        <w:rPr>
          <w:rFonts w:eastAsia="Arial" w:cs="Arial"/>
          <w:color w:val="1A1A1A"/>
          <w:sz w:val="22"/>
          <w:szCs w:val="22"/>
        </w:rPr>
        <w:t>11. Supplier Contractual Obligations</w:t>
      </w:r>
    </w:p>
    <w:p>
      <w:pPr>
        <w:pStyle w:val="Normal"/>
        <w:spacing w:before="40" w:after="40"/>
        <w:rPr/>
      </w:pPr>
      <w:r>
        <w:rPr>
          <w:rFonts w:eastAsia="Arial" w:cs="Arial"/>
          <w:color w:val="1A1A1A"/>
          <w:sz w:val="22"/>
          <w:szCs w:val="22"/>
        </w:rPr>
        <w:t>12. Compliance Monitoring and Evidence</w:t>
      </w:r>
    </w:p>
    <w:p>
      <w:pPr>
        <w:pStyle w:val="Normal"/>
        <w:spacing w:before="40" w:after="40"/>
        <w:rPr/>
      </w:pPr>
      <w:r>
        <w:rPr>
          <w:rFonts w:eastAsia="Arial" w:cs="Arial"/>
          <w:color w:val="1A1A1A"/>
          <w:sz w:val="22"/>
          <w:szCs w:val="22"/>
        </w:rPr>
        <w:t>13. Maintenance</w:t>
      </w:r>
    </w:p>
    <w:p>
      <w:pPr>
        <w:pStyle w:val="Normal"/>
        <w:spacing w:before="40" w:after="40"/>
        <w:rPr/>
      </w:pPr>
      <w:r>
        <w:rPr>
          <w:rFonts w:eastAsia="Arial" w:cs="Arial"/>
          <w:color w:val="1A1A1A"/>
          <w:sz w:val="22"/>
          <w:szCs w:val="22"/>
        </w:rPr>
        <w:t>Annex — Version History</w:t>
      </w:r>
    </w:p>
    <w:p>
      <w:pPr>
        <w:pStyle w:val="Normal"/>
        <w:rPr/>
      </w:pPr>
      <w:r>
        <w:rPr/>
      </w:r>
      <w:r>
        <w:br w:type="page"/>
      </w:r>
    </w:p>
    <w:p>
      <w:pPr>
        <w:pStyle w:val="Heading1"/>
        <w:spacing w:before="0" w:after="180"/>
        <w:rPr/>
      </w:pPr>
      <w:r>
        <w:rPr>
          <w:rFonts w:eastAsia="Arial" w:cs="Arial" w:ascii="Arial" w:hAnsi="Arial"/>
          <w:b/>
          <w:bCs/>
          <w:color w:val="0000FF"/>
          <w:sz w:val="36"/>
          <w:szCs w:val="36"/>
        </w:rPr>
        <w:t>1. Purpose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Compliance Obligations Register identifies the legal, statutory, regulatory, and contractual requirements applicable to Cloudax Ltd. and the approach taken to meet them. It supports POL-001 Information Security Policy and gives effect to A.5.31 Legal, statutory, regulatory and contractual requirements.</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Linked control: A.5.31 Legal, statutory, regulatory and contractual requirements</w:t>
      </w:r>
    </w:p>
    <w:p>
      <w:pPr>
        <w:pStyle w:val="Heading1"/>
        <w:spacing w:before="360" w:after="180"/>
        <w:rPr/>
      </w:pPr>
      <w:r>
        <w:rPr>
          <w:rFonts w:eastAsia="Arial" w:cs="Arial" w:ascii="Arial" w:hAnsi="Arial"/>
          <w:b/>
          <w:bCs/>
          <w:color w:val="0000FF"/>
          <w:sz w:val="36"/>
          <w:szCs w:val="36"/>
        </w:rPr>
        <w:t>2. Scope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Register covers all compliance obligations relevant to information security, data protection, and the operation of the Cloudax conversational AI platform within the United Kingdom and any other jurisdictions in which Cloudax operates or processes data.</w:t>
      </w:r>
    </w:p>
    <w:p>
      <w:pPr>
        <w:pStyle w:val="Heading1"/>
        <w:spacing w:before="360" w:after="180"/>
        <w:rPr/>
      </w:pPr>
      <w:r>
        <w:rPr>
          <w:rFonts w:eastAsia="Arial" w:cs="Arial" w:ascii="Arial" w:hAnsi="Arial"/>
          <w:b/>
          <w:bCs/>
          <w:color w:val="0000FF"/>
          <w:sz w:val="36"/>
          <w:szCs w:val="36"/>
        </w:rPr>
        <w:t>3. Definitions</w:t>
      </w:r>
    </w:p>
    <w:p>
      <w:pPr>
        <w:pStyle w:val="Normal"/>
        <w:pBdr>
          <w:bottom w:val="single" w:sz="12" w:space="1" w:color="0000FF"/>
        </w:pBdr>
        <w:spacing w:before="0" w:after="200"/>
        <w:rPr/>
      </w:pPr>
      <w:r>
        <w:rPr/>
      </w:r>
    </w:p>
    <w:p>
      <w:pPr>
        <w:pStyle w:val="ListParagraph"/>
        <w:numPr>
          <w:ilvl w:val="0"/>
          <w:numId w:val="3"/>
        </w:numPr>
        <w:spacing w:lineRule="exact" w:line="280" w:before="40" w:after="40"/>
        <w:rPr/>
      </w:pPr>
      <w:r>
        <w:rPr>
          <w:rFonts w:eastAsia="Arial" w:cs="Arial"/>
          <w:b/>
          <w:bCs/>
          <w:color w:val="1A1A1A"/>
          <w:sz w:val="22"/>
          <w:szCs w:val="22"/>
        </w:rPr>
        <w:t xml:space="preserve">Obligation: </w:t>
      </w:r>
      <w:r>
        <w:rPr>
          <w:rFonts w:eastAsia="Arial" w:cs="Arial"/>
          <w:color w:val="1A1A1A"/>
          <w:sz w:val="22"/>
          <w:szCs w:val="22"/>
        </w:rPr>
        <w:t>a duty arising from law, regulation, contract, or voluntary commitment.</w:t>
      </w:r>
    </w:p>
    <w:p>
      <w:pPr>
        <w:pStyle w:val="ListParagraph"/>
        <w:numPr>
          <w:ilvl w:val="0"/>
          <w:numId w:val="1"/>
        </w:numPr>
        <w:spacing w:lineRule="exact" w:line="280" w:before="40" w:after="40"/>
        <w:rPr/>
      </w:pPr>
      <w:r>
        <w:rPr>
          <w:rFonts w:eastAsia="Arial" w:cs="Arial"/>
          <w:b/>
          <w:bCs/>
          <w:color w:val="1A1A1A"/>
          <w:sz w:val="22"/>
          <w:szCs w:val="22"/>
        </w:rPr>
        <w:t xml:space="preserve">Owner: </w:t>
      </w:r>
      <w:r>
        <w:rPr>
          <w:rFonts w:eastAsia="Arial" w:cs="Arial"/>
          <w:color w:val="1A1A1A"/>
          <w:sz w:val="22"/>
          <w:szCs w:val="22"/>
        </w:rPr>
        <w:t>the named role with primary accountability for ensuring the obligation is met.</w:t>
      </w:r>
    </w:p>
    <w:p>
      <w:pPr>
        <w:pStyle w:val="Heading1"/>
        <w:spacing w:before="360" w:after="180"/>
        <w:rPr/>
      </w:pPr>
      <w:r>
        <w:rPr>
          <w:rFonts w:eastAsia="Arial" w:cs="Arial" w:ascii="Arial" w:hAnsi="Arial"/>
          <w:b/>
          <w:bCs/>
          <w:color w:val="0000FF"/>
          <w:sz w:val="36"/>
          <w:szCs w:val="36"/>
        </w:rPr>
        <w:t>4. Categories of Obligation</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Statutory — UK primary and secondary legislation (e.g. UK GDPR, DPA 2018).</w:t>
      </w:r>
    </w:p>
    <w:p>
      <w:pPr>
        <w:pStyle w:val="ListParagraph"/>
        <w:numPr>
          <w:ilvl w:val="0"/>
          <w:numId w:val="1"/>
        </w:numPr>
        <w:spacing w:lineRule="exact" w:line="280" w:before="40" w:after="40"/>
        <w:rPr/>
      </w:pPr>
      <w:r>
        <w:rPr>
          <w:rFonts w:eastAsia="Arial" w:cs="Arial"/>
          <w:color w:val="1A1A1A"/>
          <w:sz w:val="22"/>
          <w:szCs w:val="22"/>
        </w:rPr>
        <w:t>Regulatory — obligations imposed by regulators (e.g. ICO codes of practice).</w:t>
      </w:r>
    </w:p>
    <w:p>
      <w:pPr>
        <w:pStyle w:val="ListParagraph"/>
        <w:numPr>
          <w:ilvl w:val="0"/>
          <w:numId w:val="1"/>
        </w:numPr>
        <w:spacing w:lineRule="exact" w:line="280" w:before="40" w:after="40"/>
        <w:rPr/>
      </w:pPr>
      <w:r>
        <w:rPr>
          <w:rFonts w:eastAsia="Arial" w:cs="Arial"/>
          <w:color w:val="1A1A1A"/>
          <w:sz w:val="22"/>
          <w:szCs w:val="22"/>
        </w:rPr>
        <w:t>Sector / industry — voluntary or industry-mandated commitments.</w:t>
      </w:r>
    </w:p>
    <w:p>
      <w:pPr>
        <w:pStyle w:val="ListParagraph"/>
        <w:numPr>
          <w:ilvl w:val="0"/>
          <w:numId w:val="1"/>
        </w:numPr>
        <w:spacing w:lineRule="exact" w:line="280" w:before="40" w:after="40"/>
        <w:rPr/>
      </w:pPr>
      <w:r>
        <w:rPr>
          <w:rFonts w:eastAsia="Arial" w:cs="Arial"/>
          <w:color w:val="1A1A1A"/>
          <w:sz w:val="22"/>
          <w:szCs w:val="22"/>
        </w:rPr>
        <w:t>Standards — obligations arising from certifications and frameworks adopted (e.g. ISO/IEC 27001).</w:t>
      </w:r>
    </w:p>
    <w:p>
      <w:pPr>
        <w:pStyle w:val="ListParagraph"/>
        <w:numPr>
          <w:ilvl w:val="0"/>
          <w:numId w:val="1"/>
        </w:numPr>
        <w:spacing w:lineRule="exact" w:line="280" w:before="40" w:after="40"/>
        <w:rPr/>
      </w:pPr>
      <w:r>
        <w:rPr>
          <w:rFonts w:eastAsia="Arial" w:cs="Arial"/>
          <w:color w:val="1A1A1A"/>
          <w:sz w:val="22"/>
          <w:szCs w:val="22"/>
        </w:rPr>
        <w:t>Contractual — obligations arising from customer and supplier contracts.</w:t>
      </w:r>
    </w:p>
    <w:p>
      <w:pPr>
        <w:pStyle w:val="Heading1"/>
        <w:spacing w:before="360" w:after="180"/>
        <w:rPr/>
      </w:pPr>
      <w:r>
        <w:rPr>
          <w:rFonts w:eastAsia="Arial" w:cs="Arial" w:ascii="Arial" w:hAnsi="Arial"/>
          <w:b/>
          <w:bCs/>
          <w:color w:val="0000FF"/>
          <w:sz w:val="36"/>
          <w:szCs w:val="36"/>
        </w:rPr>
        <w:t>5. Roles and Responsibilities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Information Security Manager: owns this Register; maintains entries; coordinates compliance monitoring.</w:t>
      </w:r>
    </w:p>
    <w:p>
      <w:pPr>
        <w:pStyle w:val="ListParagraph"/>
        <w:numPr>
          <w:ilvl w:val="0"/>
          <w:numId w:val="1"/>
        </w:numPr>
        <w:spacing w:lineRule="exact" w:line="280" w:before="40" w:after="40"/>
        <w:rPr/>
      </w:pPr>
      <w:r>
        <w:rPr>
          <w:rFonts w:eastAsia="Arial" w:cs="Arial"/>
          <w:color w:val="1A1A1A"/>
          <w:sz w:val="22"/>
          <w:szCs w:val="22"/>
        </w:rPr>
        <w:t>Privacy Lead: owns data protection obligations and customer DPA requirements.</w:t>
      </w:r>
    </w:p>
    <w:p>
      <w:pPr>
        <w:pStyle w:val="ListParagraph"/>
        <w:numPr>
          <w:ilvl w:val="0"/>
          <w:numId w:val="1"/>
        </w:numPr>
        <w:spacing w:lineRule="exact" w:line="280" w:before="40" w:after="40"/>
        <w:rPr/>
      </w:pPr>
      <w:r>
        <w:rPr>
          <w:rFonts w:eastAsia="Arial" w:cs="Arial"/>
          <w:color w:val="1A1A1A"/>
          <w:sz w:val="22"/>
          <w:szCs w:val="22"/>
        </w:rPr>
        <w:t>Chief Executive Officer: ultimate accountability for legal compliance.</w:t>
      </w:r>
    </w:p>
    <w:p>
      <w:pPr>
        <w:pStyle w:val="ListParagraph"/>
        <w:numPr>
          <w:ilvl w:val="0"/>
          <w:numId w:val="1"/>
        </w:numPr>
        <w:spacing w:lineRule="exact" w:line="280" w:before="40" w:after="40"/>
        <w:rPr/>
      </w:pPr>
      <w:r>
        <w:rPr>
          <w:rFonts w:eastAsia="Arial" w:cs="Arial"/>
          <w:color w:val="1A1A1A"/>
          <w:sz w:val="22"/>
          <w:szCs w:val="22"/>
        </w:rPr>
        <w:t>Customer-facing leads: identify customer contractual obligations and ensure their fulfilment.</w:t>
      </w:r>
    </w:p>
    <w:p>
      <w:pPr>
        <w:pStyle w:val="Heading1"/>
        <w:spacing w:before="360" w:after="180"/>
        <w:rPr/>
      </w:pPr>
      <w:r>
        <w:rPr>
          <w:rFonts w:eastAsia="Arial" w:cs="Arial" w:ascii="Arial" w:hAnsi="Arial"/>
          <w:b/>
          <w:bCs/>
          <w:color w:val="0000FF"/>
          <w:sz w:val="36"/>
          <w:szCs w:val="36"/>
        </w:rPr>
        <w:t>6. How to Use This Register</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Each obligation has a unique identifier (COMP-NNN) and is mapped to the policies and procedures that give effect to it.</w:t>
      </w:r>
    </w:p>
    <w:p>
      <w:pPr>
        <w:pStyle w:val="ListParagraph"/>
        <w:numPr>
          <w:ilvl w:val="0"/>
          <w:numId w:val="1"/>
        </w:numPr>
        <w:spacing w:lineRule="exact" w:line="280" w:before="40" w:after="40"/>
        <w:rPr/>
      </w:pPr>
      <w:r>
        <w:rPr>
          <w:rFonts w:eastAsia="Arial" w:cs="Arial"/>
          <w:color w:val="1A1A1A"/>
          <w:sz w:val="22"/>
          <w:szCs w:val="22"/>
        </w:rPr>
        <w:t>Obligations are reviewed at least annually and on material change to law, regulation, or contracts.</w:t>
      </w:r>
    </w:p>
    <w:p>
      <w:pPr>
        <w:pStyle w:val="ListParagraph"/>
        <w:numPr>
          <w:ilvl w:val="0"/>
          <w:numId w:val="1"/>
        </w:numPr>
        <w:spacing w:lineRule="exact" w:line="280" w:before="40" w:after="40"/>
        <w:rPr/>
      </w:pPr>
      <w:r>
        <w:rPr>
          <w:rFonts w:eastAsia="Arial" w:cs="Arial"/>
          <w:color w:val="1A1A1A"/>
          <w:sz w:val="22"/>
          <w:szCs w:val="22"/>
        </w:rPr>
        <w:t>Where new legislation or guidance is issued, the Information Security Manager assesses applicability and updates this Register within 60 days.</w:t>
      </w:r>
    </w:p>
    <w:p>
      <w:pPr>
        <w:pStyle w:val="Heading1"/>
        <w:spacing w:before="360" w:after="180"/>
        <w:rPr/>
      </w:pPr>
      <w:r>
        <w:rPr>
          <w:rFonts w:eastAsia="Arial" w:cs="Arial" w:ascii="Arial" w:hAnsi="Arial"/>
          <w:b/>
          <w:bCs/>
          <w:color w:val="0000FF"/>
          <w:sz w:val="36"/>
          <w:szCs w:val="36"/>
        </w:rPr>
        <w:t>7. Statutory and Regulatory Obligations — UK</w:t>
      </w:r>
    </w:p>
    <w:p>
      <w:pPr>
        <w:pStyle w:val="Normal"/>
        <w:pBdr>
          <w:bottom w:val="single" w:sz="12" w:space="1" w:color="0000FF"/>
        </w:pBdr>
        <w:spacing w:before="0" w:after="200"/>
        <w:rPr/>
      </w:pPr>
      <w:r>
        <w:rPr/>
      </w:r>
    </w:p>
    <w:p>
      <w:pPr>
        <w:pStyle w:val="Normal"/>
        <w:spacing w:before="60" w:after="60"/>
        <w:rPr/>
      </w:pPr>
      <w:r>
        <w:rPr/>
      </w:r>
    </w:p>
    <w:tbl>
      <w:tblPr>
        <w:tblW w:w="10800" w:type="dxa"/>
        <w:jc w:val="start"/>
        <w:tblInd w:w="0" w:type="dxa"/>
        <w:tblLayout w:type="fixed"/>
        <w:tblCellMar>
          <w:top w:w="80" w:type="dxa"/>
          <w:start w:w="120" w:type="dxa"/>
          <w:bottom w:w="80" w:type="dxa"/>
          <w:end w:w="120" w:type="dxa"/>
        </w:tblCellMar>
      </w:tblPr>
      <w:tblGrid>
        <w:gridCol w:w="800"/>
        <w:gridCol w:w="1700"/>
        <w:gridCol w:w="2399"/>
        <w:gridCol w:w="1101"/>
        <w:gridCol w:w="2400"/>
        <w:gridCol w:w="1700"/>
        <w:gridCol w:w="699"/>
      </w:tblGrid>
      <w:tr>
        <w:trPr>
          <w:tblHeader w:val="true"/>
        </w:trPr>
        <w:tc>
          <w:tcPr>
            <w:tcW w:w="8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ID</w:t>
            </w:r>
          </w:p>
        </w:tc>
        <w:tc>
          <w:tcPr>
            <w:tcW w:w="17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OBLIGATION</w:t>
            </w:r>
          </w:p>
        </w:tc>
        <w:tc>
          <w:tcPr>
            <w:tcW w:w="23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SCOPE / KEY REQUIREMENTS</w:t>
            </w:r>
          </w:p>
        </w:tc>
        <w:tc>
          <w:tcPr>
            <w:tcW w:w="11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OWNER</w:t>
            </w:r>
          </w:p>
        </w:tc>
        <w:tc>
          <w:tcPr>
            <w:tcW w:w="24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HOW MET</w:t>
            </w:r>
          </w:p>
        </w:tc>
        <w:tc>
          <w:tcPr>
            <w:tcW w:w="17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EVIDENCE</w:t>
            </w:r>
          </w:p>
        </w:tc>
        <w:tc>
          <w:tcPr>
            <w:tcW w:w="6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REVIEW</w:t>
            </w:r>
          </w:p>
        </w:tc>
      </w:tr>
      <w:tr>
        <w:trPr/>
        <w:tc>
          <w:tcPr>
            <w:tcW w:w="8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6"/>
                <w:szCs w:val="16"/>
              </w:rPr>
              <w:t>COMP-001</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UK General Data Protection Regulation (UK GDPR)</w:t>
            </w:r>
          </w:p>
        </w:tc>
        <w:tc>
          <w:tcPr>
            <w:tcW w:w="23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Lawful processing of personal data; Article 5 principles; data subject rights; security obligations; breach notification; international transfers</w:t>
            </w:r>
          </w:p>
        </w:tc>
        <w:tc>
          <w:tcPr>
            <w:tcW w:w="11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Privacy Lead</w:t>
            </w:r>
          </w:p>
        </w:tc>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POL-010, REG-ROPA-001, REG-DPIA-001, PRO-024, technical and organisational measures across the ISMS</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ROPA, DPIAs, breach log, training records</w:t>
            </w:r>
          </w:p>
        </w:tc>
        <w:tc>
          <w:tcPr>
            <w:tcW w:w="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Annual</w:t>
            </w:r>
          </w:p>
        </w:tc>
      </w:tr>
      <w:tr>
        <w:trPr/>
        <w:tc>
          <w:tcPr>
            <w:tcW w:w="8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6"/>
                <w:szCs w:val="16"/>
              </w:rPr>
              <w:t>COMP-002</w:t>
            </w:r>
          </w:p>
        </w:tc>
        <w:tc>
          <w:tcPr>
            <w:tcW w:w="1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Data Protection Act 2018</w:t>
            </w:r>
          </w:p>
        </w:tc>
        <w:tc>
          <w:tcPr>
            <w:tcW w:w="23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UK-specific provisions; law enforcement processing; intelligence services exemptions; ICO powers</w:t>
            </w:r>
          </w:p>
        </w:tc>
        <w:tc>
          <w:tcPr>
            <w:tcW w:w="11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Privacy Lead</w:t>
            </w:r>
          </w:p>
        </w:tc>
        <w:tc>
          <w:tcPr>
            <w:tcW w:w="2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POL-010 and supporting register/procedures</w:t>
            </w:r>
          </w:p>
        </w:tc>
        <w:tc>
          <w:tcPr>
            <w:tcW w:w="1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Privacy training; ICO communications log</w:t>
            </w:r>
          </w:p>
        </w:tc>
        <w:tc>
          <w:tcPr>
            <w:tcW w:w="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Annual</w:t>
            </w:r>
          </w:p>
        </w:tc>
      </w:tr>
      <w:tr>
        <w:trPr/>
        <w:tc>
          <w:tcPr>
            <w:tcW w:w="8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6"/>
                <w:szCs w:val="16"/>
              </w:rPr>
              <w:t>COMP-003</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Privacy and Electronic Communications Regulations 2003 (PECR)</w:t>
            </w:r>
          </w:p>
        </w:tc>
        <w:tc>
          <w:tcPr>
            <w:tcW w:w="23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Direct marketing; cookies; consent for non-essential cookies</w:t>
            </w:r>
          </w:p>
        </w:tc>
        <w:tc>
          <w:tcPr>
            <w:tcW w:w="11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Privacy Lead</w:t>
            </w:r>
          </w:p>
        </w:tc>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Cookie consent banner; marketing platform consent records (POL-010)</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Cookie consent banner; consent log</w:t>
            </w:r>
          </w:p>
        </w:tc>
        <w:tc>
          <w:tcPr>
            <w:tcW w:w="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Annual</w:t>
            </w:r>
          </w:p>
        </w:tc>
      </w:tr>
      <w:tr>
        <w:trPr/>
        <w:tc>
          <w:tcPr>
            <w:tcW w:w="8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6"/>
                <w:szCs w:val="16"/>
              </w:rPr>
              <w:t>COMP-004</w:t>
            </w:r>
          </w:p>
        </w:tc>
        <w:tc>
          <w:tcPr>
            <w:tcW w:w="1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Computer Misuse Act 1990</w:t>
            </w:r>
          </w:p>
        </w:tc>
        <w:tc>
          <w:tcPr>
            <w:tcW w:w="23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Prohibits unauthorised access and modification of computer material; supports criminal referral of misuse</w:t>
            </w:r>
          </w:p>
        </w:tc>
        <w:tc>
          <w:tcPr>
            <w:tcW w:w="11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Information Security Manager</w:t>
            </w:r>
          </w:p>
        </w:tc>
        <w:tc>
          <w:tcPr>
            <w:tcW w:w="2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POL-001, POL-002, POL-003, POL-011, criminal referral path under PLAN-IRP-001 and REG-AUTH-001</w:t>
            </w:r>
          </w:p>
        </w:tc>
        <w:tc>
          <w:tcPr>
            <w:tcW w:w="1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Disciplinary records; police referrals (where any)</w:t>
            </w:r>
          </w:p>
        </w:tc>
        <w:tc>
          <w:tcPr>
            <w:tcW w:w="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Annual</w:t>
            </w:r>
          </w:p>
        </w:tc>
      </w:tr>
      <w:tr>
        <w:trPr/>
        <w:tc>
          <w:tcPr>
            <w:tcW w:w="8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6"/>
                <w:szCs w:val="16"/>
              </w:rPr>
              <w:t>COMP-005</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Equality Act 2010</w:t>
            </w:r>
          </w:p>
        </w:tc>
        <w:tc>
          <w:tcPr>
            <w:tcW w:w="23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Non-discrimination in employment and service provision</w:t>
            </w:r>
          </w:p>
        </w:tc>
        <w:tc>
          <w:tcPr>
            <w:tcW w:w="11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CEO / HR</w:t>
            </w:r>
          </w:p>
        </w:tc>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POL-011 Disciplinary; HR policies (out of ISMS scope but interlocking)</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HR records</w:t>
            </w:r>
          </w:p>
        </w:tc>
        <w:tc>
          <w:tcPr>
            <w:tcW w:w="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Annual</w:t>
            </w:r>
          </w:p>
        </w:tc>
      </w:tr>
      <w:tr>
        <w:trPr/>
        <w:tc>
          <w:tcPr>
            <w:tcW w:w="8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6"/>
                <w:szCs w:val="16"/>
              </w:rPr>
              <w:t>COMP-006</w:t>
            </w:r>
          </w:p>
        </w:tc>
        <w:tc>
          <w:tcPr>
            <w:tcW w:w="1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Companies Act 2006</w:t>
            </w:r>
          </w:p>
        </w:tc>
        <w:tc>
          <w:tcPr>
            <w:tcW w:w="23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Corporate governance and reporting obligations</w:t>
            </w:r>
          </w:p>
        </w:tc>
        <w:tc>
          <w:tcPr>
            <w:tcW w:w="11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CEO / Finance</w:t>
            </w:r>
          </w:p>
        </w:tc>
        <w:tc>
          <w:tcPr>
            <w:tcW w:w="2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Companies House filings; statutory accounts</w:t>
            </w:r>
          </w:p>
        </w:tc>
        <w:tc>
          <w:tcPr>
            <w:tcW w:w="1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Companies House filings</w:t>
            </w:r>
          </w:p>
        </w:tc>
        <w:tc>
          <w:tcPr>
            <w:tcW w:w="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Annual</w:t>
            </w:r>
          </w:p>
        </w:tc>
      </w:tr>
      <w:tr>
        <w:trPr/>
        <w:tc>
          <w:tcPr>
            <w:tcW w:w="8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6"/>
                <w:szCs w:val="16"/>
              </w:rPr>
              <w:t>COMP-007</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ICO codes of practice and guidance</w:t>
            </w:r>
          </w:p>
        </w:tc>
        <w:tc>
          <w:tcPr>
            <w:tcW w:w="23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ICO statutory codes (e.g. age-appropriate design where applicable) and ICO guidance on AI</w:t>
            </w:r>
          </w:p>
        </w:tc>
        <w:tc>
          <w:tcPr>
            <w:tcW w:w="11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Privacy Lead</w:t>
            </w:r>
          </w:p>
        </w:tc>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POL-010; DPIAs for AI features (REG-DPIA-001)</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DPIA Register; Privacy Lead notes</w:t>
            </w:r>
          </w:p>
        </w:tc>
        <w:tc>
          <w:tcPr>
            <w:tcW w:w="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Annual</w:t>
            </w:r>
          </w:p>
        </w:tc>
      </w:tr>
      <w:tr>
        <w:trPr/>
        <w:tc>
          <w:tcPr>
            <w:tcW w:w="8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6"/>
                <w:szCs w:val="16"/>
              </w:rPr>
              <w:t>COMP-008</w:t>
            </w:r>
          </w:p>
        </w:tc>
        <w:tc>
          <w:tcPr>
            <w:tcW w:w="1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UK AI policy developments (e.g. AI principles, voluntary commitments)</w:t>
            </w:r>
          </w:p>
        </w:tc>
        <w:tc>
          <w:tcPr>
            <w:tcW w:w="23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Voluntary commitments and emerging AI assurance expectations</w:t>
            </w:r>
          </w:p>
        </w:tc>
        <w:tc>
          <w:tcPr>
            <w:tcW w:w="11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Privacy Lead / CTO</w:t>
            </w:r>
          </w:p>
        </w:tc>
        <w:tc>
          <w:tcPr>
            <w:tcW w:w="2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POL-010 §9; AI Use Register; DPIAs for AI features</w:t>
            </w:r>
          </w:p>
        </w:tc>
        <w:tc>
          <w:tcPr>
            <w:tcW w:w="1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AI Use Register; DPIA Register</w:t>
            </w:r>
          </w:p>
        </w:tc>
        <w:tc>
          <w:tcPr>
            <w:tcW w:w="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Annual</w:t>
            </w:r>
          </w:p>
        </w:tc>
      </w:tr>
      <w:tr>
        <w:trPr/>
        <w:tc>
          <w:tcPr>
            <w:tcW w:w="8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6"/>
                <w:szCs w:val="16"/>
              </w:rPr>
              <w:t>COMP-009</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Bribery Act 2010</w:t>
            </w:r>
          </w:p>
        </w:tc>
        <w:tc>
          <w:tcPr>
            <w:tcW w:w="23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Anti-bribery and corruption obligations</w:t>
            </w:r>
          </w:p>
        </w:tc>
        <w:tc>
          <w:tcPr>
            <w:tcW w:w="11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CEO / Finance</w:t>
            </w:r>
          </w:p>
        </w:tc>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Anti-bribery procedures (operational, out of ISMS scope but cross-referenced where relevant)</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Anti-bribery training; expense controls</w:t>
            </w:r>
          </w:p>
        </w:tc>
        <w:tc>
          <w:tcPr>
            <w:tcW w:w="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Annual</w:t>
            </w:r>
          </w:p>
        </w:tc>
      </w:tr>
      <w:tr>
        <w:trPr/>
        <w:tc>
          <w:tcPr>
            <w:tcW w:w="8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6"/>
                <w:szCs w:val="16"/>
              </w:rPr>
              <w:t>COMP-010</w:t>
            </w:r>
          </w:p>
        </w:tc>
        <w:tc>
          <w:tcPr>
            <w:tcW w:w="1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Whistleblowing (Public Interest Disclosure Act 1998)</w:t>
            </w:r>
          </w:p>
        </w:tc>
        <w:tc>
          <w:tcPr>
            <w:tcW w:w="23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Protection of disclosures in the public interest</w:t>
            </w:r>
          </w:p>
        </w:tc>
        <w:tc>
          <w:tcPr>
            <w:tcW w:w="11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CEO / HR</w:t>
            </w:r>
          </w:p>
        </w:tc>
        <w:tc>
          <w:tcPr>
            <w:tcW w:w="2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POL-011 §12; Cloudax whistleblowing arrangements</w:t>
            </w:r>
          </w:p>
        </w:tc>
        <w:tc>
          <w:tcPr>
            <w:tcW w:w="1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Whistleblowing records (where any)</w:t>
            </w:r>
          </w:p>
        </w:tc>
        <w:tc>
          <w:tcPr>
            <w:tcW w:w="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Annual</w:t>
            </w:r>
          </w:p>
        </w:tc>
      </w:tr>
      <w:tr>
        <w:trPr/>
        <w:tc>
          <w:tcPr>
            <w:tcW w:w="8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6"/>
                <w:szCs w:val="16"/>
              </w:rPr>
              <w:t>COMP-XXX</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[Insert further statutory obligations]</w:t>
            </w:r>
          </w:p>
        </w:tc>
        <w:tc>
          <w:tcPr>
            <w:tcW w:w="23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
          </w:p>
        </w:tc>
        <w:tc>
          <w:tcPr>
            <w:tcW w:w="11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
          </w:p>
        </w:tc>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
          </w:p>
        </w:tc>
        <w:tc>
          <w:tcPr>
            <w:tcW w:w="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
          </w:p>
        </w:tc>
      </w:tr>
    </w:tbl>
    <w:p>
      <w:pPr>
        <w:pStyle w:val="Heading1"/>
        <w:spacing w:before="360" w:after="180"/>
        <w:rPr/>
      </w:pPr>
      <w:r>
        <w:rPr>
          <w:rFonts w:eastAsia="Arial" w:cs="Arial" w:ascii="Arial" w:hAnsi="Arial"/>
          <w:b/>
          <w:bCs/>
          <w:color w:val="0000FF"/>
          <w:sz w:val="36"/>
          <w:szCs w:val="36"/>
        </w:rPr>
        <w:t>8. Sector and Industry Obligations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 is a developer of conversational AI; sector-specific obligations may arise where customers operate in regulated sectors. The principal categories include:</w:t>
      </w:r>
    </w:p>
    <w:p>
      <w:pPr>
        <w:pStyle w:val="ListParagraph"/>
        <w:numPr>
          <w:ilvl w:val="0"/>
          <w:numId w:val="1"/>
        </w:numPr>
        <w:spacing w:lineRule="exact" w:line="280" w:before="40" w:after="40"/>
        <w:rPr/>
      </w:pPr>
      <w:r>
        <w:rPr>
          <w:rFonts w:eastAsia="Arial" w:cs="Arial"/>
          <w:color w:val="1A1A1A"/>
          <w:sz w:val="22"/>
          <w:szCs w:val="22"/>
        </w:rPr>
        <w:t>Financial services customers — FCA / PRA outsourcing and operational resilience requirements may flow down through contract.</w:t>
      </w:r>
    </w:p>
    <w:p>
      <w:pPr>
        <w:pStyle w:val="ListParagraph"/>
        <w:numPr>
          <w:ilvl w:val="0"/>
          <w:numId w:val="1"/>
        </w:numPr>
        <w:spacing w:lineRule="exact" w:line="280" w:before="40" w:after="40"/>
        <w:rPr/>
      </w:pPr>
      <w:r>
        <w:rPr>
          <w:rFonts w:eastAsia="Arial" w:cs="Arial"/>
          <w:color w:val="1A1A1A"/>
          <w:sz w:val="22"/>
          <w:szCs w:val="22"/>
        </w:rPr>
        <w:t>Health and care customers — NHS Data Security and Protection Toolkit (DSPT) requirements may flow down.</w:t>
      </w:r>
    </w:p>
    <w:p>
      <w:pPr>
        <w:pStyle w:val="ListParagraph"/>
        <w:numPr>
          <w:ilvl w:val="0"/>
          <w:numId w:val="1"/>
        </w:numPr>
        <w:spacing w:lineRule="exact" w:line="280" w:before="40" w:after="40"/>
        <w:rPr/>
      </w:pPr>
      <w:r>
        <w:rPr>
          <w:rFonts w:eastAsia="Arial" w:cs="Arial"/>
          <w:color w:val="1A1A1A"/>
          <w:sz w:val="22"/>
          <w:szCs w:val="22"/>
        </w:rPr>
        <w:t>Public sector customers — Cyber Essentials / Cyber Essentials Plus, Crown Commercial Service framework requirements may apply.</w:t>
      </w:r>
    </w:p>
    <w:p>
      <w:pPr>
        <w:pStyle w:val="Normal"/>
        <w:spacing w:lineRule="exact" w:line="300" w:before="80" w:after="120"/>
        <w:rPr/>
      </w:pPr>
      <w:r>
        <w:rPr>
          <w:rFonts w:eastAsia="Arial" w:cs="Arial"/>
          <w:color w:val="1A1A1A"/>
          <w:sz w:val="22"/>
          <w:szCs w:val="22"/>
        </w:rPr>
        <w:t>Sector obligations are tracked through customer contracts (Section 10) rather than as separate entries unless universal.</w:t>
      </w:r>
    </w:p>
    <w:p>
      <w:pPr>
        <w:pStyle w:val="Heading1"/>
        <w:spacing w:before="360" w:after="180"/>
        <w:rPr/>
      </w:pPr>
      <w:r>
        <w:rPr>
          <w:rFonts w:eastAsia="Arial" w:cs="Arial" w:ascii="Arial" w:hAnsi="Arial"/>
          <w:b/>
          <w:bCs/>
          <w:color w:val="0000FF"/>
          <w:sz w:val="36"/>
          <w:szCs w:val="36"/>
        </w:rPr>
        <w:t>9. Standards and Frameworks</w:t>
      </w:r>
    </w:p>
    <w:p>
      <w:pPr>
        <w:pStyle w:val="Normal"/>
        <w:pBdr>
          <w:bottom w:val="single" w:sz="12" w:space="1" w:color="0000FF"/>
        </w:pBdr>
        <w:spacing w:before="0" w:after="200"/>
        <w:rPr/>
      </w:pPr>
      <w:r>
        <w:rPr/>
      </w:r>
    </w:p>
    <w:p>
      <w:pPr>
        <w:pStyle w:val="Normal"/>
        <w:spacing w:before="60" w:after="60"/>
        <w:rPr/>
      </w:pPr>
      <w:r>
        <w:rPr/>
      </w:r>
    </w:p>
    <w:tbl>
      <w:tblPr>
        <w:tblW w:w="10000" w:type="dxa"/>
        <w:jc w:val="start"/>
        <w:tblInd w:w="0" w:type="dxa"/>
        <w:tblLayout w:type="fixed"/>
        <w:tblCellMar>
          <w:top w:w="80" w:type="dxa"/>
          <w:start w:w="120" w:type="dxa"/>
          <w:bottom w:w="80" w:type="dxa"/>
          <w:end w:w="120" w:type="dxa"/>
        </w:tblCellMar>
      </w:tblPr>
      <w:tblGrid>
        <w:gridCol w:w="800"/>
        <w:gridCol w:w="2400"/>
        <w:gridCol w:w="2200"/>
        <w:gridCol w:w="2900"/>
        <w:gridCol w:w="1700"/>
      </w:tblGrid>
      <w:tr>
        <w:trPr>
          <w:tblHeader w:val="true"/>
        </w:trPr>
        <w:tc>
          <w:tcPr>
            <w:tcW w:w="8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ID</w:t>
            </w:r>
          </w:p>
        </w:tc>
        <w:tc>
          <w:tcPr>
            <w:tcW w:w="24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STANDARD / FRAMEWORK</w:t>
            </w:r>
          </w:p>
        </w:tc>
        <w:tc>
          <w:tcPr>
            <w:tcW w:w="22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STATUS AT CLOUDAX</w:t>
            </w:r>
          </w:p>
        </w:tc>
        <w:tc>
          <w:tcPr>
            <w:tcW w:w="29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HOW MET</w:t>
            </w:r>
          </w:p>
        </w:tc>
        <w:tc>
          <w:tcPr>
            <w:tcW w:w="17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EVIDENCE</w:t>
            </w:r>
          </w:p>
        </w:tc>
      </w:tr>
      <w:tr>
        <w:trPr/>
        <w:tc>
          <w:tcPr>
            <w:tcW w:w="8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6"/>
                <w:szCs w:val="16"/>
              </w:rPr>
              <w:t>COMP-S01</w:t>
            </w:r>
          </w:p>
        </w:tc>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ISO/IEC 27001:2022</w:t>
            </w:r>
          </w:p>
        </w:tc>
        <w:tc>
          <w:tcPr>
            <w:tcW w:w="22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Implementing; certification target during the current cycle</w:t>
            </w:r>
          </w:p>
        </w:tc>
        <w:tc>
          <w:tcPr>
            <w:tcW w:w="2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The Cloudax ISMS — ISMS-MAP-001 with all subordinate documents</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ISMS evidence pack; SoA</w:t>
            </w:r>
          </w:p>
        </w:tc>
      </w:tr>
      <w:tr>
        <w:trPr/>
        <w:tc>
          <w:tcPr>
            <w:tcW w:w="8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6"/>
                <w:szCs w:val="16"/>
              </w:rPr>
              <w:t>COMP-S02</w:t>
            </w:r>
          </w:p>
        </w:tc>
        <w:tc>
          <w:tcPr>
            <w:tcW w:w="2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Cyber Essentials</w:t>
            </w:r>
          </w:p>
        </w:tc>
        <w:tc>
          <w:tcPr>
            <w:tcW w:w="22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Targeted (planned)</w:t>
            </w:r>
          </w:p>
        </w:tc>
        <w:tc>
          <w:tcPr>
            <w:tcW w:w="2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Adoption of CE control areas through ISMS controls; certification when ready</w:t>
            </w:r>
          </w:p>
        </w:tc>
        <w:tc>
          <w:tcPr>
            <w:tcW w:w="1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Self-assessment; certification (when achieved)</w:t>
            </w:r>
          </w:p>
        </w:tc>
      </w:tr>
      <w:tr>
        <w:trPr/>
        <w:tc>
          <w:tcPr>
            <w:tcW w:w="8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6"/>
                <w:szCs w:val="16"/>
              </w:rPr>
              <w:t>COMP-S03</w:t>
            </w:r>
          </w:p>
        </w:tc>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Cyber Essentials Plus</w:t>
            </w:r>
          </w:p>
        </w:tc>
        <w:tc>
          <w:tcPr>
            <w:tcW w:w="22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Aspirational (longer term)</w:t>
            </w:r>
          </w:p>
        </w:tc>
        <w:tc>
          <w:tcPr>
            <w:tcW w:w="2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Once CE achieved, transition to CE+ assessment</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Certification (when achieved)</w:t>
            </w:r>
          </w:p>
        </w:tc>
      </w:tr>
      <w:tr>
        <w:trPr/>
        <w:tc>
          <w:tcPr>
            <w:tcW w:w="8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6"/>
                <w:szCs w:val="16"/>
              </w:rPr>
              <w:t>COMP-S04</w:t>
            </w:r>
          </w:p>
        </w:tc>
        <w:tc>
          <w:tcPr>
            <w:tcW w:w="2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OWASP Application Security Verification Standard (ASVS)</w:t>
            </w:r>
          </w:p>
        </w:tc>
        <w:tc>
          <w:tcPr>
            <w:tcW w:w="22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Adopted as reference for POL-024</w:t>
            </w:r>
          </w:p>
        </w:tc>
        <w:tc>
          <w:tcPr>
            <w:tcW w:w="2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POL-024 Section 8 references ASVS</w:t>
            </w:r>
          </w:p>
        </w:tc>
        <w:tc>
          <w:tcPr>
            <w:tcW w:w="1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Code review records; SAST configuration</w:t>
            </w:r>
          </w:p>
        </w:tc>
      </w:tr>
      <w:tr>
        <w:trPr/>
        <w:tc>
          <w:tcPr>
            <w:tcW w:w="8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6"/>
                <w:szCs w:val="16"/>
              </w:rPr>
              <w:t>COMP-S05</w:t>
            </w:r>
          </w:p>
        </w:tc>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NCSC Cloud Security Principles</w:t>
            </w:r>
          </w:p>
        </w:tc>
        <w:tc>
          <w:tcPr>
            <w:tcW w:w="22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Adopted as reference for POL-007</w:t>
            </w:r>
          </w:p>
        </w:tc>
        <w:tc>
          <w:tcPr>
            <w:tcW w:w="2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POL-007 alignment with the principles</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Cloud configuration baselines</w:t>
            </w:r>
          </w:p>
        </w:tc>
      </w:tr>
    </w:tbl>
    <w:p>
      <w:pPr>
        <w:pStyle w:val="Heading1"/>
        <w:spacing w:before="360" w:after="180"/>
        <w:rPr/>
      </w:pPr>
      <w:r>
        <w:rPr>
          <w:rFonts w:eastAsia="Arial" w:cs="Arial" w:ascii="Arial" w:hAnsi="Arial"/>
          <w:b/>
          <w:bCs/>
          <w:color w:val="0000FF"/>
          <w:sz w:val="36"/>
          <w:szCs w:val="36"/>
        </w:rPr>
        <w:t>10. Customer Contractual Obligations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Each customer contract carries specific information security and privacy obligations. Each customer engagement is recorded in REG-ROPA-001 (Article 30(2) section) with reference to its DPA. The principal recurring obligation themes are:</w:t>
      </w:r>
    </w:p>
    <w:p>
      <w:pPr>
        <w:pStyle w:val="ListParagraph"/>
        <w:numPr>
          <w:ilvl w:val="0"/>
          <w:numId w:val="1"/>
        </w:numPr>
        <w:spacing w:lineRule="exact" w:line="280" w:before="40" w:after="40"/>
        <w:rPr/>
      </w:pPr>
      <w:r>
        <w:rPr>
          <w:rFonts w:eastAsia="Arial" w:cs="Arial"/>
          <w:color w:val="1A1A1A"/>
          <w:sz w:val="22"/>
          <w:szCs w:val="22"/>
        </w:rPr>
        <w:t>Article 28 UK GDPR clauses (where personal data is processed).</w:t>
      </w:r>
    </w:p>
    <w:p>
      <w:pPr>
        <w:pStyle w:val="ListParagraph"/>
        <w:numPr>
          <w:ilvl w:val="0"/>
          <w:numId w:val="1"/>
        </w:numPr>
        <w:spacing w:lineRule="exact" w:line="280" w:before="40" w:after="40"/>
        <w:rPr/>
      </w:pPr>
      <w:r>
        <w:rPr>
          <w:rFonts w:eastAsia="Arial" w:cs="Arial"/>
          <w:color w:val="1A1A1A"/>
          <w:sz w:val="22"/>
          <w:szCs w:val="22"/>
        </w:rPr>
        <w:t>Security incident notification timeframes (typically within 24 or 48 hours of awareness).</w:t>
      </w:r>
    </w:p>
    <w:p>
      <w:pPr>
        <w:pStyle w:val="ListParagraph"/>
        <w:numPr>
          <w:ilvl w:val="0"/>
          <w:numId w:val="1"/>
        </w:numPr>
        <w:spacing w:lineRule="exact" w:line="280" w:before="40" w:after="40"/>
        <w:rPr/>
      </w:pPr>
      <w:r>
        <w:rPr>
          <w:rFonts w:eastAsia="Arial" w:cs="Arial"/>
          <w:color w:val="1A1A1A"/>
          <w:sz w:val="22"/>
          <w:szCs w:val="22"/>
        </w:rPr>
        <w:t>Sub-processor change notification requirements.</w:t>
      </w:r>
    </w:p>
    <w:p>
      <w:pPr>
        <w:pStyle w:val="ListParagraph"/>
        <w:numPr>
          <w:ilvl w:val="0"/>
          <w:numId w:val="1"/>
        </w:numPr>
        <w:spacing w:lineRule="exact" w:line="280" w:before="40" w:after="40"/>
        <w:rPr/>
      </w:pPr>
      <w:r>
        <w:rPr>
          <w:rFonts w:eastAsia="Arial" w:cs="Arial"/>
          <w:color w:val="1A1A1A"/>
          <w:sz w:val="22"/>
          <w:szCs w:val="22"/>
        </w:rPr>
        <w:t>International transfer safeguards (IDTA / SCCs).</w:t>
      </w:r>
    </w:p>
    <w:p>
      <w:pPr>
        <w:pStyle w:val="ListParagraph"/>
        <w:numPr>
          <w:ilvl w:val="0"/>
          <w:numId w:val="1"/>
        </w:numPr>
        <w:spacing w:lineRule="exact" w:line="280" w:before="40" w:after="40"/>
        <w:rPr/>
      </w:pPr>
      <w:r>
        <w:rPr>
          <w:rFonts w:eastAsia="Arial" w:cs="Arial"/>
          <w:color w:val="1A1A1A"/>
          <w:sz w:val="22"/>
          <w:szCs w:val="22"/>
        </w:rPr>
        <w:t>Data residency commitments.</w:t>
      </w:r>
    </w:p>
    <w:p>
      <w:pPr>
        <w:pStyle w:val="ListParagraph"/>
        <w:numPr>
          <w:ilvl w:val="0"/>
          <w:numId w:val="1"/>
        </w:numPr>
        <w:spacing w:lineRule="exact" w:line="280" w:before="40" w:after="40"/>
        <w:rPr/>
      </w:pPr>
      <w:r>
        <w:rPr>
          <w:rFonts w:eastAsia="Arial" w:cs="Arial"/>
          <w:color w:val="1A1A1A"/>
          <w:sz w:val="22"/>
          <w:szCs w:val="22"/>
        </w:rPr>
        <w:t>Audit and assurance rights.</w:t>
      </w:r>
    </w:p>
    <w:p>
      <w:pPr>
        <w:pStyle w:val="ListParagraph"/>
        <w:numPr>
          <w:ilvl w:val="0"/>
          <w:numId w:val="1"/>
        </w:numPr>
        <w:spacing w:lineRule="exact" w:line="280" w:before="40" w:after="40"/>
        <w:rPr/>
      </w:pPr>
      <w:r>
        <w:rPr>
          <w:rFonts w:eastAsia="Arial" w:cs="Arial"/>
          <w:color w:val="1A1A1A"/>
          <w:sz w:val="22"/>
          <w:szCs w:val="22"/>
        </w:rPr>
        <w:t>Service level commitments and reporting.</w:t>
      </w:r>
    </w:p>
    <w:p>
      <w:pPr>
        <w:pStyle w:val="ListParagraph"/>
        <w:numPr>
          <w:ilvl w:val="0"/>
          <w:numId w:val="1"/>
        </w:numPr>
        <w:spacing w:lineRule="exact" w:line="280" w:before="40" w:after="40"/>
        <w:rPr/>
      </w:pPr>
      <w:r>
        <w:rPr>
          <w:rFonts w:eastAsia="Arial" w:cs="Arial"/>
          <w:color w:val="1A1A1A"/>
          <w:sz w:val="22"/>
          <w:szCs w:val="22"/>
        </w:rPr>
        <w:t>Customer-specific assurance obligations (e.g. ISO certification, SOC 2 reporting, customer security questionnaires).</w:t>
      </w:r>
    </w:p>
    <w:p>
      <w:pPr>
        <w:pStyle w:val="Normal"/>
        <w:spacing w:lineRule="exact" w:line="300" w:before="80" w:after="120"/>
        <w:rPr/>
      </w:pPr>
      <w:r>
        <w:rPr>
          <w:rFonts w:eastAsia="Arial" w:cs="Arial"/>
          <w:color w:val="1A1A1A"/>
          <w:sz w:val="22"/>
          <w:szCs w:val="22"/>
        </w:rPr>
        <w:t>Customer-facing leads track contract-specific obligations in the customer record; this Register holds the universal themes.</w:t>
      </w:r>
    </w:p>
    <w:p>
      <w:pPr>
        <w:pStyle w:val="Heading1"/>
        <w:spacing w:before="360" w:after="180"/>
        <w:rPr/>
      </w:pPr>
      <w:r>
        <w:rPr>
          <w:rFonts w:eastAsia="Arial" w:cs="Arial" w:ascii="Arial" w:hAnsi="Arial"/>
          <w:b/>
          <w:bCs/>
          <w:color w:val="0000FF"/>
          <w:sz w:val="36"/>
          <w:szCs w:val="36"/>
        </w:rPr>
        <w:t>11. Supplier Contractual Obligations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Cloudax’s supplier contracts include security and privacy obligations flowed down to suppliers in line with POL-006. Tier 1 and Tier 2 supplier contracts are tracked in the Cloudax Supplier Inventory; this Register holds the universal themes:</w:t>
      </w:r>
    </w:p>
    <w:p>
      <w:pPr>
        <w:pStyle w:val="ListParagraph"/>
        <w:numPr>
          <w:ilvl w:val="0"/>
          <w:numId w:val="1"/>
        </w:numPr>
        <w:spacing w:lineRule="exact" w:line="280" w:before="40" w:after="40"/>
        <w:rPr/>
      </w:pPr>
      <w:r>
        <w:rPr>
          <w:rFonts w:eastAsia="Arial" w:cs="Arial"/>
          <w:color w:val="1A1A1A"/>
          <w:sz w:val="22"/>
          <w:szCs w:val="22"/>
        </w:rPr>
        <w:t>Confidentiality and NDA obligations.</w:t>
      </w:r>
    </w:p>
    <w:p>
      <w:pPr>
        <w:pStyle w:val="ListParagraph"/>
        <w:numPr>
          <w:ilvl w:val="0"/>
          <w:numId w:val="1"/>
        </w:numPr>
        <w:spacing w:lineRule="exact" w:line="280" w:before="40" w:after="40"/>
        <w:rPr/>
      </w:pPr>
      <w:r>
        <w:rPr>
          <w:rFonts w:eastAsia="Arial" w:cs="Arial"/>
          <w:color w:val="1A1A1A"/>
          <w:sz w:val="22"/>
          <w:szCs w:val="22"/>
        </w:rPr>
        <w:t>Article 28 UK GDPR processor clauses (where the supplier processes personal data).</w:t>
      </w:r>
    </w:p>
    <w:p>
      <w:pPr>
        <w:pStyle w:val="ListParagraph"/>
        <w:numPr>
          <w:ilvl w:val="0"/>
          <w:numId w:val="1"/>
        </w:numPr>
        <w:spacing w:lineRule="exact" w:line="280" w:before="40" w:after="40"/>
        <w:rPr/>
      </w:pPr>
      <w:r>
        <w:rPr>
          <w:rFonts w:eastAsia="Arial" w:cs="Arial"/>
          <w:color w:val="1A1A1A"/>
          <w:sz w:val="22"/>
          <w:szCs w:val="22"/>
        </w:rPr>
        <w:t>Security incident notification.</w:t>
      </w:r>
    </w:p>
    <w:p>
      <w:pPr>
        <w:pStyle w:val="ListParagraph"/>
        <w:numPr>
          <w:ilvl w:val="0"/>
          <w:numId w:val="1"/>
        </w:numPr>
        <w:spacing w:lineRule="exact" w:line="280" w:before="40" w:after="40"/>
        <w:rPr/>
      </w:pPr>
      <w:r>
        <w:rPr>
          <w:rFonts w:eastAsia="Arial" w:cs="Arial"/>
          <w:color w:val="1A1A1A"/>
          <w:sz w:val="22"/>
          <w:szCs w:val="22"/>
        </w:rPr>
        <w:t>Sub-processing controls.</w:t>
      </w:r>
    </w:p>
    <w:p>
      <w:pPr>
        <w:pStyle w:val="ListParagraph"/>
        <w:numPr>
          <w:ilvl w:val="0"/>
          <w:numId w:val="1"/>
        </w:numPr>
        <w:spacing w:lineRule="exact" w:line="280" w:before="40" w:after="40"/>
        <w:rPr/>
      </w:pPr>
      <w:r>
        <w:rPr>
          <w:rFonts w:eastAsia="Arial" w:cs="Arial"/>
          <w:color w:val="1A1A1A"/>
          <w:sz w:val="22"/>
          <w:szCs w:val="22"/>
        </w:rPr>
        <w:t>Audit / assurance reporting rights.</w:t>
      </w:r>
    </w:p>
    <w:p>
      <w:pPr>
        <w:pStyle w:val="ListParagraph"/>
        <w:numPr>
          <w:ilvl w:val="0"/>
          <w:numId w:val="1"/>
        </w:numPr>
        <w:spacing w:lineRule="exact" w:line="280" w:before="40" w:after="40"/>
        <w:rPr/>
      </w:pPr>
      <w:r>
        <w:rPr>
          <w:rFonts w:eastAsia="Arial" w:cs="Arial"/>
          <w:color w:val="1A1A1A"/>
          <w:sz w:val="22"/>
          <w:szCs w:val="22"/>
        </w:rPr>
        <w:t>Return or destruction of Cloudax data on termination.</w:t>
      </w:r>
    </w:p>
    <w:p>
      <w:pPr>
        <w:pStyle w:val="Heading1"/>
        <w:spacing w:before="360" w:after="180"/>
        <w:rPr/>
      </w:pPr>
      <w:r>
        <w:rPr>
          <w:rFonts w:eastAsia="Arial" w:cs="Arial" w:ascii="Arial" w:hAnsi="Arial"/>
          <w:b/>
          <w:bCs/>
          <w:color w:val="0000FF"/>
          <w:sz w:val="36"/>
          <w:szCs w:val="36"/>
        </w:rPr>
        <w:t>12. Compliance Monitoring and Evidence</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Monitoring of ongoing compliance is performed under PROG-COMP-001 Compliance Monitoring Schedule.</w:t>
      </w:r>
    </w:p>
    <w:p>
      <w:pPr>
        <w:pStyle w:val="ListParagraph"/>
        <w:numPr>
          <w:ilvl w:val="0"/>
          <w:numId w:val="1"/>
        </w:numPr>
        <w:spacing w:lineRule="exact" w:line="280" w:before="40" w:after="40"/>
        <w:rPr/>
      </w:pPr>
      <w:r>
        <w:rPr>
          <w:rFonts w:eastAsia="Arial" w:cs="Arial"/>
          <w:color w:val="1A1A1A"/>
          <w:sz w:val="22"/>
          <w:szCs w:val="22"/>
        </w:rPr>
        <w:t>Findings of non-compliance are recorded in REG-CAR-001 and tracked to closure.</w:t>
      </w:r>
    </w:p>
    <w:p>
      <w:pPr>
        <w:pStyle w:val="ListParagraph"/>
        <w:numPr>
          <w:ilvl w:val="0"/>
          <w:numId w:val="1"/>
        </w:numPr>
        <w:spacing w:lineRule="exact" w:line="280" w:before="40" w:after="40"/>
        <w:rPr/>
      </w:pPr>
      <w:r>
        <w:rPr>
          <w:rFonts w:eastAsia="Arial" w:cs="Arial"/>
          <w:color w:val="1A1A1A"/>
          <w:sz w:val="22"/>
          <w:szCs w:val="22"/>
        </w:rPr>
        <w:t>This Register, in conjunction with the supporting evidence referenced in each entry, demonstrates continued conformity to A.5.31.</w:t>
      </w:r>
    </w:p>
    <w:p>
      <w:pPr>
        <w:pStyle w:val="Heading1"/>
        <w:spacing w:before="360" w:after="180"/>
        <w:rPr/>
      </w:pPr>
      <w:r>
        <w:rPr>
          <w:rFonts w:eastAsia="Arial" w:cs="Arial" w:ascii="Arial" w:hAnsi="Arial"/>
          <w:b/>
          <w:bCs/>
          <w:color w:val="0000FF"/>
          <w:sz w:val="36"/>
          <w:szCs w:val="36"/>
        </w:rPr>
        <w:t>13. Maintenance</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This Register is reviewed at least annually by the Information Security Manager and the Privacy Lead.</w:t>
      </w:r>
    </w:p>
    <w:p>
      <w:pPr>
        <w:pStyle w:val="ListParagraph"/>
        <w:numPr>
          <w:ilvl w:val="0"/>
          <w:numId w:val="1"/>
        </w:numPr>
        <w:spacing w:lineRule="exact" w:line="280" w:before="40" w:after="40"/>
        <w:rPr/>
      </w:pPr>
      <w:r>
        <w:rPr>
          <w:rFonts w:eastAsia="Arial" w:cs="Arial"/>
          <w:color w:val="1A1A1A"/>
          <w:sz w:val="22"/>
          <w:szCs w:val="22"/>
        </w:rPr>
        <w:t>Material changes (new legislation, new regulatory guidance, new sector requirements arising from customer engagements) are added within 60 days.</w:t>
      </w:r>
    </w:p>
    <w:p>
      <w:pPr>
        <w:pStyle w:val="ListParagraph"/>
        <w:numPr>
          <w:ilvl w:val="0"/>
          <w:numId w:val="1"/>
        </w:numPr>
        <w:spacing w:lineRule="exact" w:line="280" w:before="40" w:after="40"/>
        <w:rPr/>
      </w:pPr>
      <w:r>
        <w:rPr>
          <w:rFonts w:eastAsia="Arial" w:cs="Arial"/>
          <w:color w:val="1A1A1A"/>
          <w:sz w:val="22"/>
          <w:szCs w:val="22"/>
        </w:rPr>
        <w:t>Significant changes are reported to management review.</w:t>
      </w:r>
    </w:p>
    <w:p>
      <w:pPr>
        <w:pStyle w:val="Normal"/>
        <w:spacing w:before="60" w:after="60"/>
        <w:rPr/>
      </w:pPr>
      <w:r>
        <w:rPr/>
      </w:r>
    </w:p>
    <w:p>
      <w:pPr>
        <w:pStyle w:val="Heading1"/>
        <w:spacing w:before="360" w:after="180"/>
        <w:rPr/>
      </w:pPr>
      <w:r>
        <w:rPr>
          <w:rFonts w:eastAsia="Arial" w:cs="Arial" w:ascii="Arial" w:hAnsi="Arial"/>
          <w:b/>
          <w:bCs/>
          <w:color w:val="0000FF"/>
          <w:sz w:val="36"/>
          <w:szCs w:val="36"/>
        </w:rPr>
        <w:t>Annex — Version History</w:t>
      </w:r>
    </w:p>
    <w:p>
      <w:pPr>
        <w:pStyle w:val="Normal"/>
        <w:pBdr>
          <w:bottom w:val="single" w:sz="12" w:space="1" w:color="0000FF"/>
        </w:pBdr>
        <w:spacing w:before="0" w:after="200"/>
        <w:rPr/>
      </w:pPr>
      <w:r>
        <w:rPr/>
      </w:r>
    </w:p>
    <w:tbl>
      <w:tblPr>
        <w:tblW w:w="9026" w:type="dxa"/>
        <w:jc w:val="start"/>
        <w:tblInd w:w="0" w:type="dxa"/>
        <w:tblLayout w:type="fixed"/>
        <w:tblCellMar>
          <w:top w:w="120" w:type="dxa"/>
          <w:start w:w="160" w:type="dxa"/>
          <w:bottom w:w="120" w:type="dxa"/>
          <w:end w:w="160" w:type="dxa"/>
        </w:tblCellMar>
      </w:tblPr>
      <w:tblGrid>
        <w:gridCol w:w="1299"/>
        <w:gridCol w:w="1500"/>
        <w:gridCol w:w="2201"/>
        <w:gridCol w:w="4025"/>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VERSION</w:t>
            </w:r>
          </w:p>
        </w:tc>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DATE</w:t>
            </w:r>
          </w:p>
        </w:tc>
        <w:tc>
          <w:tcPr>
            <w:tcW w:w="2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AUTHOR</w:t>
            </w:r>
          </w:p>
        </w:tc>
        <w:tc>
          <w:tcPr>
            <w:tcW w:w="4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SUMMARY OF CHANGES</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1.0</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April 2026</w:t>
            </w:r>
          </w:p>
        </w:tc>
        <w:tc>
          <w:tcPr>
            <w:tcW w:w="2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Information Security Manager</w:t>
            </w:r>
          </w:p>
        </w:tc>
        <w:tc>
          <w:tcPr>
            <w:tcW w:w="4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Initial issue. Aligned to ISO/IEC 27001:2022 and Cloudax Statement of Applicability v4.0.</w:t>
            </w:r>
          </w:p>
        </w:tc>
      </w:tr>
    </w:tbl>
    <w:sectPr>
      <w:headerReference w:type="even" r:id="rId3"/>
      <w:headerReference w:type="default" r:id="rId4"/>
      <w:headerReference w:type="first" r:id="rId5"/>
      <w:footerReference w:type="even" r:id="rId6"/>
      <w:footerReference w:type="default" r:id="rId7"/>
      <w:footerReference w:type="first" r:id="rId8"/>
      <w:type w:val="nextPage"/>
      <w:pgSz w:orient="landscape" w:w="16838" w:h="11906"/>
      <w:pgMar w:left="1080" w:right="1080" w:gutter="0" w:header="708" w:top="1080" w:footer="708"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7200" w:leader="none"/>
        <w:tab w:val="right" w:pos="14400" w:leader="none"/>
      </w:tabs>
      <w:spacing w:before="0" w:after="0"/>
      <w:rPr/>
    </w:pPr>
    <w:r>
      <w:rPr>
        <w:rFonts w:eastAsia="Arial" w:cs="Arial"/>
        <w:color w:val="1A1A1A"/>
        <w:sz w:val="18"/>
        <w:szCs w:val="18"/>
      </w:rPr>
      <w:t xml:space="preserve">REG-COMP-001 Compliance Obligations Register  •  Internal  </w:t>
      <w:tab/>
      <w:t>v1.0  •  April 2026</w:t>
      <w:tab/>
      <w:t xml:space="preserve">Page </w:t>
    </w:r>
    <w:r>
      <w:rPr/>
      <w:fldChar w:fldCharType="begin"/>
    </w:r>
    <w:r>
      <w:rPr/>
      <w:instrText xml:space="preserve"> PAGE </w:instrText>
    </w:r>
    <w:r>
      <w:rPr/>
      <w:fldChar w:fldCharType="separate"/>
    </w:r>
    <w:r>
      <w:rPr/>
      <w:t>9</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7200" w:leader="none"/>
        <w:tab w:val="right" w:pos="14400" w:leader="none"/>
      </w:tabs>
      <w:spacing w:before="0" w:after="0"/>
      <w:rPr/>
    </w:pPr>
    <w:r>
      <w:rPr>
        <w:rFonts w:eastAsia="Arial" w:cs="Arial"/>
        <w:color w:val="1A1A1A"/>
        <w:sz w:val="18"/>
        <w:szCs w:val="18"/>
      </w:rPr>
      <w:t xml:space="preserve">REG-COMP-001 Compliance Obligations Register  •  Internal  </w:t>
      <w:tab/>
      <w:t>v1.0  •  April 2026</w:t>
      <w:tab/>
      <w:t xml:space="preserve">Page </w:t>
    </w:r>
    <w:r>
      <w:rPr/>
      <w:fldChar w:fldCharType="begin"/>
    </w:r>
    <w:r>
      <w:rPr/>
      <w:instrText xml:space="preserve"> PAGE </w:instrText>
    </w:r>
    <w:r>
      <w:rPr/>
      <w:fldChar w:fldCharType="separate"/>
    </w:r>
    <w:r>
      <w:rPr/>
      <w:t>9</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Arial" w:hAnsi="Arial" w:cs="Arial" w:hint="default"/>
        <w:color w:val="0000FF"/>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Heading1">
    <w:name w:val="Heading 1"/>
    <w:basedOn w:val="Heading"/>
    <w:qFormat/>
    <w:pPr>
      <w:spacing w:before="360" w:after="180"/>
      <w:outlineLvl w:val="0"/>
    </w:pPr>
    <w:rPr>
      <w:rFonts w:ascii="Arial" w:hAnsi="Arial" w:eastAsia="Arial" w:cs="Arial"/>
      <w:b/>
      <w:bCs/>
      <w:color w:val="0000FF"/>
      <w:sz w:val="36"/>
      <w:szCs w:val="36"/>
    </w:rPr>
  </w:style>
  <w:style w:type="paragraph" w:styleId="Heading2">
    <w:name w:val="Heading 2"/>
    <w:basedOn w:val="Heading"/>
    <w:qFormat/>
    <w:pPr>
      <w:spacing w:before="280" w:after="140"/>
      <w:outlineLvl w:val="1"/>
    </w:pPr>
    <w:rPr>
      <w:rFonts w:ascii="Arial" w:hAnsi="Arial" w:eastAsia="Arial" w:cs="Arial"/>
      <w:b/>
      <w:bCs/>
      <w:color w:val="0000FF"/>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1A"/>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Microsoft Office Word</Application>
  <AppVersion>16.0000</AppVersion>
  <Company>Cloudax Ltd.</Company>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2026-04-03T08:13:41Z</dcterms:created>
  <dc:creator>David Stokes</dc:creator>
  <dc:description/>
  <dc:language>en-US</dc:language>
  <cp:lastModifiedBy>David Stokes</cp:lastModifiedBy>
  <dcterms:modified xsi:type="dcterms:W3CDTF">2026-04-03T09:04:41Z</dcterms:modified>
  <cp:revision>1</cp:revision>
  <dc:subject/>
  <dc:title>Cloudax Compliance Obligations Register</dc:title>
</cp:coreProperties>
</file>

<file path=docProps/custom.xml><?xml version="1.0" encoding="utf-8"?>
<Properties xmlns="http://schemas.openxmlformats.org/officeDocument/2006/custom-properties" xmlns:vt="http://schemas.openxmlformats.org/officeDocument/2006/docPropsVTypes"/>
</file>