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Data Protection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ISMS-POL-002</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Data Protection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Managing Director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ISO 27001:2022</w:t>
            </w:r>
          </w:p>
          <w:p>
            <w:pPr>
              <w:pStyle w:val="Normal"/>
              <w:spacing w:before="0" w:after="0"/>
              <w:rPr/>
            </w:pPr>
            <w:r>
              <w:rPr>
                <w:rFonts w:eastAsia="Arial" w:cs="Arial"/>
                <w:color w:val="1A1A1A"/>
                <w:sz w:val="22"/>
                <w:szCs w:val="22"/>
              </w:rPr>
              <w:t>Aligned — see Annex A mapping</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SoA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Data Protection Principles</w:t>
      </w:r>
    </w:p>
    <w:p>
      <w:pPr>
        <w:pStyle w:val="Normal"/>
        <w:spacing w:before="40" w:after="40"/>
        <w:rPr/>
      </w:pPr>
      <w:r>
        <w:rPr>
          <w:rFonts w:eastAsia="Arial" w:cs="Arial"/>
          <w:color w:val="1A1A1A"/>
          <w:sz w:val="22"/>
          <w:szCs w:val="22"/>
        </w:rPr>
        <w:t>5.  Lawful Bases for Processing</w:t>
      </w:r>
    </w:p>
    <w:p>
      <w:pPr>
        <w:pStyle w:val="Normal"/>
        <w:spacing w:before="40" w:after="40"/>
        <w:rPr/>
      </w:pPr>
      <w:r>
        <w:rPr>
          <w:rFonts w:eastAsia="Arial" w:cs="Arial"/>
          <w:color w:val="1A1A1A"/>
          <w:sz w:val="22"/>
          <w:szCs w:val="22"/>
        </w:rPr>
        <w:t>6.  Roles and Responsibilities</w:t>
      </w:r>
    </w:p>
    <w:p>
      <w:pPr>
        <w:pStyle w:val="Normal"/>
        <w:spacing w:before="40" w:after="40"/>
        <w:rPr/>
      </w:pPr>
      <w:r>
        <w:rPr>
          <w:rFonts w:eastAsia="Arial" w:cs="Arial"/>
          <w:color w:val="1A1A1A"/>
          <w:sz w:val="22"/>
          <w:szCs w:val="22"/>
        </w:rPr>
        <w:t>7.  Records of Processing Activities</w:t>
      </w:r>
    </w:p>
    <w:p>
      <w:pPr>
        <w:pStyle w:val="Normal"/>
        <w:spacing w:before="40" w:after="40"/>
        <w:rPr/>
      </w:pPr>
      <w:r>
        <w:rPr>
          <w:rFonts w:eastAsia="Arial" w:cs="Arial"/>
          <w:color w:val="1A1A1A"/>
          <w:sz w:val="22"/>
          <w:szCs w:val="22"/>
        </w:rPr>
        <w:t>8.  Data Subject Rights</w:t>
      </w:r>
    </w:p>
    <w:p>
      <w:pPr>
        <w:pStyle w:val="Normal"/>
        <w:spacing w:before="40" w:after="40"/>
        <w:rPr/>
      </w:pPr>
      <w:r>
        <w:rPr>
          <w:rFonts w:eastAsia="Arial" w:cs="Arial"/>
          <w:color w:val="1A1A1A"/>
          <w:sz w:val="22"/>
          <w:szCs w:val="22"/>
        </w:rPr>
        <w:t>9.  Lawful and Fair Processing of Special Category and Voice Data</w:t>
      </w:r>
    </w:p>
    <w:p>
      <w:pPr>
        <w:pStyle w:val="Normal"/>
        <w:spacing w:before="40" w:after="40"/>
        <w:rPr/>
      </w:pPr>
      <w:r>
        <w:rPr>
          <w:rFonts w:eastAsia="Arial" w:cs="Arial"/>
          <w:color w:val="1A1A1A"/>
          <w:sz w:val="22"/>
          <w:szCs w:val="22"/>
        </w:rPr>
        <w:t>10. International Data Transfers</w:t>
      </w:r>
    </w:p>
    <w:p>
      <w:pPr>
        <w:pStyle w:val="Normal"/>
        <w:spacing w:before="40" w:after="40"/>
        <w:rPr/>
      </w:pPr>
      <w:r>
        <w:rPr>
          <w:rFonts w:eastAsia="Arial" w:cs="Arial"/>
          <w:color w:val="1A1A1A"/>
          <w:sz w:val="22"/>
          <w:szCs w:val="22"/>
        </w:rPr>
        <w:t>11. Data Protection by Design and by Default</w:t>
      </w:r>
    </w:p>
    <w:p>
      <w:pPr>
        <w:pStyle w:val="Normal"/>
        <w:spacing w:before="40" w:after="40"/>
        <w:rPr/>
      </w:pPr>
      <w:r>
        <w:rPr>
          <w:rFonts w:eastAsia="Arial" w:cs="Arial"/>
          <w:color w:val="1A1A1A"/>
          <w:sz w:val="22"/>
          <w:szCs w:val="22"/>
        </w:rPr>
        <w:t>12. Data Protection Impact Assessments (DPIAs)</w:t>
      </w:r>
    </w:p>
    <w:p>
      <w:pPr>
        <w:pStyle w:val="Normal"/>
        <w:spacing w:before="40" w:after="40"/>
        <w:rPr/>
      </w:pPr>
      <w:r>
        <w:rPr>
          <w:rFonts w:eastAsia="Arial" w:cs="Arial"/>
          <w:color w:val="1A1A1A"/>
          <w:sz w:val="22"/>
          <w:szCs w:val="22"/>
        </w:rPr>
        <w:t>13. Personal Data Breach Management</w:t>
      </w:r>
    </w:p>
    <w:p>
      <w:pPr>
        <w:pStyle w:val="Normal"/>
        <w:spacing w:before="40" w:after="40"/>
        <w:rPr/>
      </w:pPr>
      <w:r>
        <w:rPr>
          <w:rFonts w:eastAsia="Arial" w:cs="Arial"/>
          <w:color w:val="1A1A1A"/>
          <w:sz w:val="22"/>
          <w:szCs w:val="22"/>
        </w:rPr>
        <w:t>14. Data Retention and Disposal</w:t>
      </w:r>
    </w:p>
    <w:p>
      <w:pPr>
        <w:pStyle w:val="Normal"/>
        <w:spacing w:before="40" w:after="40"/>
        <w:rPr/>
      </w:pPr>
      <w:r>
        <w:rPr>
          <w:rFonts w:eastAsia="Arial" w:cs="Arial"/>
          <w:color w:val="1A1A1A"/>
          <w:sz w:val="22"/>
          <w:szCs w:val="22"/>
        </w:rPr>
        <w:t>15. Engaging Processors and Sub-Processors</w:t>
      </w:r>
    </w:p>
    <w:p>
      <w:pPr>
        <w:pStyle w:val="Normal"/>
        <w:spacing w:before="40" w:after="40"/>
        <w:rPr/>
      </w:pPr>
      <w:r>
        <w:rPr>
          <w:rFonts w:eastAsia="Arial" w:cs="Arial"/>
          <w:color w:val="1A1A1A"/>
          <w:sz w:val="22"/>
          <w:szCs w:val="22"/>
        </w:rPr>
        <w:t>16. Training, Awareness, and Compliance</w:t>
      </w:r>
    </w:p>
    <w:p>
      <w:pPr>
        <w:pStyle w:val="Normal"/>
        <w:spacing w:before="40" w:after="40"/>
        <w:rPr/>
      </w:pPr>
      <w:r>
        <w:rPr>
          <w:rFonts w:eastAsia="Arial" w:cs="Arial"/>
          <w:color w:val="1A1A1A"/>
          <w:sz w:val="22"/>
          <w:szCs w:val="22"/>
        </w:rPr>
        <w:t>17. Review and Maintenance</w:t>
      </w:r>
    </w:p>
    <w:p>
      <w:pPr>
        <w:pStyle w:val="Normal"/>
        <w:spacing w:before="40" w:after="40"/>
        <w:rPr/>
      </w:pPr>
      <w:r>
        <w:rPr>
          <w:rFonts w:eastAsia="Arial" w:cs="Arial"/>
          <w:color w:val="1A1A1A"/>
          <w:sz w:val="22"/>
          <w:szCs w:val="22"/>
        </w:rPr>
        <w:t>18. Acknowledgement</w:t>
      </w:r>
    </w:p>
    <w:p>
      <w:pPr>
        <w:pStyle w:val="Normal"/>
        <w:spacing w:before="40" w:after="40"/>
        <w:rPr/>
      </w:pPr>
      <w:r>
        <w:rPr>
          <w:rFonts w:eastAsia="Arial" w:cs="Arial"/>
          <w:color w:val="1A1A1A"/>
          <w:sz w:val="22"/>
          <w:szCs w:val="22"/>
        </w:rPr>
        <w:t>Annex A — Mapping to ISO/IEC 27001:2022</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Data Protection Policy (the “Policy”) sets out how Cloudax Ltd. (“Cloudax”) protects personal data and complies with the UK General Data Protection Regulation (“UK GDPR”), the Data Protection Act 2018 (“DPA 2018”), and the Privacy and Electronic Communications Regulations 2003 (“PECR”).</w:t>
      </w:r>
    </w:p>
    <w:p>
      <w:pPr>
        <w:pStyle w:val="Normal"/>
        <w:spacing w:lineRule="exact" w:line="300" w:before="80" w:after="120"/>
        <w:rPr/>
      </w:pPr>
      <w:r>
        <w:rPr>
          <w:rFonts w:eastAsia="Arial" w:cs="Arial"/>
          <w:color w:val="1A1A1A"/>
          <w:sz w:val="22"/>
          <w:szCs w:val="22"/>
        </w:rPr>
        <w:t>It supports the Information Security Policy (ISMS-POL-001) and gives effect to the Annex A controls relating to privacy and the protection of personally identifiable information (PII).</w:t>
      </w:r>
    </w:p>
    <w:p>
      <w:pPr>
        <w:pStyle w:val="Normal"/>
        <w:spacing w:lineRule="exact" w:line="300" w:before="80" w:after="120"/>
        <w:rPr/>
      </w:pPr>
      <w:r>
        <w:rPr>
          <w:rFonts w:eastAsia="Arial" w:cs="Arial"/>
          <w:color w:val="1A1A1A"/>
          <w:sz w:val="22"/>
          <w:szCs w:val="22"/>
        </w:rPr>
        <w:t>Given Cloudax’s role as a conversational AI provider, this Policy gives particular attention to the handling of voice recordings, transcripts, and derived data, which may contain personal data and, in some cases, special category data.</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 Policies for information security; A.5.34 Privacy and protection of PII</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personal data processed by Cloudax in any role under the UK GDPR — as a controller, joint controller, or processor — in any format and on any media.</w:t>
      </w:r>
    </w:p>
    <w:p>
      <w:pPr>
        <w:pStyle w:val="Normal"/>
        <w:spacing w:lineRule="exact" w:line="300" w:before="80" w:after="120"/>
        <w:rPr/>
      </w:pPr>
      <w:r>
        <w:rPr>
          <w:rFonts w:eastAsia="Arial" w:cs="Arial"/>
          <w:color w:val="1A1A1A"/>
          <w:sz w:val="22"/>
          <w:szCs w:val="22"/>
        </w:rPr>
        <w:t>It applies to all personnel of Cloudax (currently a team of six employees based in Manchester), all contractors and consultants, and all suppliers and partners who process personal data on Cloudax’s behalf or share personal data with Cloudax.</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 A.5.10 Acceptable use</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Terms used in this Policy have the meanings given in the UK GDPR and the DPA 2018. Key terms include:</w:t>
      </w:r>
    </w:p>
    <w:p>
      <w:pPr>
        <w:pStyle w:val="ListParagraph"/>
        <w:numPr>
          <w:ilvl w:val="0"/>
          <w:numId w:val="3"/>
        </w:numPr>
        <w:spacing w:lineRule="exact" w:line="280" w:before="40" w:after="40"/>
        <w:rPr/>
      </w:pPr>
      <w:r>
        <w:rPr>
          <w:rFonts w:eastAsia="Arial" w:cs="Arial"/>
          <w:b/>
          <w:bCs/>
          <w:color w:val="1A1A1A"/>
          <w:sz w:val="22"/>
          <w:szCs w:val="22"/>
        </w:rPr>
        <w:t xml:space="preserve">Personal data: </w:t>
      </w:r>
      <w:r>
        <w:rPr>
          <w:rFonts w:eastAsia="Arial" w:cs="Arial"/>
          <w:color w:val="1A1A1A"/>
          <w:sz w:val="22"/>
          <w:szCs w:val="22"/>
        </w:rPr>
        <w:t>any information relating to an identified or identifiable natural person.</w:t>
      </w:r>
    </w:p>
    <w:p>
      <w:pPr>
        <w:pStyle w:val="ListParagraph"/>
        <w:numPr>
          <w:ilvl w:val="0"/>
          <w:numId w:val="1"/>
        </w:numPr>
        <w:spacing w:lineRule="exact" w:line="280" w:before="40" w:after="40"/>
        <w:rPr/>
      </w:pPr>
      <w:r>
        <w:rPr>
          <w:rFonts w:eastAsia="Arial" w:cs="Arial"/>
          <w:b/>
          <w:bCs/>
          <w:color w:val="1A1A1A"/>
          <w:sz w:val="22"/>
          <w:szCs w:val="22"/>
        </w:rPr>
        <w:t xml:space="preserve">Special category data: </w:t>
      </w:r>
      <w:r>
        <w:rPr>
          <w:rFonts w:eastAsia="Arial" w:cs="Arial"/>
          <w:color w:val="1A1A1A"/>
          <w:sz w:val="22"/>
          <w:szCs w:val="22"/>
        </w:rPr>
        <w:t>personal data revealing racial or ethnic origin, political opinions, religious or philosophical beliefs, trade union membership, genetic data, biometric data for the purpose of unique identification, data concerning health, sex life, or sexual orientation.</w:t>
      </w:r>
    </w:p>
    <w:p>
      <w:pPr>
        <w:pStyle w:val="ListParagraph"/>
        <w:numPr>
          <w:ilvl w:val="0"/>
          <w:numId w:val="1"/>
        </w:numPr>
        <w:spacing w:lineRule="exact" w:line="280" w:before="40" w:after="40"/>
        <w:rPr/>
      </w:pPr>
      <w:r>
        <w:rPr>
          <w:rFonts w:eastAsia="Arial" w:cs="Arial"/>
          <w:b/>
          <w:bCs/>
          <w:color w:val="1A1A1A"/>
          <w:sz w:val="22"/>
          <w:szCs w:val="22"/>
        </w:rPr>
        <w:t xml:space="preserve">Processing: </w:t>
      </w:r>
      <w:r>
        <w:rPr>
          <w:rFonts w:eastAsia="Arial" w:cs="Arial"/>
          <w:color w:val="1A1A1A"/>
          <w:sz w:val="22"/>
          <w:szCs w:val="22"/>
        </w:rPr>
        <w:t>any operation performed on personal data, including collection, recording, storage, use, disclosure, transmission, and erasure.</w:t>
      </w:r>
    </w:p>
    <w:p>
      <w:pPr>
        <w:pStyle w:val="ListParagraph"/>
        <w:numPr>
          <w:ilvl w:val="0"/>
          <w:numId w:val="1"/>
        </w:numPr>
        <w:spacing w:lineRule="exact" w:line="280" w:before="40" w:after="40"/>
        <w:rPr/>
      </w:pPr>
      <w:r>
        <w:rPr>
          <w:rFonts w:eastAsia="Arial" w:cs="Arial"/>
          <w:b/>
          <w:bCs/>
          <w:color w:val="1A1A1A"/>
          <w:sz w:val="22"/>
          <w:szCs w:val="22"/>
        </w:rPr>
        <w:t xml:space="preserve">Controller: </w:t>
      </w:r>
      <w:r>
        <w:rPr>
          <w:rFonts w:eastAsia="Arial" w:cs="Arial"/>
          <w:color w:val="1A1A1A"/>
          <w:sz w:val="22"/>
          <w:szCs w:val="22"/>
        </w:rPr>
        <w:t>the natural or legal person who determines the purposes and means of processing.</w:t>
      </w:r>
    </w:p>
    <w:p>
      <w:pPr>
        <w:pStyle w:val="ListParagraph"/>
        <w:numPr>
          <w:ilvl w:val="0"/>
          <w:numId w:val="1"/>
        </w:numPr>
        <w:spacing w:lineRule="exact" w:line="280" w:before="40" w:after="40"/>
        <w:rPr/>
      </w:pPr>
      <w:r>
        <w:rPr>
          <w:rFonts w:eastAsia="Arial" w:cs="Arial"/>
          <w:b/>
          <w:bCs/>
          <w:color w:val="1A1A1A"/>
          <w:sz w:val="22"/>
          <w:szCs w:val="22"/>
        </w:rPr>
        <w:t xml:space="preserve">Processor: </w:t>
      </w:r>
      <w:r>
        <w:rPr>
          <w:rFonts w:eastAsia="Arial" w:cs="Arial"/>
          <w:color w:val="1A1A1A"/>
          <w:sz w:val="22"/>
          <w:szCs w:val="22"/>
        </w:rPr>
        <w:t>the natural or legal person who processes personal data on behalf of the controller.</w:t>
      </w:r>
    </w:p>
    <w:p>
      <w:pPr>
        <w:pStyle w:val="ListParagraph"/>
        <w:numPr>
          <w:ilvl w:val="0"/>
          <w:numId w:val="1"/>
        </w:numPr>
        <w:spacing w:lineRule="exact" w:line="280" w:before="40" w:after="40"/>
        <w:rPr/>
      </w:pPr>
      <w:r>
        <w:rPr>
          <w:rFonts w:eastAsia="Arial" w:cs="Arial"/>
          <w:b/>
          <w:bCs/>
          <w:color w:val="1A1A1A"/>
          <w:sz w:val="22"/>
          <w:szCs w:val="22"/>
        </w:rPr>
        <w:t xml:space="preserve">Data subject: </w:t>
      </w:r>
      <w:r>
        <w:rPr>
          <w:rFonts w:eastAsia="Arial" w:cs="Arial"/>
          <w:color w:val="1A1A1A"/>
          <w:sz w:val="22"/>
          <w:szCs w:val="22"/>
        </w:rPr>
        <w:t>the identified or identifiable natural person to whom the personal data relates.</w:t>
      </w:r>
    </w:p>
    <w:p>
      <w:pPr>
        <w:pStyle w:val="ListParagraph"/>
        <w:numPr>
          <w:ilvl w:val="0"/>
          <w:numId w:val="1"/>
        </w:numPr>
        <w:spacing w:lineRule="exact" w:line="280" w:before="40" w:after="40"/>
        <w:rPr/>
      </w:pPr>
      <w:r>
        <w:rPr>
          <w:rFonts w:eastAsia="Arial" w:cs="Arial"/>
          <w:b/>
          <w:bCs/>
          <w:color w:val="1A1A1A"/>
          <w:sz w:val="22"/>
          <w:szCs w:val="22"/>
        </w:rPr>
        <w:t xml:space="preserve">Personal data breach: </w:t>
      </w:r>
      <w:r>
        <w:rPr>
          <w:rFonts w:eastAsia="Arial" w:cs="Arial"/>
          <w:color w:val="1A1A1A"/>
          <w:sz w:val="22"/>
          <w:szCs w:val="22"/>
        </w:rPr>
        <w:t>a breach of security leading to the accidental or unlawful destruction, loss, alteration, unauthorised disclosure of, or access to, personal data.</w:t>
      </w:r>
    </w:p>
    <w:p>
      <w:pPr>
        <w:pStyle w:val="Heading1"/>
        <w:spacing w:before="360" w:after="180"/>
        <w:rPr/>
      </w:pPr>
      <w:r>
        <w:rPr>
          <w:rFonts w:eastAsia="Arial" w:cs="Arial" w:ascii="Arial" w:hAnsi="Arial"/>
          <w:b/>
          <w:bCs/>
          <w:color w:val="0000FF"/>
          <w:sz w:val="36"/>
          <w:szCs w:val="36"/>
        </w:rPr>
        <w:t>4. Data Protection Principles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processes personal data in accordance with the seven principles of the UK GDPR:</w:t>
      </w:r>
    </w:p>
    <w:p>
      <w:pPr>
        <w:pStyle w:val="ListParagraph"/>
        <w:numPr>
          <w:ilvl w:val="0"/>
          <w:numId w:val="1"/>
        </w:numPr>
        <w:spacing w:lineRule="exact" w:line="280" w:before="40" w:after="40"/>
        <w:rPr/>
      </w:pPr>
      <w:r>
        <w:rPr>
          <w:rFonts w:eastAsia="Arial" w:cs="Arial"/>
          <w:b/>
          <w:bCs/>
          <w:color w:val="1A1A1A"/>
          <w:sz w:val="22"/>
          <w:szCs w:val="22"/>
        </w:rPr>
        <w:t xml:space="preserve">Lawfulness, fairness, and transparency — </w:t>
      </w:r>
      <w:r>
        <w:rPr>
          <w:rFonts w:eastAsia="Arial" w:cs="Arial"/>
          <w:color w:val="1A1A1A"/>
          <w:sz w:val="22"/>
          <w:szCs w:val="22"/>
        </w:rPr>
        <w:t>personal data is processed lawfully, fairly, and in a transparent manner.</w:t>
      </w:r>
    </w:p>
    <w:p>
      <w:pPr>
        <w:pStyle w:val="ListParagraph"/>
        <w:numPr>
          <w:ilvl w:val="0"/>
          <w:numId w:val="1"/>
        </w:numPr>
        <w:spacing w:lineRule="exact" w:line="280" w:before="40" w:after="40"/>
        <w:rPr/>
      </w:pPr>
      <w:r>
        <w:rPr>
          <w:rFonts w:eastAsia="Arial" w:cs="Arial"/>
          <w:b/>
          <w:bCs/>
          <w:color w:val="1A1A1A"/>
          <w:sz w:val="22"/>
          <w:szCs w:val="22"/>
        </w:rPr>
        <w:t xml:space="preserve">Purpose limitation — </w:t>
      </w:r>
      <w:r>
        <w:rPr>
          <w:rFonts w:eastAsia="Arial" w:cs="Arial"/>
          <w:color w:val="1A1A1A"/>
          <w:sz w:val="22"/>
          <w:szCs w:val="22"/>
        </w:rPr>
        <w:t>personal data is collected for specified, explicit, and legitimate purposes and not further processed in incompatible ways.</w:t>
      </w:r>
    </w:p>
    <w:p>
      <w:pPr>
        <w:pStyle w:val="ListParagraph"/>
        <w:numPr>
          <w:ilvl w:val="0"/>
          <w:numId w:val="1"/>
        </w:numPr>
        <w:spacing w:lineRule="exact" w:line="280" w:before="40" w:after="40"/>
        <w:rPr/>
      </w:pPr>
      <w:r>
        <w:rPr>
          <w:rFonts w:eastAsia="Arial" w:cs="Arial"/>
          <w:b/>
          <w:bCs/>
          <w:color w:val="1A1A1A"/>
          <w:sz w:val="22"/>
          <w:szCs w:val="22"/>
        </w:rPr>
        <w:t xml:space="preserve">Data minimisation — </w:t>
      </w:r>
      <w:r>
        <w:rPr>
          <w:rFonts w:eastAsia="Arial" w:cs="Arial"/>
          <w:color w:val="1A1A1A"/>
          <w:sz w:val="22"/>
          <w:szCs w:val="22"/>
        </w:rPr>
        <w:t>personal data is adequate, relevant, and limited to what is necessary for the purposes for which it is processed.</w:t>
      </w:r>
    </w:p>
    <w:p>
      <w:pPr>
        <w:pStyle w:val="ListParagraph"/>
        <w:numPr>
          <w:ilvl w:val="0"/>
          <w:numId w:val="1"/>
        </w:numPr>
        <w:spacing w:lineRule="exact" w:line="280" w:before="40" w:after="40"/>
        <w:rPr/>
      </w:pPr>
      <w:r>
        <w:rPr>
          <w:rFonts w:eastAsia="Arial" w:cs="Arial"/>
          <w:b/>
          <w:bCs/>
          <w:color w:val="1A1A1A"/>
          <w:sz w:val="22"/>
          <w:szCs w:val="22"/>
        </w:rPr>
        <w:t xml:space="preserve">Accuracy — </w:t>
      </w:r>
      <w:r>
        <w:rPr>
          <w:rFonts w:eastAsia="Arial" w:cs="Arial"/>
          <w:color w:val="1A1A1A"/>
          <w:sz w:val="22"/>
          <w:szCs w:val="22"/>
        </w:rPr>
        <w:t>personal data is accurate and kept up to date; inaccurate data is corrected or erased without delay.</w:t>
      </w:r>
    </w:p>
    <w:p>
      <w:pPr>
        <w:pStyle w:val="ListParagraph"/>
        <w:numPr>
          <w:ilvl w:val="0"/>
          <w:numId w:val="1"/>
        </w:numPr>
        <w:spacing w:lineRule="exact" w:line="280" w:before="40" w:after="40"/>
        <w:rPr/>
      </w:pPr>
      <w:r>
        <w:rPr>
          <w:rFonts w:eastAsia="Arial" w:cs="Arial"/>
          <w:b/>
          <w:bCs/>
          <w:color w:val="1A1A1A"/>
          <w:sz w:val="22"/>
          <w:szCs w:val="22"/>
        </w:rPr>
        <w:t xml:space="preserve">Storage limitation — </w:t>
      </w:r>
      <w:r>
        <w:rPr>
          <w:rFonts w:eastAsia="Arial" w:cs="Arial"/>
          <w:color w:val="1A1A1A"/>
          <w:sz w:val="22"/>
          <w:szCs w:val="22"/>
        </w:rPr>
        <w:t>personal data is kept only for as long as necessary for the purposes for which it is processed.</w:t>
      </w:r>
    </w:p>
    <w:p>
      <w:pPr>
        <w:pStyle w:val="ListParagraph"/>
        <w:numPr>
          <w:ilvl w:val="0"/>
          <w:numId w:val="1"/>
        </w:numPr>
        <w:spacing w:lineRule="exact" w:line="280" w:before="40" w:after="40"/>
        <w:rPr/>
      </w:pPr>
      <w:r>
        <w:rPr>
          <w:rFonts w:eastAsia="Arial" w:cs="Arial"/>
          <w:b/>
          <w:bCs/>
          <w:color w:val="1A1A1A"/>
          <w:sz w:val="22"/>
          <w:szCs w:val="22"/>
        </w:rPr>
        <w:t xml:space="preserve">Integrity and confidentiality — </w:t>
      </w:r>
      <w:r>
        <w:rPr>
          <w:rFonts w:eastAsia="Arial" w:cs="Arial"/>
          <w:color w:val="1A1A1A"/>
          <w:sz w:val="22"/>
          <w:szCs w:val="22"/>
        </w:rPr>
        <w:t>personal data is processed in a manner that ensures appropriate security, including protection against unauthorised or unlawful processing, accidental loss, destruction, or damage.</w:t>
      </w:r>
    </w:p>
    <w:p>
      <w:pPr>
        <w:pStyle w:val="ListParagraph"/>
        <w:numPr>
          <w:ilvl w:val="0"/>
          <w:numId w:val="1"/>
        </w:numPr>
        <w:spacing w:lineRule="exact" w:line="280" w:before="40" w:after="40"/>
        <w:rPr/>
      </w:pPr>
      <w:r>
        <w:rPr>
          <w:rFonts w:eastAsia="Arial" w:cs="Arial"/>
          <w:b/>
          <w:bCs/>
          <w:color w:val="1A1A1A"/>
          <w:sz w:val="22"/>
          <w:szCs w:val="22"/>
        </w:rPr>
        <w:t xml:space="preserve">Accountability — </w:t>
      </w:r>
      <w:r>
        <w:rPr>
          <w:rFonts w:eastAsia="Arial" w:cs="Arial"/>
          <w:color w:val="1A1A1A"/>
          <w:sz w:val="22"/>
          <w:szCs w:val="22"/>
        </w:rPr>
        <w:t>Cloudax is responsible for, and able to demonstrate, compliance with the other principles.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 A.5.31 Legal, statutory, regulatory and contractual requirements</w:t>
      </w:r>
    </w:p>
    <w:p>
      <w:pPr>
        <w:pStyle w:val="Heading1"/>
        <w:spacing w:before="360" w:after="180"/>
        <w:rPr/>
      </w:pPr>
      <w:r>
        <w:rPr>
          <w:rFonts w:eastAsia="Arial" w:cs="Arial" w:ascii="Arial" w:hAnsi="Arial"/>
          <w:b/>
          <w:bCs/>
          <w:color w:val="0000FF"/>
          <w:sz w:val="36"/>
          <w:szCs w:val="36"/>
        </w:rPr>
        <w:t>5. Lawful Bases for Processing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identifies and documents a lawful basis under Article 6 of the UK GDPR for every processing activity. The principal lawful bases relied upon are:</w:t>
      </w:r>
    </w:p>
    <w:p>
      <w:pPr>
        <w:pStyle w:val="ListParagraph"/>
        <w:numPr>
          <w:ilvl w:val="0"/>
          <w:numId w:val="1"/>
        </w:numPr>
        <w:spacing w:lineRule="exact" w:line="280" w:before="40" w:after="40"/>
        <w:rPr/>
      </w:pPr>
      <w:r>
        <w:rPr>
          <w:rFonts w:eastAsia="Arial" w:cs="Arial"/>
          <w:color w:val="1A1A1A"/>
          <w:sz w:val="22"/>
          <w:szCs w:val="22"/>
        </w:rPr>
        <w:t>Performance of a contract with the data subject (e.g. employees, contractors).</w:t>
      </w:r>
    </w:p>
    <w:p>
      <w:pPr>
        <w:pStyle w:val="ListParagraph"/>
        <w:numPr>
          <w:ilvl w:val="0"/>
          <w:numId w:val="1"/>
        </w:numPr>
        <w:spacing w:lineRule="exact" w:line="280" w:before="40" w:after="40"/>
        <w:rPr/>
      </w:pPr>
      <w:r>
        <w:rPr>
          <w:rFonts w:eastAsia="Arial" w:cs="Arial"/>
          <w:color w:val="1A1A1A"/>
          <w:sz w:val="22"/>
          <w:szCs w:val="22"/>
        </w:rPr>
        <w:t>Compliance with a legal obligation (e.g. tax, employment, regulatory reporting).</w:t>
      </w:r>
    </w:p>
    <w:p>
      <w:pPr>
        <w:pStyle w:val="ListParagraph"/>
        <w:numPr>
          <w:ilvl w:val="0"/>
          <w:numId w:val="1"/>
        </w:numPr>
        <w:spacing w:lineRule="exact" w:line="280" w:before="40" w:after="40"/>
        <w:rPr/>
      </w:pPr>
      <w:r>
        <w:rPr>
          <w:rFonts w:eastAsia="Arial" w:cs="Arial"/>
          <w:color w:val="1A1A1A"/>
          <w:sz w:val="22"/>
          <w:szCs w:val="22"/>
        </w:rPr>
        <w:t>Legitimate interests of Cloudax or a third party (e.g. operating, securing, and improving the platform), where these interests are not overridden by the rights of the data subject.</w:t>
      </w:r>
    </w:p>
    <w:p>
      <w:pPr>
        <w:pStyle w:val="ListParagraph"/>
        <w:numPr>
          <w:ilvl w:val="0"/>
          <w:numId w:val="1"/>
        </w:numPr>
        <w:spacing w:lineRule="exact" w:line="280" w:before="40" w:after="40"/>
        <w:rPr/>
      </w:pPr>
      <w:r>
        <w:rPr>
          <w:rFonts w:eastAsia="Arial" w:cs="Arial"/>
          <w:color w:val="1A1A1A"/>
          <w:sz w:val="22"/>
          <w:szCs w:val="22"/>
        </w:rPr>
        <w:t>Consent, where consent is the appropriate basis (e.g. some marketing communications).</w:t>
      </w:r>
    </w:p>
    <w:p>
      <w:pPr>
        <w:pStyle w:val="Normal"/>
        <w:spacing w:lineRule="exact" w:line="300" w:before="80" w:after="120"/>
        <w:rPr/>
      </w:pPr>
      <w:r>
        <w:rPr>
          <w:rFonts w:eastAsia="Arial" w:cs="Arial"/>
          <w:color w:val="1A1A1A"/>
          <w:sz w:val="22"/>
          <w:szCs w:val="22"/>
        </w:rPr>
        <w:t>For special category data, an additional Article 9 condition is identified and documented. For criminal offence data, an Article 10 condition is identified.</w:t>
      </w:r>
    </w:p>
    <w:p>
      <w:pPr>
        <w:pStyle w:val="Normal"/>
        <w:spacing w:lineRule="exact" w:line="300" w:before="80" w:after="120"/>
        <w:rPr/>
      </w:pPr>
      <w:r>
        <w:rPr>
          <w:rFonts w:eastAsia="Arial" w:cs="Arial"/>
          <w:color w:val="1A1A1A"/>
          <w:sz w:val="22"/>
          <w:szCs w:val="22"/>
        </w:rPr>
        <w:t>Where Cloudax acts as a processor on behalf of customers, the customer is responsible for identifying the lawful basis for the underlying processing. Cloudax processes personal data only on documented instructions from the customer, in accordance with the data processing agreement (DPA) in force.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 A.5.31 Legal, statutory, regulatory and contractual requirements</w:t>
      </w:r>
    </w:p>
    <w:p>
      <w:pPr>
        <w:pStyle w:val="Heading1"/>
        <w:spacing w:before="360" w:after="180"/>
        <w:rPr/>
      </w:pPr>
      <w:r>
        <w:rPr>
          <w:rFonts w:eastAsia="Arial" w:cs="Arial" w:ascii="Arial" w:hAnsi="Arial"/>
          <w:b/>
          <w:bCs/>
          <w:color w:val="0000FF"/>
          <w:sz w:val="36"/>
          <w:szCs w:val="36"/>
        </w:rPr>
        <w:t>6. Roles and Responsibilities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has assessed its obligation to appoint a Data Protection Officer (DPO) under Article 37 of the UK GDPR. Where a DPO is not statutorily required, Cloudax appoints a Data Protection Lead with equivalent responsibilities for coordinating compliance.</w:t>
      </w:r>
    </w:p>
    <w:p>
      <w:pPr>
        <w:pStyle w:val="ListParagraph"/>
        <w:numPr>
          <w:ilvl w:val="0"/>
          <w:numId w:val="1"/>
        </w:numPr>
        <w:spacing w:lineRule="exact" w:line="280" w:before="40" w:after="40"/>
        <w:rPr/>
      </w:pPr>
      <w:r>
        <w:rPr>
          <w:rFonts w:eastAsia="Arial" w:cs="Arial"/>
          <w:b/>
          <w:bCs/>
          <w:color w:val="1A1A1A"/>
          <w:sz w:val="22"/>
          <w:szCs w:val="22"/>
        </w:rPr>
        <w:t xml:space="preserve">Managing Director: </w:t>
      </w:r>
      <w:r>
        <w:rPr>
          <w:rFonts w:eastAsia="Arial" w:cs="Arial"/>
          <w:color w:val="1A1A1A"/>
          <w:sz w:val="22"/>
          <w:szCs w:val="22"/>
        </w:rPr>
        <w:t>approves this Policy and ensures Cloudax meets its obligations as controller and processor.</w:t>
      </w:r>
    </w:p>
    <w:p>
      <w:pPr>
        <w:pStyle w:val="ListParagraph"/>
        <w:numPr>
          <w:ilvl w:val="0"/>
          <w:numId w:val="1"/>
        </w:numPr>
        <w:spacing w:lineRule="exact" w:line="280" w:before="40" w:after="40"/>
        <w:rPr/>
      </w:pPr>
      <w:r>
        <w:rPr>
          <w:rFonts w:eastAsia="Arial" w:cs="Arial"/>
          <w:b/>
          <w:bCs/>
          <w:color w:val="1A1A1A"/>
          <w:sz w:val="22"/>
          <w:szCs w:val="22"/>
        </w:rPr>
        <w:t xml:space="preserve">Data Protection Lead: </w:t>
      </w:r>
      <w:r>
        <w:rPr>
          <w:rFonts w:eastAsia="Arial" w:cs="Arial"/>
          <w:color w:val="1A1A1A"/>
          <w:sz w:val="22"/>
          <w:szCs w:val="22"/>
        </w:rPr>
        <w:t>monitors compliance with this Policy, the UK GDPR, and the DPA 2018; advises on DPIAs; coordinates personal data breach response; serves as the point of contact for data subjects and the Information Commissioner’s Office (ICO).</w:t>
      </w:r>
    </w:p>
    <w:p>
      <w:pPr>
        <w:pStyle w:val="ListParagraph"/>
        <w:numPr>
          <w:ilvl w:val="0"/>
          <w:numId w:val="1"/>
        </w:numPr>
        <w:spacing w:lineRule="exact" w:line="280" w:before="40" w:after="40"/>
        <w:rPr/>
      </w:pPr>
      <w:r>
        <w:rPr>
          <w:rFonts w:eastAsia="Arial" w:cs="Arial"/>
          <w:b/>
          <w:bCs/>
          <w:color w:val="1A1A1A"/>
          <w:sz w:val="22"/>
          <w:szCs w:val="22"/>
        </w:rPr>
        <w:t xml:space="preserve">Information Security Lead: </w:t>
      </w:r>
      <w:r>
        <w:rPr>
          <w:rFonts w:eastAsia="Arial" w:cs="Arial"/>
          <w:color w:val="1A1A1A"/>
          <w:sz w:val="22"/>
          <w:szCs w:val="22"/>
        </w:rPr>
        <w:t>ensures appropriate technical and organisational security measures are in place; coordinates the security aspects of personal data breach response.</w:t>
      </w:r>
    </w:p>
    <w:p>
      <w:pPr>
        <w:pStyle w:val="ListParagraph"/>
        <w:numPr>
          <w:ilvl w:val="0"/>
          <w:numId w:val="1"/>
        </w:numPr>
        <w:spacing w:lineRule="exact" w:line="280" w:before="40" w:after="40"/>
        <w:rPr/>
      </w:pPr>
      <w:r>
        <w:rPr>
          <w:rFonts w:eastAsia="Arial" w:cs="Arial"/>
          <w:b/>
          <w:bCs/>
          <w:color w:val="1A1A1A"/>
          <w:sz w:val="22"/>
          <w:szCs w:val="22"/>
        </w:rPr>
        <w:t xml:space="preserve">Engineering Lead: </w:t>
      </w:r>
      <w:r>
        <w:rPr>
          <w:rFonts w:eastAsia="Arial" w:cs="Arial"/>
          <w:color w:val="1A1A1A"/>
          <w:sz w:val="22"/>
          <w:szCs w:val="22"/>
        </w:rPr>
        <w:t>ensures data protection by design and by default is embedded in the Cloudax platform.</w:t>
      </w:r>
    </w:p>
    <w:p>
      <w:pPr>
        <w:pStyle w:val="ListParagraph"/>
        <w:numPr>
          <w:ilvl w:val="0"/>
          <w:numId w:val="1"/>
        </w:numPr>
        <w:spacing w:lineRule="exact" w:line="280" w:before="40" w:after="40"/>
        <w:rPr/>
      </w:pPr>
      <w:r>
        <w:rPr>
          <w:rFonts w:eastAsia="Arial" w:cs="Arial"/>
          <w:b/>
          <w:bCs/>
          <w:color w:val="1A1A1A"/>
          <w:sz w:val="22"/>
          <w:szCs w:val="22"/>
        </w:rPr>
        <w:t xml:space="preserve">All personnel: </w:t>
      </w:r>
      <w:r>
        <w:rPr>
          <w:rFonts w:eastAsia="Arial" w:cs="Arial"/>
          <w:color w:val="1A1A1A"/>
          <w:sz w:val="22"/>
          <w:szCs w:val="22"/>
        </w:rPr>
        <w:t>comply with this Policy, complete required training, and report personal data breaches and concerns without delay.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 Information security roles and responsibilities; A.5.34 Privacy and protection of PII</w:t>
      </w:r>
    </w:p>
    <w:p>
      <w:pPr>
        <w:pStyle w:val="Heading1"/>
        <w:spacing w:before="360" w:after="180"/>
        <w:rPr/>
      </w:pPr>
      <w:r>
        <w:rPr>
          <w:rFonts w:eastAsia="Arial" w:cs="Arial" w:ascii="Arial" w:hAnsi="Arial"/>
          <w:b/>
          <w:bCs/>
          <w:color w:val="0000FF"/>
          <w:sz w:val="36"/>
          <w:szCs w:val="36"/>
        </w:rPr>
        <w:t>7. Records of Processing Activities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maintains a Record of Processing Activities (ROPA) under Article 30 of the UK GDPR, covering processing activities both as controller and as processor. The ROPA is owned by the Data Protection Lead and is reviewed at least annually and whenever a material change to processing occurs.</w:t>
      </w:r>
    </w:p>
    <w:p>
      <w:pPr>
        <w:pStyle w:val="Normal"/>
        <w:spacing w:lineRule="exact" w:line="300" w:before="80" w:after="120"/>
        <w:rPr/>
      </w:pPr>
      <w:r>
        <w:rPr>
          <w:rFonts w:eastAsia="Arial" w:cs="Arial"/>
          <w:color w:val="1A1A1A"/>
          <w:sz w:val="22"/>
          <w:szCs w:val="22"/>
        </w:rPr>
        <w:t>Each entry in the ROPA records the purpose of processing, categories of data subjects and personal data, recipients, international transfers, retention periods, and a general description of technical and organisational security measures.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 A.5.33 Protection of records</w:t>
      </w:r>
    </w:p>
    <w:p>
      <w:pPr>
        <w:pStyle w:val="Heading1"/>
        <w:spacing w:before="360" w:after="180"/>
        <w:rPr/>
      </w:pPr>
      <w:r>
        <w:rPr>
          <w:rFonts w:eastAsia="Arial" w:cs="Arial" w:ascii="Arial" w:hAnsi="Arial"/>
          <w:b/>
          <w:bCs/>
          <w:color w:val="0000FF"/>
          <w:sz w:val="36"/>
          <w:szCs w:val="36"/>
        </w:rPr>
        <w:t>8. Data Subject Rights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respects and facilitates the exercise of data subject rights under the UK GDPR, including the rights of access, rectification, erasure, restriction of processing, data portability, objection, and rights related to automated decision-making and profiling.</w:t>
      </w:r>
    </w:p>
    <w:p>
      <w:pPr>
        <w:pStyle w:val="Normal"/>
        <w:spacing w:lineRule="exact" w:line="300" w:before="80" w:after="120"/>
        <w:rPr/>
      </w:pPr>
      <w:r>
        <w:rPr>
          <w:rFonts w:eastAsia="Arial" w:cs="Arial"/>
          <w:color w:val="1A1A1A"/>
          <w:sz w:val="22"/>
          <w:szCs w:val="22"/>
        </w:rPr>
        <w:t>Requests are handled by the Data Protection Lead and are responded to without undue delay and in any event within one month of receipt, subject to the extensions permitted by the UK GDPR. Where Cloudax acts as a processor, requests received from data subjects are forwarded promptly to the relevant controller.</w:t>
      </w:r>
    </w:p>
    <w:p>
      <w:pPr>
        <w:pStyle w:val="Normal"/>
        <w:spacing w:lineRule="exact" w:line="300" w:before="80" w:after="120"/>
        <w:rPr/>
      </w:pPr>
      <w:r>
        <w:rPr>
          <w:rFonts w:eastAsia="Arial" w:cs="Arial"/>
          <w:color w:val="1A1A1A"/>
          <w:sz w:val="22"/>
          <w:szCs w:val="22"/>
        </w:rPr>
        <w:t>The procedure for handling data subject requests is documented in the Data Subject Rights Procedure (ISMS-PRC-014).</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w:t>
      </w:r>
    </w:p>
    <w:p>
      <w:pPr>
        <w:pStyle w:val="Heading1"/>
        <w:spacing w:before="360" w:after="180"/>
        <w:rPr/>
      </w:pPr>
      <w:r>
        <w:rPr>
          <w:rFonts w:eastAsia="Arial" w:cs="Arial" w:ascii="Arial" w:hAnsi="Arial"/>
          <w:b/>
          <w:bCs/>
          <w:color w:val="0000FF"/>
          <w:sz w:val="36"/>
          <w:szCs w:val="36"/>
        </w:rPr>
        <w:t>9. Lawful and Fair Processing of Special Category and Voice Data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As a conversational AI provider, Cloudax may process voice recordings, transcripts, and derived metadata that contain personal data. In some contexts, these may include special category data — for example, where a caller volunteers information about health — or biometric data, where voice characteristics are used for the purpose of unique identification.</w:t>
      </w:r>
    </w:p>
    <w:p>
      <w:pPr>
        <w:pStyle w:val="Normal"/>
        <w:spacing w:lineRule="exact" w:line="300" w:before="80" w:after="120"/>
        <w:rPr/>
      </w:pPr>
      <w:r>
        <w:rPr>
          <w:rFonts w:eastAsia="Arial" w:cs="Arial"/>
          <w:color w:val="1A1A1A"/>
          <w:sz w:val="22"/>
          <w:szCs w:val="22"/>
        </w:rPr>
        <w:t>Cloudax addresses this through the following measures:</w:t>
      </w:r>
    </w:p>
    <w:p>
      <w:pPr>
        <w:pStyle w:val="ListParagraph"/>
        <w:numPr>
          <w:ilvl w:val="0"/>
          <w:numId w:val="1"/>
        </w:numPr>
        <w:spacing w:lineRule="exact" w:line="280" w:before="40" w:after="40"/>
        <w:rPr/>
      </w:pPr>
      <w:r>
        <w:rPr>
          <w:rFonts w:eastAsia="Arial" w:cs="Arial"/>
          <w:color w:val="1A1A1A"/>
          <w:sz w:val="22"/>
          <w:szCs w:val="22"/>
        </w:rPr>
        <w:t>Customer agreements clearly allocate controller and processor roles.</w:t>
      </w:r>
    </w:p>
    <w:p>
      <w:pPr>
        <w:pStyle w:val="ListParagraph"/>
        <w:numPr>
          <w:ilvl w:val="0"/>
          <w:numId w:val="1"/>
        </w:numPr>
        <w:spacing w:lineRule="exact" w:line="280" w:before="40" w:after="40"/>
        <w:rPr/>
      </w:pPr>
      <w:r>
        <w:rPr>
          <w:rFonts w:eastAsia="Arial" w:cs="Arial"/>
          <w:color w:val="1A1A1A"/>
          <w:sz w:val="22"/>
          <w:szCs w:val="22"/>
        </w:rPr>
        <w:t>Voice and transcript data is treated as Confidential or Restricted information under the Information Classification and Handling Procedure (ISMS-PRC-004).</w:t>
      </w:r>
    </w:p>
    <w:p>
      <w:pPr>
        <w:pStyle w:val="ListParagraph"/>
        <w:numPr>
          <w:ilvl w:val="0"/>
          <w:numId w:val="1"/>
        </w:numPr>
        <w:spacing w:lineRule="exact" w:line="280" w:before="40" w:after="40"/>
        <w:rPr/>
      </w:pPr>
      <w:r>
        <w:rPr>
          <w:rFonts w:eastAsia="Arial" w:cs="Arial"/>
          <w:color w:val="1A1A1A"/>
          <w:sz w:val="22"/>
          <w:szCs w:val="22"/>
        </w:rPr>
        <w:t>Access to voice and transcript data is restricted on a least-privilege basis and logged.</w:t>
      </w:r>
    </w:p>
    <w:p>
      <w:pPr>
        <w:pStyle w:val="ListParagraph"/>
        <w:numPr>
          <w:ilvl w:val="0"/>
          <w:numId w:val="1"/>
        </w:numPr>
        <w:spacing w:lineRule="exact" w:line="280" w:before="40" w:after="40"/>
        <w:rPr/>
      </w:pPr>
      <w:r>
        <w:rPr>
          <w:rFonts w:eastAsia="Arial" w:cs="Arial"/>
          <w:color w:val="1A1A1A"/>
          <w:sz w:val="22"/>
          <w:szCs w:val="22"/>
        </w:rPr>
        <w:t>Voice biometric processing, where used, is subject to a Data Protection Impact Assessment and an explicit Article 9 condition for processing.</w:t>
      </w:r>
    </w:p>
    <w:p>
      <w:pPr>
        <w:pStyle w:val="ListParagraph"/>
        <w:numPr>
          <w:ilvl w:val="0"/>
          <w:numId w:val="1"/>
        </w:numPr>
        <w:spacing w:lineRule="exact" w:line="280" w:before="40" w:after="40"/>
        <w:rPr/>
      </w:pPr>
      <w:r>
        <w:rPr>
          <w:rFonts w:eastAsia="Arial" w:cs="Arial"/>
          <w:color w:val="1A1A1A"/>
          <w:sz w:val="22"/>
          <w:szCs w:val="22"/>
        </w:rPr>
        <w:t>Customers are provided with the information needed to inform their data subjects of the processing, including the use of AI.</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A.5.12 Classification of information; A.5.34 Privacy and protection of PII; A.8.3 Information access restriction; A.8.11 Data masking; A.8.12 Data leakage prevention</w:t>
      </w:r>
    </w:p>
    <w:p>
      <w:pPr>
        <w:pStyle w:val="Heading1"/>
        <w:spacing w:before="360" w:after="180"/>
        <w:rPr/>
      </w:pPr>
      <w:r>
        <w:rPr>
          <w:rFonts w:eastAsia="Arial" w:cs="Arial" w:ascii="Arial" w:hAnsi="Arial"/>
          <w:b/>
          <w:bCs/>
          <w:color w:val="0000FF"/>
          <w:sz w:val="36"/>
          <w:szCs w:val="36"/>
        </w:rPr>
        <w:t>10. International Data Transfers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Where Cloudax transfers personal data outside the United Kingdom, it ensures that one of the safeguards permitted under the UK GDPR is in place, including:</w:t>
      </w:r>
    </w:p>
    <w:p>
      <w:pPr>
        <w:pStyle w:val="ListParagraph"/>
        <w:numPr>
          <w:ilvl w:val="0"/>
          <w:numId w:val="1"/>
        </w:numPr>
        <w:spacing w:lineRule="exact" w:line="280" w:before="40" w:after="40"/>
        <w:rPr/>
      </w:pPr>
      <w:r>
        <w:rPr>
          <w:rFonts w:eastAsia="Arial" w:cs="Arial"/>
          <w:color w:val="1A1A1A"/>
          <w:sz w:val="22"/>
          <w:szCs w:val="22"/>
        </w:rPr>
        <w:t>Transfers to a country covered by UK adequacy regulations.</w:t>
      </w:r>
    </w:p>
    <w:p>
      <w:pPr>
        <w:pStyle w:val="ListParagraph"/>
        <w:numPr>
          <w:ilvl w:val="0"/>
          <w:numId w:val="1"/>
        </w:numPr>
        <w:spacing w:lineRule="exact" w:line="280" w:before="40" w:after="40"/>
        <w:rPr/>
      </w:pPr>
      <w:r>
        <w:rPr>
          <w:rFonts w:eastAsia="Arial" w:cs="Arial"/>
          <w:color w:val="1A1A1A"/>
          <w:sz w:val="22"/>
          <w:szCs w:val="22"/>
        </w:rPr>
        <w:t>UK International Data Transfer Agreement (IDTA) or the UK Addendum to the EU Standard Contractual Clauses.</w:t>
      </w:r>
    </w:p>
    <w:p>
      <w:pPr>
        <w:pStyle w:val="ListParagraph"/>
        <w:numPr>
          <w:ilvl w:val="0"/>
          <w:numId w:val="1"/>
        </w:numPr>
        <w:spacing w:lineRule="exact" w:line="280" w:before="40" w:after="40"/>
        <w:rPr/>
      </w:pPr>
      <w:r>
        <w:rPr>
          <w:rFonts w:eastAsia="Arial" w:cs="Arial"/>
          <w:color w:val="1A1A1A"/>
          <w:sz w:val="22"/>
          <w:szCs w:val="22"/>
        </w:rPr>
        <w:t>Binding Corporate Rules approved by the ICO.</w:t>
      </w:r>
    </w:p>
    <w:p>
      <w:pPr>
        <w:pStyle w:val="ListParagraph"/>
        <w:numPr>
          <w:ilvl w:val="0"/>
          <w:numId w:val="1"/>
        </w:numPr>
        <w:spacing w:lineRule="exact" w:line="280" w:before="40" w:after="40"/>
        <w:rPr/>
      </w:pPr>
      <w:r>
        <w:rPr>
          <w:rFonts w:eastAsia="Arial" w:cs="Arial"/>
          <w:color w:val="1A1A1A"/>
          <w:sz w:val="22"/>
          <w:szCs w:val="22"/>
        </w:rPr>
        <w:t>Other safeguards or derogations permitted by Article 46 or Article 49 of the UK GDPR.</w:t>
      </w:r>
    </w:p>
    <w:p>
      <w:pPr>
        <w:pStyle w:val="Normal"/>
        <w:spacing w:lineRule="exact" w:line="300" w:before="80" w:after="120"/>
        <w:rPr/>
      </w:pPr>
      <w:r>
        <w:rPr>
          <w:rFonts w:eastAsia="Arial" w:cs="Arial"/>
          <w:color w:val="1A1A1A"/>
          <w:sz w:val="22"/>
          <w:szCs w:val="22"/>
        </w:rPr>
        <w:t>Cloudax carries out a transfer risk assessment for each onward transfer, taking account of the laws and practices of the destination country and any supplementary measures required.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 A.5.31 Legal, statutory, regulatory and contractual requirements</w:t>
      </w:r>
    </w:p>
    <w:p>
      <w:pPr>
        <w:pStyle w:val="Heading1"/>
        <w:spacing w:before="360" w:after="180"/>
        <w:rPr/>
      </w:pPr>
      <w:r>
        <w:rPr>
          <w:rFonts w:eastAsia="Arial" w:cs="Arial" w:ascii="Arial" w:hAnsi="Arial"/>
          <w:b/>
          <w:bCs/>
          <w:color w:val="0000FF"/>
          <w:sz w:val="36"/>
          <w:szCs w:val="36"/>
        </w:rPr>
        <w:t>11. Data Protection by Design and by Default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embeds data protection into the design and operation of the platform and supporting systems through:</w:t>
      </w:r>
    </w:p>
    <w:p>
      <w:pPr>
        <w:pStyle w:val="ListParagraph"/>
        <w:numPr>
          <w:ilvl w:val="0"/>
          <w:numId w:val="1"/>
        </w:numPr>
        <w:spacing w:lineRule="exact" w:line="280" w:before="40" w:after="40"/>
        <w:rPr/>
      </w:pPr>
      <w:r>
        <w:rPr>
          <w:rFonts w:eastAsia="Arial" w:cs="Arial"/>
          <w:color w:val="1A1A1A"/>
          <w:sz w:val="22"/>
          <w:szCs w:val="22"/>
        </w:rPr>
        <w:t>Privacy considerations in the design and architecture of new features and changes to existing ones.</w:t>
      </w:r>
    </w:p>
    <w:p>
      <w:pPr>
        <w:pStyle w:val="ListParagraph"/>
        <w:numPr>
          <w:ilvl w:val="0"/>
          <w:numId w:val="1"/>
        </w:numPr>
        <w:spacing w:lineRule="exact" w:line="280" w:before="40" w:after="40"/>
        <w:rPr/>
      </w:pPr>
      <w:r>
        <w:rPr>
          <w:rFonts w:eastAsia="Arial" w:cs="Arial"/>
          <w:color w:val="1A1A1A"/>
          <w:sz w:val="22"/>
          <w:szCs w:val="22"/>
        </w:rPr>
        <w:t>Default settings that minimise the personal data collected, the extent of processing, the period of storage, and accessibility.</w:t>
      </w:r>
    </w:p>
    <w:p>
      <w:pPr>
        <w:pStyle w:val="ListParagraph"/>
        <w:numPr>
          <w:ilvl w:val="0"/>
          <w:numId w:val="1"/>
        </w:numPr>
        <w:spacing w:lineRule="exact" w:line="280" w:before="40" w:after="40"/>
        <w:rPr/>
      </w:pPr>
      <w:r>
        <w:rPr>
          <w:rFonts w:eastAsia="Arial" w:cs="Arial"/>
          <w:color w:val="1A1A1A"/>
          <w:sz w:val="22"/>
          <w:szCs w:val="22"/>
        </w:rPr>
        <w:t>Pseudonymisation, encryption in transit and at rest, and access controls applied to personal data.</w:t>
      </w:r>
    </w:p>
    <w:p>
      <w:pPr>
        <w:pStyle w:val="ListParagraph"/>
        <w:numPr>
          <w:ilvl w:val="0"/>
          <w:numId w:val="1"/>
        </w:numPr>
        <w:spacing w:lineRule="exact" w:line="280" w:before="40" w:after="40"/>
        <w:rPr/>
      </w:pPr>
      <w:r>
        <w:rPr>
          <w:rFonts w:eastAsia="Arial" w:cs="Arial"/>
          <w:color w:val="1A1A1A"/>
          <w:sz w:val="22"/>
          <w:szCs w:val="22"/>
        </w:rPr>
        <w:t>Logging and monitoring of access to personal data, with logs protected against tampering.</w:t>
      </w:r>
    </w:p>
    <w:p>
      <w:pPr>
        <w:pStyle w:val="ListParagraph"/>
        <w:numPr>
          <w:ilvl w:val="0"/>
          <w:numId w:val="1"/>
        </w:numPr>
        <w:spacing w:lineRule="exact" w:line="280" w:before="40" w:after="40"/>
        <w:rPr/>
      </w:pPr>
      <w:r>
        <w:rPr>
          <w:rFonts w:eastAsia="Arial" w:cs="Arial"/>
          <w:color w:val="1A1A1A"/>
          <w:sz w:val="22"/>
          <w:szCs w:val="22"/>
        </w:rPr>
        <w:t>Documented retention and deletion controls aligned to the Records Retention Schedule (ISMS-REG-010).</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A.8.25 Secure development life cycle; A.8.26 Application security requirements; A.8.27 Secure system architecture and engineering principles; A.8.11 Data masking; A.8.12 Data leakage prevention; A.5.34 Privacy and protection of PII</w:t>
      </w:r>
    </w:p>
    <w:p>
      <w:pPr>
        <w:pStyle w:val="Heading1"/>
        <w:spacing w:before="360" w:after="180"/>
        <w:rPr/>
      </w:pPr>
      <w:r>
        <w:rPr>
          <w:rFonts w:eastAsia="Arial" w:cs="Arial" w:ascii="Arial" w:hAnsi="Arial"/>
          <w:b/>
          <w:bCs/>
          <w:color w:val="0000FF"/>
          <w:sz w:val="36"/>
          <w:szCs w:val="36"/>
        </w:rPr>
        <w:t>12. Data Protection Impact Assessments (DPIAs)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conducts a Data Protection Impact Assessment for any processing that is likely to result in a high risk to the rights and freedoms of natural persons, including but not limited to:</w:t>
      </w:r>
    </w:p>
    <w:p>
      <w:pPr>
        <w:pStyle w:val="ListParagraph"/>
        <w:numPr>
          <w:ilvl w:val="0"/>
          <w:numId w:val="1"/>
        </w:numPr>
        <w:spacing w:lineRule="exact" w:line="280" w:before="40" w:after="40"/>
        <w:rPr/>
      </w:pPr>
      <w:r>
        <w:rPr>
          <w:rFonts w:eastAsia="Arial" w:cs="Arial"/>
          <w:color w:val="1A1A1A"/>
          <w:sz w:val="22"/>
          <w:szCs w:val="22"/>
        </w:rPr>
        <w:t>Systematic and extensive evaluation of personal aspects through automated processing, including profiling.</w:t>
      </w:r>
    </w:p>
    <w:p>
      <w:pPr>
        <w:pStyle w:val="ListParagraph"/>
        <w:numPr>
          <w:ilvl w:val="0"/>
          <w:numId w:val="1"/>
        </w:numPr>
        <w:spacing w:lineRule="exact" w:line="280" w:before="40" w:after="40"/>
        <w:rPr/>
      </w:pPr>
      <w:r>
        <w:rPr>
          <w:rFonts w:eastAsia="Arial" w:cs="Arial"/>
          <w:color w:val="1A1A1A"/>
          <w:sz w:val="22"/>
          <w:szCs w:val="22"/>
        </w:rPr>
        <w:t>Large-scale processing of special category or criminal offence data.</w:t>
      </w:r>
    </w:p>
    <w:p>
      <w:pPr>
        <w:pStyle w:val="ListParagraph"/>
        <w:numPr>
          <w:ilvl w:val="0"/>
          <w:numId w:val="1"/>
        </w:numPr>
        <w:spacing w:lineRule="exact" w:line="280" w:before="40" w:after="40"/>
        <w:rPr/>
      </w:pPr>
      <w:r>
        <w:rPr>
          <w:rFonts w:eastAsia="Arial" w:cs="Arial"/>
          <w:color w:val="1A1A1A"/>
          <w:sz w:val="22"/>
          <w:szCs w:val="22"/>
        </w:rPr>
        <w:t>Use of new technologies or innovative processing, including new applications of conversational AI, voice biometrics, or generative AI.</w:t>
      </w:r>
    </w:p>
    <w:p>
      <w:pPr>
        <w:pStyle w:val="ListParagraph"/>
        <w:numPr>
          <w:ilvl w:val="0"/>
          <w:numId w:val="1"/>
        </w:numPr>
        <w:spacing w:lineRule="exact" w:line="280" w:before="40" w:after="40"/>
        <w:rPr/>
      </w:pPr>
      <w:r>
        <w:rPr>
          <w:rFonts w:eastAsia="Arial" w:cs="Arial"/>
          <w:color w:val="1A1A1A"/>
          <w:sz w:val="22"/>
          <w:szCs w:val="22"/>
        </w:rPr>
        <w:t>Large-scale, systematic monitoring of publicly accessible areas.</w:t>
      </w:r>
    </w:p>
    <w:p>
      <w:pPr>
        <w:pStyle w:val="Normal"/>
        <w:spacing w:lineRule="exact" w:line="300" w:before="80" w:after="120"/>
        <w:rPr/>
      </w:pPr>
      <w:r>
        <w:rPr>
          <w:rFonts w:eastAsia="Arial" w:cs="Arial"/>
          <w:color w:val="1A1A1A"/>
          <w:sz w:val="22"/>
          <w:szCs w:val="22"/>
        </w:rPr>
        <w:t>DPIAs are documented, reviewed by the Data Protection Lead, and signed off in accordance with the DPIA Procedure (ISMS-PRC-015). Where a DPIA indicates high residual risk that cannot be mitigated, Cloudax consults the ICO before proceeding.</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 A.5.31 Legal, statutory, regulatory and contractual requirements</w:t>
      </w:r>
    </w:p>
    <w:p>
      <w:pPr>
        <w:pStyle w:val="Heading1"/>
        <w:spacing w:before="360" w:after="180"/>
        <w:rPr/>
      </w:pPr>
      <w:r>
        <w:rPr>
          <w:rFonts w:eastAsia="Arial" w:cs="Arial" w:ascii="Arial" w:hAnsi="Arial"/>
          <w:b/>
          <w:bCs/>
          <w:color w:val="0000FF"/>
          <w:sz w:val="36"/>
          <w:szCs w:val="36"/>
        </w:rPr>
        <w:t>13. Personal Data Breach Management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Personal data breaches are managed in accordance with the Information Security Incident Management Policy (ISMS-POL-007). Specific data protection requirements include:</w:t>
      </w:r>
    </w:p>
    <w:p>
      <w:pPr>
        <w:pStyle w:val="ListParagraph"/>
        <w:numPr>
          <w:ilvl w:val="0"/>
          <w:numId w:val="1"/>
        </w:numPr>
        <w:spacing w:lineRule="exact" w:line="280" w:before="40" w:after="40"/>
        <w:rPr/>
      </w:pPr>
      <w:r>
        <w:rPr>
          <w:rFonts w:eastAsia="Arial" w:cs="Arial"/>
          <w:color w:val="1A1A1A"/>
          <w:sz w:val="22"/>
          <w:szCs w:val="22"/>
        </w:rPr>
        <w:t>All suspected personal data breaches are reported immediately to the Data Protection Lead and the Information Security Lead.</w:t>
      </w:r>
    </w:p>
    <w:p>
      <w:pPr>
        <w:pStyle w:val="ListParagraph"/>
        <w:numPr>
          <w:ilvl w:val="0"/>
          <w:numId w:val="1"/>
        </w:numPr>
        <w:spacing w:lineRule="exact" w:line="280" w:before="40" w:after="40"/>
        <w:rPr/>
      </w:pPr>
      <w:r>
        <w:rPr>
          <w:rFonts w:eastAsia="Arial" w:cs="Arial"/>
          <w:color w:val="1A1A1A"/>
          <w:sz w:val="22"/>
          <w:szCs w:val="22"/>
        </w:rPr>
        <w:t>Where Cloudax is a controller and the breach is likely to result in a risk to the rights and freedoms of natural persons, Cloudax notifies the ICO without undue delay and, where feasible, within 72 hours of awareness.</w:t>
      </w:r>
    </w:p>
    <w:p>
      <w:pPr>
        <w:pStyle w:val="ListParagraph"/>
        <w:numPr>
          <w:ilvl w:val="0"/>
          <w:numId w:val="1"/>
        </w:numPr>
        <w:spacing w:lineRule="exact" w:line="280" w:before="40" w:after="40"/>
        <w:rPr/>
      </w:pPr>
      <w:r>
        <w:rPr>
          <w:rFonts w:eastAsia="Arial" w:cs="Arial"/>
          <w:color w:val="1A1A1A"/>
          <w:sz w:val="22"/>
          <w:szCs w:val="22"/>
        </w:rPr>
        <w:t>Where the breach is likely to result in a high risk, affected data subjects are notified without undue delay.</w:t>
      </w:r>
    </w:p>
    <w:p>
      <w:pPr>
        <w:pStyle w:val="ListParagraph"/>
        <w:numPr>
          <w:ilvl w:val="0"/>
          <w:numId w:val="1"/>
        </w:numPr>
        <w:spacing w:lineRule="exact" w:line="280" w:before="40" w:after="40"/>
        <w:rPr/>
      </w:pPr>
      <w:r>
        <w:rPr>
          <w:rFonts w:eastAsia="Arial" w:cs="Arial"/>
          <w:color w:val="1A1A1A"/>
          <w:sz w:val="22"/>
          <w:szCs w:val="22"/>
        </w:rPr>
        <w:t>Where Cloudax is a processor, Cloudax notifies the relevant controller without undue delay in accordance with the data processing agreement.</w:t>
      </w:r>
    </w:p>
    <w:p>
      <w:pPr>
        <w:pStyle w:val="ListParagraph"/>
        <w:numPr>
          <w:ilvl w:val="0"/>
          <w:numId w:val="1"/>
        </w:numPr>
        <w:spacing w:lineRule="exact" w:line="280" w:before="40" w:after="40"/>
        <w:rPr/>
      </w:pPr>
      <w:r>
        <w:rPr>
          <w:rFonts w:eastAsia="Arial" w:cs="Arial"/>
          <w:color w:val="1A1A1A"/>
          <w:sz w:val="22"/>
          <w:szCs w:val="22"/>
        </w:rPr>
        <w:t>All breaches are recorded in the Personal Data Breach Register (ISMS-REG-006), regardless of whether external notification is required.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A.5.24–A.5.28 Information security incident management; A.5.34 Privacy and protection of PII; A.6.8 Information security event reporting</w:t>
      </w:r>
    </w:p>
    <w:p>
      <w:pPr>
        <w:pStyle w:val="Heading1"/>
        <w:spacing w:before="360" w:after="180"/>
        <w:rPr/>
      </w:pPr>
      <w:r>
        <w:rPr>
          <w:rFonts w:eastAsia="Arial" w:cs="Arial" w:ascii="Arial" w:hAnsi="Arial"/>
          <w:b/>
          <w:bCs/>
          <w:color w:val="0000FF"/>
          <w:sz w:val="36"/>
          <w:szCs w:val="36"/>
        </w:rPr>
        <w:t>14. Data Retention and Disposal</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Personal data is retained only for as long as necessary for the purposes for which it is processed, in accordance with the Records Retention Schedule (ISMS-REG-010) and applicable legal, regulatory, and contractual requirements.</w:t>
      </w:r>
    </w:p>
    <w:p>
      <w:pPr>
        <w:pStyle w:val="Normal"/>
        <w:spacing w:lineRule="exact" w:line="300" w:before="80" w:after="120"/>
        <w:rPr/>
      </w:pPr>
      <w:r>
        <w:rPr>
          <w:rFonts w:eastAsia="Arial" w:cs="Arial"/>
          <w:color w:val="1A1A1A"/>
          <w:sz w:val="22"/>
          <w:szCs w:val="22"/>
        </w:rPr>
        <w:t>On expiry of the retention period, personal data is securely deleted, anonymised, or returned to the customer, in accordance with the disposal requirements set out in the Information Classification and Handling Procedure (ISMS-PRC-004).</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A.5.33 Protection of records; A.8.10 Information deletion</w:t>
      </w:r>
    </w:p>
    <w:p>
      <w:pPr>
        <w:pStyle w:val="Heading1"/>
        <w:spacing w:before="360" w:after="180"/>
        <w:rPr/>
      </w:pPr>
      <w:r>
        <w:rPr>
          <w:rFonts w:eastAsia="Arial" w:cs="Arial" w:ascii="Arial" w:hAnsi="Arial"/>
          <w:b/>
          <w:bCs/>
          <w:color w:val="0000FF"/>
          <w:sz w:val="36"/>
          <w:szCs w:val="36"/>
        </w:rPr>
        <w:t>15. Engaging Processors and Sub-Processors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Where Cloudax engages a processor or sub-processor to process personal data, it does so in accordance with the Supplier and Cloud Service Approval Procedure (ISMS-PRC-007). Each engagement is supported by a written contract that meets the requirements of Article 28 of the UK GDPR, including:</w:t>
      </w:r>
    </w:p>
    <w:p>
      <w:pPr>
        <w:pStyle w:val="ListParagraph"/>
        <w:numPr>
          <w:ilvl w:val="0"/>
          <w:numId w:val="1"/>
        </w:numPr>
        <w:spacing w:lineRule="exact" w:line="280" w:before="40" w:after="40"/>
        <w:rPr/>
      </w:pPr>
      <w:r>
        <w:rPr>
          <w:rFonts w:eastAsia="Arial" w:cs="Arial"/>
          <w:color w:val="1A1A1A"/>
          <w:sz w:val="22"/>
          <w:szCs w:val="22"/>
        </w:rPr>
        <w:t>The subject matter, duration, nature, and purpose of the processing.</w:t>
      </w:r>
    </w:p>
    <w:p>
      <w:pPr>
        <w:pStyle w:val="ListParagraph"/>
        <w:numPr>
          <w:ilvl w:val="0"/>
          <w:numId w:val="1"/>
        </w:numPr>
        <w:spacing w:lineRule="exact" w:line="280" w:before="40" w:after="40"/>
        <w:rPr/>
      </w:pPr>
      <w:r>
        <w:rPr>
          <w:rFonts w:eastAsia="Arial" w:cs="Arial"/>
          <w:color w:val="1A1A1A"/>
          <w:sz w:val="22"/>
          <w:szCs w:val="22"/>
        </w:rPr>
        <w:t>The types of personal data and categories of data subjects.</w:t>
      </w:r>
    </w:p>
    <w:p>
      <w:pPr>
        <w:pStyle w:val="ListParagraph"/>
        <w:numPr>
          <w:ilvl w:val="0"/>
          <w:numId w:val="1"/>
        </w:numPr>
        <w:spacing w:lineRule="exact" w:line="280" w:before="40" w:after="40"/>
        <w:rPr/>
      </w:pPr>
      <w:r>
        <w:rPr>
          <w:rFonts w:eastAsia="Arial" w:cs="Arial"/>
          <w:color w:val="1A1A1A"/>
          <w:sz w:val="22"/>
          <w:szCs w:val="22"/>
        </w:rPr>
        <w:t>The obligations and rights of Cloudax as controller (or sub-processor as applicable).</w:t>
      </w:r>
    </w:p>
    <w:p>
      <w:pPr>
        <w:pStyle w:val="ListParagraph"/>
        <w:numPr>
          <w:ilvl w:val="0"/>
          <w:numId w:val="1"/>
        </w:numPr>
        <w:spacing w:lineRule="exact" w:line="280" w:before="40" w:after="40"/>
        <w:rPr/>
      </w:pPr>
      <w:r>
        <w:rPr>
          <w:rFonts w:eastAsia="Arial" w:cs="Arial"/>
          <w:color w:val="1A1A1A"/>
          <w:sz w:val="22"/>
          <w:szCs w:val="22"/>
        </w:rPr>
        <w:t>Confidentiality, security, sub-processing, data subject rights, breach notification, return or deletion, and audit rights.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A.5.19–A.5.23 Supplier relationships and cloud services; A.5.34 Privacy and protection of PII</w:t>
      </w:r>
    </w:p>
    <w:p>
      <w:pPr>
        <w:pStyle w:val="Heading1"/>
        <w:spacing w:before="360" w:after="180"/>
        <w:rPr/>
      </w:pPr>
      <w:r>
        <w:rPr>
          <w:rFonts w:eastAsia="Arial" w:cs="Arial" w:ascii="Arial" w:hAnsi="Arial"/>
          <w:b/>
          <w:bCs/>
          <w:color w:val="0000FF"/>
          <w:sz w:val="36"/>
          <w:szCs w:val="36"/>
        </w:rPr>
        <w:t>16. Training, Awareness, and Compliance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receive data protection awareness training as part of induction and at regular intervals thereafter. Personnel in roles with elevated data protection responsibilities receive additional, role-specific training.</w:t>
      </w:r>
    </w:p>
    <w:p>
      <w:pPr>
        <w:pStyle w:val="Normal"/>
        <w:spacing w:lineRule="exact" w:line="300" w:before="80" w:after="120"/>
        <w:rPr/>
      </w:pPr>
      <w:r>
        <w:rPr>
          <w:rFonts w:eastAsia="Arial" w:cs="Arial"/>
          <w:color w:val="1A1A1A"/>
          <w:sz w:val="22"/>
          <w:szCs w:val="22"/>
        </w:rPr>
        <w:t>Compliance with this Policy is monitored through the ISMS audit programme, management review, and the activities of the Data Protection Lead. Findings are addressed through the Non-Conformity and Corrective Action Procedure (ISMS-PRC-011).</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Clauses 7.2, 7.3 Competence and awareness; A.6.3 Information security awareness, education, and training; A.5.36 Compliance with policies</w:t>
      </w:r>
    </w:p>
    <w:p>
      <w:pPr>
        <w:pStyle w:val="Heading1"/>
        <w:spacing w:before="360" w:after="180"/>
        <w:rPr/>
      </w:pPr>
      <w:r>
        <w:rPr>
          <w:rFonts w:eastAsia="Arial" w:cs="Arial" w:ascii="Arial" w:hAnsi="Arial"/>
          <w:b/>
          <w:bCs/>
          <w:color w:val="0000FF"/>
          <w:sz w:val="36"/>
          <w:szCs w:val="36"/>
        </w:rPr>
        <w:t>17.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whenever there is a material change to the business, technology, processing activities, or to the legal and regulatory environment. Material changes are approved by the Managing Director and recorded in Annex B.</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Clauses 7.5, 9.3; A.5.1 Policies for information security</w:t>
      </w:r>
    </w:p>
    <w:p>
      <w:pPr>
        <w:pStyle w:val="Heading1"/>
        <w:spacing w:before="360" w:after="180"/>
        <w:rPr/>
      </w:pPr>
      <w:r>
        <w:rPr>
          <w:rFonts w:eastAsia="Arial" w:cs="Arial" w:ascii="Arial" w:hAnsi="Arial"/>
          <w:b/>
          <w:bCs/>
          <w:color w:val="0000FF"/>
          <w:sz w:val="36"/>
          <w:szCs w:val="36"/>
        </w:rPr>
        <w:t>18.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of employment, on material change, and on request by the Data Protection Lead. Acknowledgements are retained as ISMS evidence.</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Mapping to ISO/IEC 27001:2022</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annex maps the sections of this Policy to the relevant clauses and Annex A controls of ISO/IEC 27001:2022. The authoritative list of applicable controls is the Statement of Applicability.</w:t>
      </w:r>
    </w:p>
    <w:tbl>
      <w:tblPr>
        <w:tblW w:w="9026" w:type="dxa"/>
        <w:jc w:val="start"/>
        <w:tblInd w:w="0" w:type="dxa"/>
        <w:tblLayout w:type="fixed"/>
        <w:tblCellMar>
          <w:top w:w="120" w:type="dxa"/>
          <w:start w:w="160" w:type="dxa"/>
          <w:bottom w:w="120" w:type="dxa"/>
          <w:end w:w="16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POLICY SECTION</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ISO 27001:2022 REFERENCES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 Purpose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 A.5.34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 Scope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A.5.10,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4. Principles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A.5.31, A.5.34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5. Lawful Bases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A.5.31,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 Roles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 A.5.34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7. ROPA</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A.5.33,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8. Data Subject Rights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 Voice and Special Category Data</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A.5.12, A.5.34, A.8.3, A.8.11, A.8.12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10. International Transfers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A.5.31, A.5.34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11. Privacy by Design</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A.8.25, A.8.26, A.8.27, A.8.11, A.8.12,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12. DPIAs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A.5.31, A.5.34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13. Breach Management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A.5.24–A.5.28, A.5.34, A.6.8</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14. Retention and Disposal</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A.5.33, A.8.10</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15. Processors and Sub-Processors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A.5.19–A.5.23,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16. Training and Compliance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 7.2, 7.3; A.6.3, A.5.36</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17. Review and Maintenance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 7.5, 9.3; A.5.1</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18. Acknowledgement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A.6.2, A.6.3, A.5.36</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the UK GDPR / DPA 2018.</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ISMS-POL-002 Data Protection Policy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ISMS-POL-002 Data Protection Policy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2026-04-28T15:02:37Z</dcterms:created>
  <dc:creator>David Stokes</dc:creator>
  <dc:description/>
  <dc:language>en-US</dc:language>
  <cp:lastModifiedBy>David Stokes</cp:lastModifiedBy>
  <dcterms:modified xsi:type="dcterms:W3CDTF">2026-04-28T17:27:37Z</dcterms:modified>
  <cp:revision>1</cp:revision>
  <dc:subject/>
  <dc:title>Cloudax Data Protection Policy</dc:title>
</cp:coreProperties>
</file>