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56"/>
                <w:szCs w:val="56"/>
              </w:rPr>
              <w:t>Acceptable Use Policy</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ISMS-POL-005</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2.0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Acceptable Use Policy</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Lead</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Managing Director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ISO 27001:2022</w:t>
            </w:r>
          </w:p>
          <w:p>
            <w:pPr>
              <w:pStyle w:val="Normal"/>
              <w:spacing w:before="0" w:after="0"/>
              <w:rPr/>
            </w:pPr>
            <w:r>
              <w:rPr>
                <w:rFonts w:eastAsia="Arial" w:cs="Arial"/>
                <w:color w:val="1A1A1A"/>
                <w:sz w:val="22"/>
                <w:szCs w:val="22"/>
              </w:rPr>
              <w:t>Aligned — see Annex A mapping</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SoA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tabs>
          <w:tab w:val="clear" w:pos="720"/>
          <w:tab w:val="right" w:pos="9026" w:leader="dot"/>
        </w:tabs>
        <w:spacing w:before="40" w:after="40"/>
        <w:rPr/>
      </w:pPr>
      <w:r>
        <w:rPr>
          <w:rFonts w:eastAsia="Arial" w:cs="Arial"/>
          <w:color w:val="1A1A1A"/>
          <w:sz w:val="22"/>
          <w:szCs w:val="22"/>
        </w:rPr>
        <w:t>1.  Purpose</w:t>
      </w:r>
    </w:p>
    <w:p>
      <w:pPr>
        <w:pStyle w:val="Normal"/>
        <w:tabs>
          <w:tab w:val="clear" w:pos="720"/>
          <w:tab w:val="right" w:pos="9026" w:leader="dot"/>
        </w:tabs>
        <w:spacing w:before="40" w:after="40"/>
        <w:rPr/>
      </w:pPr>
      <w:r>
        <w:rPr>
          <w:rFonts w:eastAsia="Arial" w:cs="Arial"/>
          <w:color w:val="1A1A1A"/>
          <w:sz w:val="22"/>
          <w:szCs w:val="22"/>
        </w:rPr>
        <w:t>2.  Scope</w:t>
      </w:r>
    </w:p>
    <w:p>
      <w:pPr>
        <w:pStyle w:val="Normal"/>
        <w:tabs>
          <w:tab w:val="clear" w:pos="720"/>
          <w:tab w:val="right" w:pos="9026" w:leader="dot"/>
        </w:tabs>
        <w:spacing w:before="40" w:after="40"/>
        <w:rPr/>
      </w:pPr>
      <w:r>
        <w:rPr>
          <w:rFonts w:eastAsia="Arial" w:cs="Arial"/>
          <w:color w:val="1A1A1A"/>
          <w:sz w:val="22"/>
          <w:szCs w:val="22"/>
        </w:rPr>
        <w:t>3.  Definitions</w:t>
      </w:r>
    </w:p>
    <w:p>
      <w:pPr>
        <w:pStyle w:val="Normal"/>
        <w:tabs>
          <w:tab w:val="clear" w:pos="720"/>
          <w:tab w:val="right" w:pos="9026" w:leader="dot"/>
        </w:tabs>
        <w:spacing w:before="40" w:after="40"/>
        <w:rPr/>
      </w:pPr>
      <w:r>
        <w:rPr>
          <w:rFonts w:eastAsia="Arial" w:cs="Arial"/>
          <w:color w:val="1A1A1A"/>
          <w:sz w:val="22"/>
          <w:szCs w:val="22"/>
        </w:rPr>
        <w:t>4.  Policy Statement and Leadership Commitment</w:t>
      </w:r>
    </w:p>
    <w:p>
      <w:pPr>
        <w:pStyle w:val="Normal"/>
        <w:tabs>
          <w:tab w:val="clear" w:pos="720"/>
          <w:tab w:val="right" w:pos="9026" w:leader="dot"/>
        </w:tabs>
        <w:spacing w:before="40" w:after="40"/>
        <w:rPr/>
      </w:pPr>
      <w:r>
        <w:rPr>
          <w:rFonts w:eastAsia="Arial" w:cs="Arial"/>
          <w:color w:val="1A1A1A"/>
          <w:sz w:val="22"/>
          <w:szCs w:val="22"/>
        </w:rPr>
        <w:t>5.  Principles of Acceptable Use</w:t>
      </w:r>
    </w:p>
    <w:p>
      <w:pPr>
        <w:pStyle w:val="Normal"/>
        <w:tabs>
          <w:tab w:val="clear" w:pos="720"/>
          <w:tab w:val="right" w:pos="9026" w:leader="dot"/>
        </w:tabs>
        <w:spacing w:before="40" w:after="40"/>
        <w:rPr/>
      </w:pPr>
      <w:r>
        <w:rPr>
          <w:rFonts w:eastAsia="Arial" w:cs="Arial"/>
          <w:color w:val="1A1A1A"/>
          <w:sz w:val="22"/>
          <w:szCs w:val="22"/>
        </w:rPr>
        <w:t>6.  Roles and Responsibilities</w:t>
      </w:r>
    </w:p>
    <w:p>
      <w:pPr>
        <w:pStyle w:val="Normal"/>
        <w:tabs>
          <w:tab w:val="clear" w:pos="720"/>
          <w:tab w:val="right" w:pos="9026" w:leader="dot"/>
        </w:tabs>
        <w:spacing w:before="40" w:after="40"/>
        <w:rPr/>
      </w:pPr>
      <w:r>
        <w:rPr>
          <w:rFonts w:eastAsia="Arial" w:cs="Arial"/>
          <w:color w:val="1A1A1A"/>
          <w:sz w:val="22"/>
          <w:szCs w:val="22"/>
        </w:rPr>
        <w:t>7.  General Acceptable Use</w:t>
      </w:r>
    </w:p>
    <w:p>
      <w:pPr>
        <w:pStyle w:val="Normal"/>
        <w:tabs>
          <w:tab w:val="clear" w:pos="720"/>
          <w:tab w:val="right" w:pos="9026" w:leader="dot"/>
        </w:tabs>
        <w:spacing w:before="40" w:after="40"/>
        <w:rPr/>
      </w:pPr>
      <w:r>
        <w:rPr>
          <w:rFonts w:eastAsia="Arial" w:cs="Arial"/>
          <w:color w:val="1A1A1A"/>
          <w:sz w:val="22"/>
          <w:szCs w:val="22"/>
        </w:rPr>
        <w:t>8.  Access Control, Accounts, and Authentication</w:t>
      </w:r>
    </w:p>
    <w:p>
      <w:pPr>
        <w:pStyle w:val="Normal"/>
        <w:tabs>
          <w:tab w:val="clear" w:pos="720"/>
          <w:tab w:val="right" w:pos="9026" w:leader="dot"/>
        </w:tabs>
        <w:spacing w:before="40" w:after="40"/>
        <w:rPr/>
      </w:pPr>
      <w:r>
        <w:rPr>
          <w:rFonts w:eastAsia="Arial" w:cs="Arial"/>
          <w:color w:val="1A1A1A"/>
          <w:sz w:val="22"/>
          <w:szCs w:val="22"/>
        </w:rPr>
        <w:t>9.  Endpoint, Device, and Mobile Asset Use</w:t>
      </w:r>
    </w:p>
    <w:p>
      <w:pPr>
        <w:pStyle w:val="Normal"/>
        <w:tabs>
          <w:tab w:val="clear" w:pos="720"/>
          <w:tab w:val="right" w:pos="9026" w:leader="dot"/>
        </w:tabs>
        <w:spacing w:before="40" w:after="40"/>
        <w:rPr/>
      </w:pPr>
      <w:r>
        <w:rPr>
          <w:rFonts w:eastAsia="Arial" w:cs="Arial"/>
          <w:color w:val="1A1A1A"/>
          <w:sz w:val="22"/>
          <w:szCs w:val="22"/>
        </w:rPr>
        <w:t>10. Use of Cloudax Facilities (Shared Manchester Workspace)</w:t>
      </w:r>
    </w:p>
    <w:p>
      <w:pPr>
        <w:pStyle w:val="Normal"/>
        <w:tabs>
          <w:tab w:val="clear" w:pos="720"/>
          <w:tab w:val="right" w:pos="9026" w:leader="dot"/>
        </w:tabs>
        <w:spacing w:before="40" w:after="40"/>
        <w:rPr/>
      </w:pPr>
      <w:r>
        <w:rPr>
          <w:rFonts w:eastAsia="Arial" w:cs="Arial"/>
          <w:color w:val="1A1A1A"/>
          <w:sz w:val="22"/>
          <w:szCs w:val="22"/>
        </w:rPr>
        <w:t>11. Remote, Hybrid, and Travel Working</w:t>
      </w:r>
    </w:p>
    <w:p>
      <w:pPr>
        <w:pStyle w:val="Normal"/>
        <w:tabs>
          <w:tab w:val="clear" w:pos="720"/>
          <w:tab w:val="right" w:pos="9026" w:leader="dot"/>
        </w:tabs>
        <w:spacing w:before="40" w:after="40"/>
        <w:rPr/>
      </w:pPr>
      <w:r>
        <w:rPr>
          <w:rFonts w:eastAsia="Arial" w:cs="Arial"/>
          <w:color w:val="1A1A1A"/>
          <w:sz w:val="22"/>
          <w:szCs w:val="22"/>
        </w:rPr>
        <w:t>12. Communications, Email, and Messaging</w:t>
      </w:r>
    </w:p>
    <w:p>
      <w:pPr>
        <w:pStyle w:val="Normal"/>
        <w:tabs>
          <w:tab w:val="clear" w:pos="720"/>
          <w:tab w:val="right" w:pos="9026" w:leader="dot"/>
        </w:tabs>
        <w:spacing w:before="40" w:after="40"/>
        <w:rPr/>
      </w:pPr>
      <w:r>
        <w:rPr>
          <w:rFonts w:eastAsia="Arial" w:cs="Arial"/>
          <w:color w:val="1A1A1A"/>
          <w:sz w:val="22"/>
          <w:szCs w:val="22"/>
        </w:rPr>
        <w:t>13. Information Classification and Handling</w:t>
      </w:r>
    </w:p>
    <w:p>
      <w:pPr>
        <w:pStyle w:val="Normal"/>
        <w:tabs>
          <w:tab w:val="clear" w:pos="720"/>
          <w:tab w:val="right" w:pos="9026" w:leader="dot"/>
        </w:tabs>
        <w:spacing w:before="40" w:after="40"/>
        <w:rPr/>
      </w:pPr>
      <w:r>
        <w:rPr>
          <w:rFonts w:eastAsia="Arial" w:cs="Arial"/>
          <w:color w:val="1A1A1A"/>
          <w:sz w:val="22"/>
          <w:szCs w:val="22"/>
        </w:rPr>
        <w:t>14. Use of AI Services and Generative AI Tools</w:t>
      </w:r>
    </w:p>
    <w:p>
      <w:pPr>
        <w:pStyle w:val="Normal"/>
        <w:tabs>
          <w:tab w:val="clear" w:pos="720"/>
          <w:tab w:val="right" w:pos="9026" w:leader="dot"/>
        </w:tabs>
        <w:spacing w:before="40" w:after="40"/>
        <w:rPr/>
      </w:pPr>
      <w:r>
        <w:rPr>
          <w:rFonts w:eastAsia="Arial" w:cs="Arial"/>
          <w:color w:val="1A1A1A"/>
          <w:sz w:val="22"/>
          <w:szCs w:val="22"/>
        </w:rPr>
        <w:t>15. Software, Source Code, and Development Environments</w:t>
      </w:r>
    </w:p>
    <w:p>
      <w:pPr>
        <w:pStyle w:val="Normal"/>
        <w:tabs>
          <w:tab w:val="clear" w:pos="720"/>
          <w:tab w:val="right" w:pos="9026" w:leader="dot"/>
        </w:tabs>
        <w:spacing w:before="40" w:after="40"/>
        <w:rPr/>
      </w:pPr>
      <w:r>
        <w:rPr>
          <w:rFonts w:eastAsia="Arial" w:cs="Arial"/>
          <w:color w:val="1A1A1A"/>
          <w:sz w:val="22"/>
          <w:szCs w:val="22"/>
        </w:rPr>
        <w:t>16. Cloud Services and Third-Party Tools</w:t>
      </w:r>
    </w:p>
    <w:p>
      <w:pPr>
        <w:pStyle w:val="Normal"/>
        <w:tabs>
          <w:tab w:val="clear" w:pos="720"/>
          <w:tab w:val="right" w:pos="9026" w:leader="dot"/>
        </w:tabs>
        <w:spacing w:before="40" w:after="40"/>
        <w:rPr/>
      </w:pPr>
      <w:r>
        <w:rPr>
          <w:rFonts w:eastAsia="Arial" w:cs="Arial"/>
          <w:color w:val="1A1A1A"/>
          <w:sz w:val="22"/>
          <w:szCs w:val="22"/>
        </w:rPr>
        <w:t>17. Social Media and External Representation</w:t>
      </w:r>
    </w:p>
    <w:p>
      <w:pPr>
        <w:pStyle w:val="Normal"/>
        <w:tabs>
          <w:tab w:val="clear" w:pos="720"/>
          <w:tab w:val="right" w:pos="9026" w:leader="dot"/>
        </w:tabs>
        <w:spacing w:before="40" w:after="40"/>
        <w:rPr/>
      </w:pPr>
      <w:r>
        <w:rPr>
          <w:rFonts w:eastAsia="Arial" w:cs="Arial"/>
          <w:color w:val="1A1A1A"/>
          <w:sz w:val="22"/>
          <w:szCs w:val="22"/>
        </w:rPr>
        <w:t>18. Information Security Event and Incident Reporting</w:t>
      </w:r>
    </w:p>
    <w:p>
      <w:pPr>
        <w:pStyle w:val="Normal"/>
        <w:tabs>
          <w:tab w:val="clear" w:pos="720"/>
          <w:tab w:val="right" w:pos="9026" w:leader="dot"/>
        </w:tabs>
        <w:spacing w:before="40" w:after="40"/>
        <w:rPr/>
      </w:pPr>
      <w:r>
        <w:rPr>
          <w:rFonts w:eastAsia="Arial" w:cs="Arial"/>
          <w:color w:val="1A1A1A"/>
          <w:sz w:val="22"/>
          <w:szCs w:val="22"/>
        </w:rPr>
        <w:t>19. Monitoring, Logging, and Privacy</w:t>
      </w:r>
    </w:p>
    <w:p>
      <w:pPr>
        <w:pStyle w:val="Normal"/>
        <w:tabs>
          <w:tab w:val="clear" w:pos="720"/>
          <w:tab w:val="right" w:pos="9026" w:leader="dot"/>
        </w:tabs>
        <w:spacing w:before="40" w:after="40"/>
        <w:rPr/>
      </w:pPr>
      <w:r>
        <w:rPr>
          <w:rFonts w:eastAsia="Arial" w:cs="Arial"/>
          <w:color w:val="1A1A1A"/>
          <w:sz w:val="22"/>
          <w:szCs w:val="22"/>
        </w:rPr>
        <w:t>20. Policy Breaches and Disciplinary Action</w:t>
      </w:r>
    </w:p>
    <w:p>
      <w:pPr>
        <w:pStyle w:val="Normal"/>
        <w:tabs>
          <w:tab w:val="clear" w:pos="720"/>
          <w:tab w:val="right" w:pos="9026" w:leader="dot"/>
        </w:tabs>
        <w:spacing w:before="40" w:after="40"/>
        <w:rPr/>
      </w:pPr>
      <w:r>
        <w:rPr>
          <w:rFonts w:eastAsia="Arial" w:cs="Arial"/>
          <w:color w:val="1A1A1A"/>
          <w:sz w:val="22"/>
          <w:szCs w:val="22"/>
        </w:rPr>
        <w:t>21. Compliance, Measurement, and Continual Improvement</w:t>
      </w:r>
    </w:p>
    <w:p>
      <w:pPr>
        <w:pStyle w:val="Normal"/>
        <w:tabs>
          <w:tab w:val="clear" w:pos="720"/>
          <w:tab w:val="right" w:pos="9026" w:leader="dot"/>
        </w:tabs>
        <w:spacing w:before="40" w:after="40"/>
        <w:rPr/>
      </w:pPr>
      <w:r>
        <w:rPr>
          <w:rFonts w:eastAsia="Arial" w:cs="Arial"/>
          <w:color w:val="1A1A1A"/>
          <w:sz w:val="22"/>
          <w:szCs w:val="22"/>
        </w:rPr>
        <w:t>22. Related Policies and Procedures</w:t>
      </w:r>
    </w:p>
    <w:p>
      <w:pPr>
        <w:pStyle w:val="Normal"/>
        <w:tabs>
          <w:tab w:val="clear" w:pos="720"/>
          <w:tab w:val="right" w:pos="9026" w:leader="dot"/>
        </w:tabs>
        <w:spacing w:before="40" w:after="40"/>
        <w:rPr/>
      </w:pPr>
      <w:r>
        <w:rPr>
          <w:rFonts w:eastAsia="Arial" w:cs="Arial"/>
          <w:color w:val="1A1A1A"/>
          <w:sz w:val="22"/>
          <w:szCs w:val="22"/>
        </w:rPr>
        <w:t>23. Review and Maintenance</w:t>
      </w:r>
    </w:p>
    <w:p>
      <w:pPr>
        <w:pStyle w:val="Normal"/>
        <w:tabs>
          <w:tab w:val="clear" w:pos="720"/>
          <w:tab w:val="right" w:pos="9026" w:leader="dot"/>
        </w:tabs>
        <w:spacing w:before="40" w:after="40"/>
        <w:rPr/>
      </w:pPr>
      <w:r>
        <w:rPr>
          <w:rFonts w:eastAsia="Arial" w:cs="Arial"/>
          <w:color w:val="1A1A1A"/>
          <w:sz w:val="22"/>
          <w:szCs w:val="22"/>
        </w:rPr>
        <w:t>24. Acknowledgement</w:t>
      </w:r>
    </w:p>
    <w:p>
      <w:pPr>
        <w:pStyle w:val="Normal"/>
        <w:tabs>
          <w:tab w:val="clear" w:pos="720"/>
          <w:tab w:val="right" w:pos="9026" w:leader="dot"/>
        </w:tabs>
        <w:spacing w:before="40" w:after="40"/>
        <w:rPr/>
      </w:pPr>
      <w:r>
        <w:rPr>
          <w:rFonts w:eastAsia="Arial" w:cs="Arial"/>
          <w:color w:val="1A1A1A"/>
          <w:sz w:val="22"/>
          <w:szCs w:val="22"/>
        </w:rPr>
        <w:t>Annex A — Mapping to ISO/IEC 27001:2022 Annex A Controls</w:t>
      </w:r>
    </w:p>
    <w:p>
      <w:pPr>
        <w:pStyle w:val="Normal"/>
        <w:tabs>
          <w:tab w:val="clear" w:pos="720"/>
          <w:tab w:val="right" w:pos="9026" w:leader="dot"/>
        </w:tabs>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Acceptable Use Policy (the “Policy”) defines the mandatory requirements for the acceptable use of information, information processing facilities, networks, services, and other associated assets owned, operated, or otherwise used by Cloudax Ltd. (“Cloudax”, “the Company”).</w:t>
      </w:r>
    </w:p>
    <w:p>
      <w:pPr>
        <w:pStyle w:val="Normal"/>
        <w:spacing w:lineRule="exact" w:line="300" w:before="80" w:after="120"/>
        <w:rPr/>
      </w:pPr>
      <w:r>
        <w:rPr>
          <w:rFonts w:eastAsia="Arial" w:cs="Arial"/>
          <w:color w:val="1A1A1A"/>
          <w:sz w:val="22"/>
          <w:szCs w:val="22"/>
        </w:rPr>
        <w:t>The Policy is a mandatory component of the Cloudax Information Security Management System (ISMS) established in accordance with ISO/IEC 27001:2022. It supports the Information Security Policy and gives effect to the Annex A controls identified in the Statement of Applicability (SoA).</w:t>
      </w:r>
    </w:p>
    <w:p>
      <w:pPr>
        <w:pStyle w:val="Normal"/>
        <w:spacing w:lineRule="exact" w:line="300" w:before="80" w:after="120"/>
        <w:rPr/>
      </w:pPr>
      <w:r>
        <w:rPr>
          <w:rFonts w:eastAsia="Arial" w:cs="Arial"/>
          <w:color w:val="1A1A1A"/>
          <w:sz w:val="22"/>
          <w:szCs w:val="22"/>
        </w:rPr>
        <w:t>The Policy is designed to protect the confidentiality, integrity, and availability of information assets; safeguard the rights and data of customers, employees, suppliers, and other interested parties; and ensure Cloudax complies with applicable laws, regulations, and contractual obligations.</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A.5.1 Policies for information security; A.5.10 Acceptable use of information and other associated assets</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applies to:</w:t>
      </w:r>
    </w:p>
    <w:p>
      <w:pPr>
        <w:pStyle w:val="ListParagraph"/>
        <w:numPr>
          <w:ilvl w:val="0"/>
          <w:numId w:val="3"/>
        </w:numPr>
        <w:spacing w:lineRule="exact" w:line="280" w:before="40" w:after="40"/>
        <w:rPr/>
      </w:pPr>
      <w:r>
        <w:rPr>
          <w:rFonts w:eastAsia="Arial" w:cs="Arial"/>
          <w:color w:val="1A1A1A"/>
          <w:sz w:val="22"/>
          <w:szCs w:val="22"/>
        </w:rPr>
        <w:t>All directors, officers, and permanent or temporary employees of Cloudax Ltd. (currently a team of six employees based in Manchester).</w:t>
      </w:r>
    </w:p>
    <w:p>
      <w:pPr>
        <w:pStyle w:val="ListParagraph"/>
        <w:numPr>
          <w:ilvl w:val="0"/>
          <w:numId w:val="1"/>
        </w:numPr>
        <w:spacing w:lineRule="exact" w:line="280" w:before="40" w:after="40"/>
        <w:rPr/>
      </w:pPr>
      <w:r>
        <w:rPr>
          <w:rFonts w:eastAsia="Arial" w:cs="Arial"/>
          <w:color w:val="1A1A1A"/>
          <w:sz w:val="22"/>
          <w:szCs w:val="22"/>
        </w:rPr>
        <w:t>All contractors, consultants, interns, apprentices, and agency workers engaged by or on behalf of Cloudax.</w:t>
      </w:r>
    </w:p>
    <w:p>
      <w:pPr>
        <w:pStyle w:val="ListParagraph"/>
        <w:numPr>
          <w:ilvl w:val="0"/>
          <w:numId w:val="1"/>
        </w:numPr>
        <w:spacing w:lineRule="exact" w:line="280" w:before="40" w:after="40"/>
        <w:rPr/>
      </w:pPr>
      <w:r>
        <w:rPr>
          <w:rFonts w:eastAsia="Arial" w:cs="Arial"/>
          <w:color w:val="1A1A1A"/>
          <w:sz w:val="22"/>
          <w:szCs w:val="22"/>
        </w:rPr>
        <w:t>All suppliers, partners, and other third parties who access Cloudax information or information processing facilities.</w:t>
      </w:r>
    </w:p>
    <w:p>
      <w:pPr>
        <w:pStyle w:val="ListParagraph"/>
        <w:numPr>
          <w:ilvl w:val="0"/>
          <w:numId w:val="1"/>
        </w:numPr>
        <w:spacing w:lineRule="exact" w:line="280" w:before="40" w:after="40"/>
        <w:rPr/>
      </w:pPr>
      <w:r>
        <w:rPr>
          <w:rFonts w:eastAsia="Arial" w:cs="Arial"/>
          <w:color w:val="1A1A1A"/>
          <w:sz w:val="22"/>
          <w:szCs w:val="22"/>
        </w:rPr>
        <w:t>All visitors to Cloudax facilities, including the shared Manchester workspace.</w:t>
      </w:r>
    </w:p>
    <w:p>
      <w:pPr>
        <w:pStyle w:val="Normal"/>
        <w:spacing w:before="60" w:after="60"/>
        <w:rPr/>
      </w:pPr>
      <w:r>
        <w:rPr/>
      </w:r>
    </w:p>
    <w:p>
      <w:pPr>
        <w:pStyle w:val="Normal"/>
        <w:spacing w:lineRule="exact" w:line="300" w:before="80" w:after="120"/>
        <w:rPr/>
      </w:pPr>
      <w:r>
        <w:rPr>
          <w:rFonts w:eastAsia="Arial" w:cs="Arial"/>
          <w:color w:val="1A1A1A"/>
          <w:sz w:val="22"/>
          <w:szCs w:val="22"/>
        </w:rPr>
        <w:t>This Policy applies to the use of any asset within the scope of the ISMS, including:</w:t>
      </w:r>
    </w:p>
    <w:p>
      <w:pPr>
        <w:pStyle w:val="ListParagraph"/>
        <w:numPr>
          <w:ilvl w:val="0"/>
          <w:numId w:val="1"/>
        </w:numPr>
        <w:spacing w:lineRule="exact" w:line="280" w:before="40" w:after="40"/>
        <w:rPr/>
      </w:pPr>
      <w:r>
        <w:rPr>
          <w:rFonts w:eastAsia="Arial" w:cs="Arial"/>
          <w:color w:val="1A1A1A"/>
          <w:sz w:val="22"/>
          <w:szCs w:val="22"/>
        </w:rPr>
        <w:t>Information in any form (electronic, printed, spoken, or recorded).</w:t>
      </w:r>
    </w:p>
    <w:p>
      <w:pPr>
        <w:pStyle w:val="ListParagraph"/>
        <w:numPr>
          <w:ilvl w:val="0"/>
          <w:numId w:val="1"/>
        </w:numPr>
        <w:spacing w:lineRule="exact" w:line="280" w:before="40" w:after="40"/>
        <w:rPr/>
      </w:pPr>
      <w:r>
        <w:rPr>
          <w:rFonts w:eastAsia="Arial" w:cs="Arial"/>
          <w:color w:val="1A1A1A"/>
          <w:sz w:val="22"/>
          <w:szCs w:val="22"/>
        </w:rPr>
        <w:t>Information processing facilities, including Cloudax-issued endpoints, servers, cloud tenancies, production and non-production environments, and supporting infrastructure.</w:t>
      </w:r>
    </w:p>
    <w:p>
      <w:pPr>
        <w:pStyle w:val="ListParagraph"/>
        <w:numPr>
          <w:ilvl w:val="0"/>
          <w:numId w:val="1"/>
        </w:numPr>
        <w:spacing w:lineRule="exact" w:line="280" w:before="40" w:after="40"/>
        <w:rPr/>
      </w:pPr>
      <w:r>
        <w:rPr>
          <w:rFonts w:eastAsia="Arial" w:cs="Arial"/>
          <w:color w:val="1A1A1A"/>
          <w:sz w:val="22"/>
          <w:szCs w:val="22"/>
        </w:rPr>
        <w:t>Networks operated by or on behalf of Cloudax, and third-party networks used to access Cloudax information (including home broadband and public Wi-Fi).</w:t>
      </w:r>
    </w:p>
    <w:p>
      <w:pPr>
        <w:pStyle w:val="ListParagraph"/>
        <w:numPr>
          <w:ilvl w:val="0"/>
          <w:numId w:val="1"/>
        </w:numPr>
        <w:spacing w:lineRule="exact" w:line="280" w:before="40" w:after="40"/>
        <w:rPr/>
      </w:pPr>
      <w:r>
        <w:rPr>
          <w:rFonts w:eastAsia="Arial" w:cs="Arial"/>
          <w:color w:val="1A1A1A"/>
          <w:sz w:val="22"/>
          <w:szCs w:val="22"/>
        </w:rPr>
        <w:t>Physical facilities, including the shared Manchester workspace and any remote or temporary working locations.</w:t>
      </w:r>
    </w:p>
    <w:p>
      <w:pPr>
        <w:pStyle w:val="ListParagraph"/>
        <w:numPr>
          <w:ilvl w:val="0"/>
          <w:numId w:val="1"/>
        </w:numPr>
        <w:spacing w:lineRule="exact" w:line="280" w:before="40" w:after="40"/>
        <w:rPr/>
      </w:pPr>
      <w:r>
        <w:rPr>
          <w:rFonts w:eastAsia="Arial" w:cs="Arial"/>
          <w:color w:val="1A1A1A"/>
          <w:sz w:val="22"/>
          <w:szCs w:val="22"/>
        </w:rPr>
        <w:t>Personal devices used to access Cloudax information under a sanctioned Bring Your Own Device (BYOD) arrangement.</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A.5.9 Inventory of information and other associated assets; A.5.10 Acceptable use of information and other associated assets</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2400"/>
        <w:gridCol w:w="6625"/>
      </w:tblGrid>
      <w:tr>
        <w:trPr>
          <w:tblHeader w:val="true"/>
        </w:trPr>
        <w:tc>
          <w:tcPr>
            <w:tcW w:w="24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pacing w:val="40"/>
                <w:sz w:val="20"/>
                <w:szCs w:val="20"/>
              </w:rPr>
              <w:t>TERM</w:t>
            </w:r>
          </w:p>
        </w:tc>
        <w:tc>
          <w:tcPr>
            <w:tcW w:w="66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pacing w:val="40"/>
                <w:sz w:val="20"/>
                <w:szCs w:val="20"/>
              </w:rPr>
              <w:t>DEFINITION</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Asset</w:t>
            </w:r>
          </w:p>
        </w:tc>
        <w:tc>
          <w:tcPr>
            <w:tcW w:w="66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Anything that has value to Cloudax, including information, systems, devices, software, facilities, and people.</w:t>
            </w:r>
          </w:p>
        </w:tc>
      </w:tr>
      <w:tr>
        <w:trPr/>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2"/>
                <w:szCs w:val="22"/>
              </w:rPr>
              <w:t>Information Asset</w:t>
            </w:r>
          </w:p>
        </w:tc>
        <w:tc>
          <w:tcPr>
            <w:tcW w:w="66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Any item of information — electronic or physical — that has value to Cloudax or to an interested party.</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Personal Data</w:t>
            </w:r>
          </w:p>
        </w:tc>
        <w:tc>
          <w:tcPr>
            <w:tcW w:w="66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As defined in the UK GDPR and the Data Protection Act 2018.</w:t>
            </w:r>
          </w:p>
        </w:tc>
      </w:tr>
      <w:tr>
        <w:trPr/>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2"/>
                <w:szCs w:val="22"/>
              </w:rPr>
              <w:t>Information Security Event</w:t>
            </w:r>
          </w:p>
        </w:tc>
        <w:tc>
          <w:tcPr>
            <w:tcW w:w="66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An identified occurrence that may indicate a possible information security policy breach or failure of controls.</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Information Security Incident</w:t>
            </w:r>
          </w:p>
        </w:tc>
        <w:tc>
          <w:tcPr>
            <w:tcW w:w="66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A single or series of unwanted or unexpected information security events with a significant probability of compromising business operations or threatening information security.</w:t>
            </w:r>
          </w:p>
        </w:tc>
      </w:tr>
      <w:tr>
        <w:trPr/>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2"/>
                <w:szCs w:val="22"/>
              </w:rPr>
              <w:t>ISMS</w:t>
            </w:r>
          </w:p>
        </w:tc>
        <w:tc>
          <w:tcPr>
            <w:tcW w:w="66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The Cloudax Information Security Management System, established in accordance with ISO/IEC 27001:2022.</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SoA</w:t>
            </w:r>
          </w:p>
        </w:tc>
        <w:tc>
          <w:tcPr>
            <w:tcW w:w="66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Statement of Applicability — the document that lists the Annex A controls Cloudax applies and justifies any exclusions.</w:t>
            </w:r>
          </w:p>
        </w:tc>
      </w:tr>
      <w:tr>
        <w:trPr/>
        <w:tc>
          <w:tcPr>
            <w:tcW w:w="24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2"/>
                <w:szCs w:val="22"/>
              </w:rPr>
              <w:t>Personnel</w:t>
            </w:r>
          </w:p>
        </w:tc>
        <w:tc>
          <w:tcPr>
            <w:tcW w:w="66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Collectively, all employees, directors, contractors, consultants, interns, and agency workers of Cloudax.</w:t>
            </w:r>
          </w:p>
        </w:tc>
      </w:tr>
      <w:tr>
        <w:trPr/>
        <w:tc>
          <w:tcPr>
            <w:tcW w:w="24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User</w:t>
            </w:r>
          </w:p>
        </w:tc>
        <w:tc>
          <w:tcPr>
            <w:tcW w:w="66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Any person authorised to access Cloudax information or systems.</w:t>
            </w:r>
          </w:p>
        </w:tc>
      </w:tr>
    </w:tbl>
    <w:p>
      <w:pPr>
        <w:pStyle w:val="Heading1"/>
        <w:spacing w:before="360" w:after="180"/>
        <w:rPr/>
      </w:pPr>
      <w:r>
        <w:rPr>
          <w:rFonts w:eastAsia="Arial" w:cs="Arial" w:ascii="Arial" w:hAnsi="Arial"/>
          <w:b/>
          <w:bCs/>
          <w:color w:val="0000FF"/>
          <w:sz w:val="36"/>
          <w:szCs w:val="36"/>
        </w:rPr>
        <w:t>4. Policy Statement and Leadership Commitment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is committed to protecting the information entrusted to it by customers, employees, suppliers, and other interested parties. Cloudax’s leadership has established, approved, and actively supports this Policy as part of the ISMS.</w:t>
      </w:r>
    </w:p>
    <w:p>
      <w:pPr>
        <w:pStyle w:val="Normal"/>
        <w:spacing w:lineRule="exact" w:line="300" w:before="80" w:after="120"/>
        <w:rPr/>
      </w:pPr>
      <w:r>
        <w:rPr>
          <w:rFonts w:eastAsia="Arial" w:cs="Arial"/>
          <w:color w:val="1A1A1A"/>
          <w:sz w:val="22"/>
          <w:szCs w:val="22"/>
        </w:rPr>
        <w:t>The use of Cloudax information and associated assets is a privilege that depends on the responsible behaviour of every user. All users are required to act in a manner consistent with the confidentiality, integrity, and availability of Cloudax information, and in accordance with this Policy and related ISMS documents.</w:t>
      </w:r>
    </w:p>
    <w:p>
      <w:pPr>
        <w:pStyle w:val="Normal"/>
        <w:spacing w:lineRule="exact" w:line="300" w:before="80" w:after="120"/>
        <w:rPr/>
      </w:pPr>
      <w:r>
        <w:rPr>
          <w:rFonts w:eastAsia="Arial" w:cs="Arial"/>
          <w:color w:val="1A1A1A"/>
          <w:sz w:val="22"/>
          <w:szCs w:val="22"/>
        </w:rPr>
        <w:t>Where this Policy conflicts with any other Cloudax document, the Information Security Policy takes precedence, followed by this Policy. Any conflict must be raised with the Information Security Lead.</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Clause 5.1 Leadership and commitment; A.5.1 Policies for information security; A.5.4 Management responsibilities</w:t>
      </w:r>
    </w:p>
    <w:p>
      <w:pPr>
        <w:pStyle w:val="Heading1"/>
        <w:spacing w:before="360" w:after="180"/>
        <w:rPr/>
      </w:pPr>
      <w:r>
        <w:rPr>
          <w:rFonts w:eastAsia="Arial" w:cs="Arial" w:ascii="Arial" w:hAnsi="Arial"/>
          <w:b/>
          <w:bCs/>
          <w:color w:val="0000FF"/>
          <w:sz w:val="36"/>
          <w:szCs w:val="36"/>
        </w:rPr>
        <w:t>5. Principles of Acceptable Use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The following principles underpin every provision of this Policy. Where a specific clause is silent on a given situation, users must act in line with these principles and seek guidance from the Information Security Lead where required.</w:t>
      </w:r>
    </w:p>
    <w:p>
      <w:pPr>
        <w:pStyle w:val="ListParagraph"/>
        <w:numPr>
          <w:ilvl w:val="0"/>
          <w:numId w:val="1"/>
        </w:numPr>
        <w:spacing w:lineRule="exact" w:line="280" w:before="40" w:after="40"/>
        <w:rPr/>
      </w:pPr>
      <w:r>
        <w:rPr>
          <w:rFonts w:eastAsia="Arial" w:cs="Arial"/>
          <w:b/>
          <w:bCs/>
          <w:color w:val="1A1A1A"/>
          <w:sz w:val="22"/>
          <w:szCs w:val="22"/>
        </w:rPr>
        <w:t xml:space="preserve">Least privilege. </w:t>
      </w:r>
      <w:r>
        <w:rPr>
          <w:rFonts w:eastAsia="Arial" w:cs="Arial"/>
          <w:color w:val="1A1A1A"/>
          <w:sz w:val="22"/>
          <w:szCs w:val="22"/>
        </w:rPr>
        <w:t>Users must access only the information and systems necessary for their role.</w:t>
      </w:r>
    </w:p>
    <w:p>
      <w:pPr>
        <w:pStyle w:val="ListParagraph"/>
        <w:numPr>
          <w:ilvl w:val="0"/>
          <w:numId w:val="1"/>
        </w:numPr>
        <w:spacing w:lineRule="exact" w:line="280" w:before="40" w:after="40"/>
        <w:rPr/>
      </w:pPr>
      <w:r>
        <w:rPr>
          <w:rFonts w:eastAsia="Arial" w:cs="Arial"/>
          <w:b/>
          <w:bCs/>
          <w:color w:val="1A1A1A"/>
          <w:sz w:val="22"/>
          <w:szCs w:val="22"/>
        </w:rPr>
        <w:t xml:space="preserve">Need to know. </w:t>
      </w:r>
      <w:r>
        <w:rPr>
          <w:rFonts w:eastAsia="Arial" w:cs="Arial"/>
          <w:color w:val="1A1A1A"/>
          <w:sz w:val="22"/>
          <w:szCs w:val="22"/>
        </w:rPr>
        <w:t>Information must be shared only with those with a legitimate business reason to receive it.</w:t>
      </w:r>
    </w:p>
    <w:p>
      <w:pPr>
        <w:pStyle w:val="ListParagraph"/>
        <w:numPr>
          <w:ilvl w:val="0"/>
          <w:numId w:val="1"/>
        </w:numPr>
        <w:spacing w:lineRule="exact" w:line="280" w:before="40" w:after="40"/>
        <w:rPr/>
      </w:pPr>
      <w:r>
        <w:rPr>
          <w:rFonts w:eastAsia="Arial" w:cs="Arial"/>
          <w:b/>
          <w:bCs/>
          <w:color w:val="1A1A1A"/>
          <w:sz w:val="22"/>
          <w:szCs w:val="22"/>
        </w:rPr>
        <w:t xml:space="preserve">Protect information by default. </w:t>
      </w:r>
      <w:r>
        <w:rPr>
          <w:rFonts w:eastAsia="Arial" w:cs="Arial"/>
          <w:color w:val="1A1A1A"/>
          <w:sz w:val="22"/>
          <w:szCs w:val="22"/>
        </w:rPr>
        <w:t>When in doubt, handle information as if it were Confidential.</w:t>
      </w:r>
    </w:p>
    <w:p>
      <w:pPr>
        <w:pStyle w:val="ListParagraph"/>
        <w:numPr>
          <w:ilvl w:val="0"/>
          <w:numId w:val="1"/>
        </w:numPr>
        <w:spacing w:lineRule="exact" w:line="280" w:before="40" w:after="40"/>
        <w:rPr/>
      </w:pPr>
      <w:r>
        <w:rPr>
          <w:rFonts w:eastAsia="Arial" w:cs="Arial"/>
          <w:b/>
          <w:bCs/>
          <w:color w:val="1A1A1A"/>
          <w:sz w:val="22"/>
          <w:szCs w:val="22"/>
        </w:rPr>
        <w:t xml:space="preserve">Personal accountability. </w:t>
      </w:r>
      <w:r>
        <w:rPr>
          <w:rFonts w:eastAsia="Arial" w:cs="Arial"/>
          <w:color w:val="1A1A1A"/>
          <w:sz w:val="22"/>
          <w:szCs w:val="22"/>
        </w:rPr>
        <w:t>Every user is individually accountable for activity performed under their account.</w:t>
      </w:r>
    </w:p>
    <w:p>
      <w:pPr>
        <w:pStyle w:val="ListParagraph"/>
        <w:numPr>
          <w:ilvl w:val="0"/>
          <w:numId w:val="1"/>
        </w:numPr>
        <w:spacing w:lineRule="exact" w:line="280" w:before="40" w:after="40"/>
        <w:rPr/>
      </w:pPr>
      <w:r>
        <w:rPr>
          <w:rFonts w:eastAsia="Arial" w:cs="Arial"/>
          <w:b/>
          <w:bCs/>
          <w:color w:val="1A1A1A"/>
          <w:sz w:val="22"/>
          <w:szCs w:val="22"/>
        </w:rPr>
        <w:t xml:space="preserve">Transparency and honesty. </w:t>
      </w:r>
      <w:r>
        <w:rPr>
          <w:rFonts w:eastAsia="Arial" w:cs="Arial"/>
          <w:color w:val="1A1A1A"/>
          <w:sz w:val="22"/>
          <w:szCs w:val="22"/>
        </w:rPr>
        <w:t>Errors, incidents, and weaknesses must be reported promptly and without fear of reprisal.</w:t>
      </w:r>
    </w:p>
    <w:p>
      <w:pPr>
        <w:pStyle w:val="ListParagraph"/>
        <w:numPr>
          <w:ilvl w:val="0"/>
          <w:numId w:val="1"/>
        </w:numPr>
        <w:spacing w:lineRule="exact" w:line="280" w:before="40" w:after="40"/>
        <w:rPr/>
      </w:pPr>
      <w:r>
        <w:rPr>
          <w:rFonts w:eastAsia="Arial" w:cs="Arial"/>
          <w:b/>
          <w:bCs/>
          <w:color w:val="1A1A1A"/>
          <w:sz w:val="22"/>
          <w:szCs w:val="22"/>
        </w:rPr>
        <w:t xml:space="preserve">Proportionality. </w:t>
      </w:r>
      <w:r>
        <w:rPr>
          <w:rFonts w:eastAsia="Arial" w:cs="Arial"/>
          <w:color w:val="1A1A1A"/>
          <w:sz w:val="22"/>
          <w:szCs w:val="22"/>
        </w:rPr>
        <w:t>Controls are applied in proportion to the risk to Cloudax, its customers, and other interested parties.</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A.5.3 Segregation of duties; A.5.15 Access control; A.5.10 Acceptable use of information and other associated assets</w:t>
      </w:r>
    </w:p>
    <w:p>
      <w:pPr>
        <w:pStyle w:val="Heading1"/>
        <w:spacing w:before="360" w:after="180"/>
        <w:rPr/>
      </w:pPr>
      <w:r>
        <w:rPr>
          <w:rFonts w:eastAsia="Arial" w:cs="Arial" w:ascii="Arial" w:hAnsi="Arial"/>
          <w:b/>
          <w:bCs/>
          <w:color w:val="0000FF"/>
          <w:sz w:val="36"/>
          <w:szCs w:val="36"/>
        </w:rPr>
        <w:t>6. Roles and Responsibilities</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2699"/>
        <w:gridCol w:w="6326"/>
      </w:tblGrid>
      <w:tr>
        <w:trPr>
          <w:tblHeader w:val="true"/>
        </w:trPr>
        <w:tc>
          <w:tcPr>
            <w:tcW w:w="2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pacing w:val="40"/>
                <w:sz w:val="20"/>
                <w:szCs w:val="20"/>
              </w:rPr>
              <w:t>ROLE</w:t>
            </w:r>
          </w:p>
        </w:tc>
        <w:tc>
          <w:tcPr>
            <w:tcW w:w="6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pacing w:val="40"/>
                <w:sz w:val="20"/>
                <w:szCs w:val="20"/>
              </w:rPr>
              <w:t>RESPONSIBILITIES RELATING TO THIS POLICY</w:t>
            </w:r>
          </w:p>
        </w:tc>
      </w:tr>
      <w:tr>
        <w:trPr/>
        <w:tc>
          <w:tcPr>
            <w:tcW w:w="2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Managing Director</w:t>
            </w:r>
          </w:p>
        </w:tc>
        <w:tc>
          <w:tcPr>
            <w:tcW w:w="6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Approves the Policy; demonstrates visible leadership commitment; ensures adequate resources are made available to implement and maintain it.</w:t>
            </w:r>
          </w:p>
        </w:tc>
      </w:tr>
      <w:tr>
        <w:trPr/>
        <w:tc>
          <w:tcPr>
            <w:tcW w:w="2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2"/>
                <w:szCs w:val="22"/>
              </w:rPr>
              <w:t>Information Security Lead</w:t>
            </w:r>
          </w:p>
        </w:tc>
        <w:tc>
          <w:tcPr>
            <w:tcW w:w="6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Document owner. Maintains, communicates, and enforces the Policy; monitors compliance; investigates incidents; maintains the SoA alignment; reports to management review.</w:t>
            </w:r>
          </w:p>
        </w:tc>
      </w:tr>
      <w:tr>
        <w:trPr/>
        <w:tc>
          <w:tcPr>
            <w:tcW w:w="2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Data Protection Lead</w:t>
            </w:r>
          </w:p>
        </w:tc>
        <w:tc>
          <w:tcPr>
            <w:tcW w:w="6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Advises on data protection aspects; coordinates personal data breach handling with the Information Security Lead; ensures alignment with the Data Protection Policy.</w:t>
            </w:r>
          </w:p>
        </w:tc>
      </w:tr>
      <w:tr>
        <w:trPr/>
        <w:tc>
          <w:tcPr>
            <w:tcW w:w="2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2"/>
                <w:szCs w:val="22"/>
              </w:rPr>
              <w:t>Line Managers</w:t>
            </w:r>
          </w:p>
        </w:tc>
        <w:tc>
          <w:tcPr>
            <w:tcW w:w="6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Ensure personnel in their team are aware of the Policy, complete required training, and apply it in day-to-day work; address breaches and concerns promptly.</w:t>
            </w:r>
          </w:p>
        </w:tc>
      </w:tr>
      <w:tr>
        <w:trPr/>
        <w:tc>
          <w:tcPr>
            <w:tcW w:w="2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2"/>
                <w:szCs w:val="22"/>
              </w:rPr>
              <w:t>All Personnel</w:t>
            </w:r>
          </w:p>
        </w:tc>
        <w:tc>
          <w:tcPr>
            <w:tcW w:w="6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Read, understand, and comply with the Policy; complete awareness training and acknowledgement; report information security events and weaknesses without delay.</w:t>
            </w:r>
          </w:p>
        </w:tc>
      </w:tr>
      <w:tr>
        <w:trPr/>
        <w:tc>
          <w:tcPr>
            <w:tcW w:w="2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2"/>
                <w:szCs w:val="22"/>
              </w:rPr>
              <w:t>Suppliers and Third Parties</w:t>
            </w:r>
          </w:p>
        </w:tc>
        <w:tc>
          <w:tcPr>
            <w:tcW w:w="6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Comply with this Policy or an equivalent set of requirements agreed contractually, for the duration of their engagement with Cloudax.</w:t>
            </w:r>
          </w:p>
        </w:tc>
      </w:tr>
    </w:tbl>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Clause 5.3 Organisational roles, responsibilities, and authorities; A.5.2 Information security roles and responsibilities; A.5.4 Management responsibilities; A.6.2 Terms and conditions of employment; A.6.6 Confidentiality or non-disclosure agreements</w:t>
      </w:r>
    </w:p>
    <w:p>
      <w:pPr>
        <w:pStyle w:val="Heading1"/>
        <w:spacing w:before="360" w:after="180"/>
        <w:rPr/>
      </w:pPr>
      <w:r>
        <w:rPr>
          <w:rFonts w:eastAsia="Arial" w:cs="Arial" w:ascii="Arial" w:hAnsi="Arial"/>
          <w:b/>
          <w:bCs/>
          <w:color w:val="0000FF"/>
          <w:sz w:val="36"/>
          <w:szCs w:val="36"/>
        </w:rPr>
        <w:t>7. General Acceptable Use</w:t>
      </w:r>
    </w:p>
    <w:p>
      <w:pPr>
        <w:pStyle w:val="Normal"/>
        <w:pBdr>
          <w:bottom w:val="single" w:sz="12" w:space="1" w:color="0000FF"/>
        </w:pBdr>
        <w:spacing w:before="0" w:after="200"/>
        <w:rPr/>
      </w:pPr>
      <w:r>
        <w:rPr/>
      </w:r>
    </w:p>
    <w:p>
      <w:pPr>
        <w:pStyle w:val="Heading2"/>
        <w:spacing w:before="280" w:after="140"/>
        <w:rPr/>
      </w:pPr>
      <w:r>
        <w:rPr>
          <w:rFonts w:eastAsia="Arial" w:cs="Arial" w:ascii="Arial" w:hAnsi="Arial"/>
          <w:b/>
          <w:bCs/>
          <w:color w:val="0000FF"/>
          <w:sz w:val="28"/>
          <w:szCs w:val="28"/>
        </w:rPr>
        <w:t>7.1 Permitted use</w:t>
      </w:r>
    </w:p>
    <w:p>
      <w:pPr>
        <w:pStyle w:val="Normal"/>
        <w:spacing w:lineRule="exact" w:line="300" w:before="80" w:after="120"/>
        <w:rPr/>
      </w:pPr>
      <w:r>
        <w:rPr>
          <w:rFonts w:eastAsia="Arial" w:cs="Arial"/>
          <w:color w:val="1A1A1A"/>
          <w:sz w:val="22"/>
          <w:szCs w:val="22"/>
        </w:rPr>
        <w:t>Cloudax information and associated assets are provided for legitimate business purposes in support of Cloudax’s objectives. Limited, reasonable personal use is permitted provided it does not:</w:t>
      </w:r>
    </w:p>
    <w:p>
      <w:pPr>
        <w:pStyle w:val="ListParagraph"/>
        <w:numPr>
          <w:ilvl w:val="0"/>
          <w:numId w:val="1"/>
        </w:numPr>
        <w:spacing w:lineRule="exact" w:line="280" w:before="40" w:after="40"/>
        <w:rPr/>
      </w:pPr>
      <w:r>
        <w:rPr>
          <w:rFonts w:eastAsia="Arial" w:cs="Arial"/>
          <w:color w:val="1A1A1A"/>
          <w:sz w:val="22"/>
          <w:szCs w:val="22"/>
        </w:rPr>
        <w:t>Interfere with the performance of duties or the work of others.</w:t>
      </w:r>
    </w:p>
    <w:p>
      <w:pPr>
        <w:pStyle w:val="ListParagraph"/>
        <w:numPr>
          <w:ilvl w:val="0"/>
          <w:numId w:val="1"/>
        </w:numPr>
        <w:spacing w:lineRule="exact" w:line="280" w:before="40" w:after="40"/>
        <w:rPr/>
      </w:pPr>
      <w:r>
        <w:rPr>
          <w:rFonts w:eastAsia="Arial" w:cs="Arial"/>
          <w:color w:val="1A1A1A"/>
          <w:sz w:val="22"/>
          <w:szCs w:val="22"/>
        </w:rPr>
        <w:t>Incur material cost or risk to Cloudax.</w:t>
      </w:r>
    </w:p>
    <w:p>
      <w:pPr>
        <w:pStyle w:val="ListParagraph"/>
        <w:numPr>
          <w:ilvl w:val="0"/>
          <w:numId w:val="1"/>
        </w:numPr>
        <w:spacing w:lineRule="exact" w:line="280" w:before="40" w:after="40"/>
        <w:rPr/>
      </w:pPr>
      <w:r>
        <w:rPr>
          <w:rFonts w:eastAsia="Arial" w:cs="Arial"/>
          <w:color w:val="1A1A1A"/>
          <w:sz w:val="22"/>
          <w:szCs w:val="22"/>
        </w:rPr>
        <w:t>Breach this Policy, any other Cloudax policy, applicable law, or contractual obligation.</w:t>
      </w:r>
    </w:p>
    <w:p>
      <w:pPr>
        <w:pStyle w:val="ListParagraph"/>
        <w:numPr>
          <w:ilvl w:val="0"/>
          <w:numId w:val="1"/>
        </w:numPr>
        <w:spacing w:lineRule="exact" w:line="280" w:before="40" w:after="40"/>
        <w:rPr/>
      </w:pPr>
      <w:r>
        <w:rPr>
          <w:rFonts w:eastAsia="Arial" w:cs="Arial"/>
          <w:color w:val="1A1A1A"/>
          <w:sz w:val="22"/>
          <w:szCs w:val="22"/>
        </w:rPr>
        <w:t>Expose Cloudax, its customers, or its partners to legal, reputational, or information security risk.</w:t>
      </w:r>
    </w:p>
    <w:p>
      <w:pPr>
        <w:pStyle w:val="Heading2"/>
        <w:spacing w:before="280" w:after="140"/>
        <w:rPr/>
      </w:pPr>
      <w:r>
        <w:rPr>
          <w:rFonts w:eastAsia="Arial" w:cs="Arial" w:ascii="Arial" w:hAnsi="Arial"/>
          <w:b/>
          <w:bCs/>
          <w:color w:val="0000FF"/>
          <w:sz w:val="28"/>
          <w:szCs w:val="28"/>
        </w:rPr>
        <w:t>7.2 Prohibited use</w:t>
      </w:r>
    </w:p>
    <w:p>
      <w:pPr>
        <w:pStyle w:val="Normal"/>
        <w:spacing w:lineRule="exact" w:line="300" w:before="80" w:after="120"/>
        <w:rPr/>
      </w:pPr>
      <w:r>
        <w:rPr>
          <w:rFonts w:eastAsia="Arial" w:cs="Arial"/>
          <w:color w:val="1A1A1A"/>
          <w:sz w:val="22"/>
          <w:szCs w:val="22"/>
        </w:rPr>
        <w:t>Users must not use Cloudax information or associated assets for, or in connection with, any activity that:</w:t>
      </w:r>
    </w:p>
    <w:p>
      <w:pPr>
        <w:pStyle w:val="ListParagraph"/>
        <w:numPr>
          <w:ilvl w:val="0"/>
          <w:numId w:val="1"/>
        </w:numPr>
        <w:spacing w:lineRule="exact" w:line="280" w:before="40" w:after="40"/>
        <w:rPr/>
      </w:pPr>
      <w:r>
        <w:rPr>
          <w:rFonts w:eastAsia="Arial" w:cs="Arial"/>
          <w:color w:val="1A1A1A"/>
          <w:sz w:val="22"/>
          <w:szCs w:val="22"/>
        </w:rPr>
        <w:t>Is unlawful or intended to facilitate unlawful activity, including but not limited to offences under the Computer Misuse Act 1990, the UK GDPR, the Data Protection Act 2018, the Fraud Act 2006, the Equality Act 2010, and applicable export control legislation.</w:t>
      </w:r>
    </w:p>
    <w:p>
      <w:pPr>
        <w:pStyle w:val="ListParagraph"/>
        <w:numPr>
          <w:ilvl w:val="0"/>
          <w:numId w:val="1"/>
        </w:numPr>
        <w:spacing w:lineRule="exact" w:line="280" w:before="40" w:after="40"/>
        <w:rPr/>
      </w:pPr>
      <w:r>
        <w:rPr>
          <w:rFonts w:eastAsia="Arial" w:cs="Arial"/>
          <w:color w:val="1A1A1A"/>
          <w:sz w:val="22"/>
          <w:szCs w:val="22"/>
        </w:rPr>
        <w:t>Involves the creation, storage, or distribution of material that is obscene, discriminatory, harassing, threatening, defamatory, or otherwise offensive.</w:t>
      </w:r>
    </w:p>
    <w:p>
      <w:pPr>
        <w:pStyle w:val="ListParagraph"/>
        <w:numPr>
          <w:ilvl w:val="0"/>
          <w:numId w:val="1"/>
        </w:numPr>
        <w:spacing w:lineRule="exact" w:line="280" w:before="40" w:after="40"/>
        <w:rPr/>
      </w:pPr>
      <w:r>
        <w:rPr>
          <w:rFonts w:eastAsia="Arial" w:cs="Arial"/>
          <w:color w:val="1A1A1A"/>
          <w:sz w:val="22"/>
          <w:szCs w:val="22"/>
        </w:rPr>
        <w:t>Infringes intellectual property rights, including copyright, trademarks, patents, or licensing terms.</w:t>
      </w:r>
    </w:p>
    <w:p>
      <w:pPr>
        <w:pStyle w:val="ListParagraph"/>
        <w:numPr>
          <w:ilvl w:val="0"/>
          <w:numId w:val="1"/>
        </w:numPr>
        <w:spacing w:lineRule="exact" w:line="280" w:before="40" w:after="40"/>
        <w:rPr/>
      </w:pPr>
      <w:r>
        <w:rPr>
          <w:rFonts w:eastAsia="Arial" w:cs="Arial"/>
          <w:color w:val="1A1A1A"/>
          <w:sz w:val="22"/>
          <w:szCs w:val="22"/>
        </w:rPr>
        <w:t>Attempts to gain unauthorised access to any system, network, account, data, or facility, whether operated by Cloudax or by a third party.</w:t>
      </w:r>
    </w:p>
    <w:p>
      <w:pPr>
        <w:pStyle w:val="ListParagraph"/>
        <w:numPr>
          <w:ilvl w:val="0"/>
          <w:numId w:val="1"/>
        </w:numPr>
        <w:spacing w:lineRule="exact" w:line="280" w:before="40" w:after="40"/>
        <w:rPr/>
      </w:pPr>
      <w:r>
        <w:rPr>
          <w:rFonts w:eastAsia="Arial" w:cs="Arial"/>
          <w:color w:val="1A1A1A"/>
          <w:sz w:val="22"/>
          <w:szCs w:val="22"/>
        </w:rPr>
        <w:t>Circumvents, disables, or tampers with any security, logging, or monitoring control.</w:t>
      </w:r>
    </w:p>
    <w:p>
      <w:pPr>
        <w:pStyle w:val="ListParagraph"/>
        <w:numPr>
          <w:ilvl w:val="0"/>
          <w:numId w:val="1"/>
        </w:numPr>
        <w:spacing w:lineRule="exact" w:line="280" w:before="40" w:after="40"/>
        <w:rPr/>
      </w:pPr>
      <w:r>
        <w:rPr>
          <w:rFonts w:eastAsia="Arial" w:cs="Arial"/>
          <w:color w:val="1A1A1A"/>
          <w:sz w:val="22"/>
          <w:szCs w:val="22"/>
        </w:rPr>
        <w:t>Introduces malware, unauthorised code, or unauthorised configurations to any Cloudax asset.</w:t>
      </w:r>
    </w:p>
    <w:p>
      <w:pPr>
        <w:pStyle w:val="ListParagraph"/>
        <w:numPr>
          <w:ilvl w:val="0"/>
          <w:numId w:val="1"/>
        </w:numPr>
        <w:spacing w:lineRule="exact" w:line="280" w:before="40" w:after="40"/>
        <w:rPr/>
      </w:pPr>
      <w:r>
        <w:rPr>
          <w:rFonts w:eastAsia="Arial" w:cs="Arial"/>
          <w:color w:val="1A1A1A"/>
          <w:sz w:val="22"/>
          <w:szCs w:val="22"/>
        </w:rPr>
        <w:t>Runs personal businesses, political campaigns, or other material side activities from Cloudax assets.</w:t>
      </w:r>
    </w:p>
    <w:p>
      <w:pPr>
        <w:pStyle w:val="ListParagraph"/>
        <w:numPr>
          <w:ilvl w:val="0"/>
          <w:numId w:val="1"/>
        </w:numPr>
        <w:spacing w:lineRule="exact" w:line="280" w:before="40" w:after="40"/>
        <w:rPr/>
      </w:pPr>
      <w:r>
        <w:rPr>
          <w:rFonts w:eastAsia="Arial" w:cs="Arial"/>
          <w:color w:val="1A1A1A"/>
          <w:sz w:val="22"/>
          <w:szCs w:val="22"/>
        </w:rPr>
        <w:t>Could reasonably be expected to harm the reputation, operations, or commercial interests of Cloudax, its customers, or its partners.</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A.5.10 Acceptable use of information and other associated assets; A.5.31 Legal, statutory, regulatory, and contractual requirements; A.5.32 Intellectual property rights; A.5.34 Privacy and protection of PII; A.8.7 Protection against malware</w:t>
      </w:r>
    </w:p>
    <w:p>
      <w:pPr>
        <w:pStyle w:val="Heading1"/>
        <w:spacing w:before="360" w:after="180"/>
        <w:rPr/>
      </w:pPr>
      <w:r>
        <w:rPr>
          <w:rFonts w:eastAsia="Arial" w:cs="Arial" w:ascii="Arial" w:hAnsi="Arial"/>
          <w:b/>
          <w:bCs/>
          <w:color w:val="0000FF"/>
          <w:sz w:val="36"/>
          <w:szCs w:val="36"/>
        </w:rPr>
        <w:t>8. Access Control, Accounts, and Authentication</w:t>
      </w:r>
    </w:p>
    <w:p>
      <w:pPr>
        <w:pStyle w:val="Normal"/>
        <w:pBdr>
          <w:bottom w:val="single" w:sz="12" w:space="1" w:color="0000FF"/>
        </w:pBdr>
        <w:spacing w:before="0" w:after="200"/>
        <w:rPr/>
      </w:pPr>
      <w:r>
        <w:rPr/>
      </w:r>
    </w:p>
    <w:p>
      <w:pPr>
        <w:pStyle w:val="Heading2"/>
        <w:spacing w:before="280" w:after="140"/>
        <w:rPr/>
      </w:pPr>
      <w:r>
        <w:rPr>
          <w:rFonts w:eastAsia="Arial" w:cs="Arial" w:ascii="Arial" w:hAnsi="Arial"/>
          <w:b/>
          <w:bCs/>
          <w:color w:val="0000FF"/>
          <w:sz w:val="28"/>
          <w:szCs w:val="28"/>
        </w:rPr>
        <w:t>8.1 User accounts</w:t>
      </w:r>
    </w:p>
    <w:p>
      <w:pPr>
        <w:pStyle w:val="ListParagraph"/>
        <w:numPr>
          <w:ilvl w:val="0"/>
          <w:numId w:val="1"/>
        </w:numPr>
        <w:spacing w:lineRule="exact" w:line="280" w:before="40" w:after="40"/>
        <w:rPr/>
      </w:pPr>
      <w:r>
        <w:rPr>
          <w:rFonts w:eastAsia="Arial" w:cs="Arial"/>
          <w:color w:val="1A1A1A"/>
          <w:sz w:val="22"/>
          <w:szCs w:val="22"/>
        </w:rPr>
        <w:t>Each user is issued with a unique, named account. Accounts must not be shared under any circumstances.</w:t>
      </w:r>
    </w:p>
    <w:p>
      <w:pPr>
        <w:pStyle w:val="ListParagraph"/>
        <w:numPr>
          <w:ilvl w:val="0"/>
          <w:numId w:val="1"/>
        </w:numPr>
        <w:spacing w:lineRule="exact" w:line="280" w:before="40" w:after="40"/>
        <w:rPr/>
      </w:pPr>
      <w:r>
        <w:rPr>
          <w:rFonts w:eastAsia="Arial" w:cs="Arial"/>
          <w:color w:val="1A1A1A"/>
          <w:sz w:val="22"/>
          <w:szCs w:val="22"/>
        </w:rPr>
        <w:t>Users must use their Cloudax-issued account for all work activity. Personal email, messaging, or cloud storage accounts must not be used to receive, send, store, or process Cloudax information.</w:t>
      </w:r>
    </w:p>
    <w:p>
      <w:pPr>
        <w:pStyle w:val="ListParagraph"/>
        <w:numPr>
          <w:ilvl w:val="0"/>
          <w:numId w:val="1"/>
        </w:numPr>
        <w:spacing w:lineRule="exact" w:line="280" w:before="40" w:after="40"/>
        <w:rPr/>
      </w:pPr>
      <w:r>
        <w:rPr>
          <w:rFonts w:eastAsia="Arial" w:cs="Arial"/>
          <w:color w:val="1A1A1A"/>
          <w:sz w:val="22"/>
          <w:szCs w:val="22"/>
        </w:rPr>
        <w:t>Accounts are provisioned, modified, and revoked in accordance with the Access Control Procedure. Access rights are reviewed at least annually and on role change.</w:t>
      </w:r>
    </w:p>
    <w:p>
      <w:pPr>
        <w:pStyle w:val="ListParagraph"/>
        <w:numPr>
          <w:ilvl w:val="0"/>
          <w:numId w:val="1"/>
        </w:numPr>
        <w:spacing w:lineRule="exact" w:line="280" w:before="40" w:after="40"/>
        <w:rPr/>
      </w:pPr>
      <w:r>
        <w:rPr>
          <w:rFonts w:eastAsia="Arial" w:cs="Arial"/>
          <w:color w:val="1A1A1A"/>
          <w:sz w:val="22"/>
          <w:szCs w:val="22"/>
        </w:rPr>
        <w:t>Privileged accounts are used only for administrative tasks and logged accordingly. Day-to-day work is performed using standard accounts.</w:t>
      </w:r>
    </w:p>
    <w:p>
      <w:pPr>
        <w:pStyle w:val="Heading2"/>
        <w:spacing w:before="280" w:after="140"/>
        <w:rPr/>
      </w:pPr>
      <w:r>
        <w:rPr>
          <w:rFonts w:eastAsia="Arial" w:cs="Arial" w:ascii="Arial" w:hAnsi="Arial"/>
          <w:b/>
          <w:bCs/>
          <w:color w:val="0000FF"/>
          <w:sz w:val="28"/>
          <w:szCs w:val="28"/>
        </w:rPr>
        <w:t>8.2 Authentication and passwords</w:t>
      </w:r>
    </w:p>
    <w:p>
      <w:pPr>
        <w:pStyle w:val="ListParagraph"/>
        <w:numPr>
          <w:ilvl w:val="0"/>
          <w:numId w:val="1"/>
        </w:numPr>
        <w:spacing w:lineRule="exact" w:line="280" w:before="40" w:after="40"/>
        <w:rPr/>
      </w:pPr>
      <w:r>
        <w:rPr>
          <w:rFonts w:eastAsia="Arial" w:cs="Arial"/>
          <w:color w:val="1A1A1A"/>
          <w:sz w:val="22"/>
          <w:szCs w:val="22"/>
        </w:rPr>
        <w:t>Passwords or passphrases must be at least 14 characters and unique to each system. The approved password manager must be used to generate and store credentials.</w:t>
      </w:r>
    </w:p>
    <w:p>
      <w:pPr>
        <w:pStyle w:val="ListParagraph"/>
        <w:numPr>
          <w:ilvl w:val="0"/>
          <w:numId w:val="1"/>
        </w:numPr>
        <w:spacing w:lineRule="exact" w:line="280" w:before="40" w:after="40"/>
        <w:rPr/>
      </w:pPr>
      <w:r>
        <w:rPr>
          <w:rFonts w:eastAsia="Arial" w:cs="Arial"/>
          <w:color w:val="1A1A1A"/>
          <w:sz w:val="22"/>
          <w:szCs w:val="22"/>
        </w:rPr>
        <w:t>Multi-factor authentication (MFA) must be enabled on all systems where it is available, and is mandatory on the Microsoft 365 tenant, identity providers, privileged access consoles, VPN, and production environments.</w:t>
      </w:r>
    </w:p>
    <w:p>
      <w:pPr>
        <w:pStyle w:val="ListParagraph"/>
        <w:numPr>
          <w:ilvl w:val="0"/>
          <w:numId w:val="1"/>
        </w:numPr>
        <w:spacing w:lineRule="exact" w:line="280" w:before="40" w:after="40"/>
        <w:rPr/>
      </w:pPr>
      <w:r>
        <w:rPr>
          <w:rFonts w:eastAsia="Arial" w:cs="Arial"/>
          <w:color w:val="1A1A1A"/>
          <w:sz w:val="22"/>
          <w:szCs w:val="22"/>
        </w:rPr>
        <w:t>Users must never share passwords, MFA codes, or hardware tokens; never approve MFA prompts they did not initiate; and never register another person’s device on their account.</w:t>
      </w:r>
    </w:p>
    <w:p>
      <w:pPr>
        <w:pStyle w:val="ListParagraph"/>
        <w:numPr>
          <w:ilvl w:val="0"/>
          <w:numId w:val="1"/>
        </w:numPr>
        <w:spacing w:lineRule="exact" w:line="280" w:before="40" w:after="40"/>
        <w:rPr/>
      </w:pPr>
      <w:r>
        <w:rPr>
          <w:rFonts w:eastAsia="Arial" w:cs="Arial"/>
          <w:color w:val="1A1A1A"/>
          <w:sz w:val="22"/>
          <w:szCs w:val="22"/>
        </w:rPr>
        <w:t>Suspected account compromise must be reported immediately in line with section 18.</w:t>
      </w:r>
    </w:p>
    <w:p>
      <w:pPr>
        <w:pStyle w:val="Heading2"/>
        <w:spacing w:before="280" w:after="140"/>
        <w:rPr/>
      </w:pPr>
      <w:r>
        <w:rPr>
          <w:rFonts w:eastAsia="Arial" w:cs="Arial" w:ascii="Arial" w:hAnsi="Arial"/>
          <w:b/>
          <w:bCs/>
          <w:color w:val="0000FF"/>
          <w:sz w:val="28"/>
          <w:szCs w:val="28"/>
        </w:rPr>
        <w:t>8.3 Session management</w:t>
      </w:r>
    </w:p>
    <w:p>
      <w:pPr>
        <w:pStyle w:val="ListParagraph"/>
        <w:numPr>
          <w:ilvl w:val="0"/>
          <w:numId w:val="1"/>
        </w:numPr>
        <w:spacing w:lineRule="exact" w:line="280" w:before="40" w:after="40"/>
        <w:rPr/>
      </w:pPr>
      <w:r>
        <w:rPr>
          <w:rFonts w:eastAsia="Arial" w:cs="Arial"/>
          <w:color w:val="1A1A1A"/>
          <w:sz w:val="22"/>
          <w:szCs w:val="22"/>
        </w:rPr>
        <w:t>Devices must be locked whenever they are unattended, including for short periods.</w:t>
      </w:r>
    </w:p>
    <w:p>
      <w:pPr>
        <w:pStyle w:val="ListParagraph"/>
        <w:numPr>
          <w:ilvl w:val="0"/>
          <w:numId w:val="1"/>
        </w:numPr>
        <w:spacing w:lineRule="exact" w:line="280" w:before="40" w:after="40"/>
        <w:rPr/>
      </w:pPr>
      <w:r>
        <w:rPr>
          <w:rFonts w:eastAsia="Arial" w:cs="Arial"/>
          <w:color w:val="1A1A1A"/>
          <w:sz w:val="22"/>
          <w:szCs w:val="22"/>
        </w:rPr>
        <w:t>Devices must automatically lock after no more than 10 minutes of inactivity (5 minutes for mobile devices).</w:t>
      </w:r>
    </w:p>
    <w:p>
      <w:pPr>
        <w:pStyle w:val="ListParagraph"/>
        <w:numPr>
          <w:ilvl w:val="0"/>
          <w:numId w:val="1"/>
        </w:numPr>
        <w:spacing w:lineRule="exact" w:line="280" w:before="40" w:after="40"/>
        <w:rPr/>
      </w:pPr>
      <w:r>
        <w:rPr>
          <w:rFonts w:eastAsia="Arial" w:cs="Arial"/>
          <w:color w:val="1A1A1A"/>
          <w:sz w:val="22"/>
          <w:szCs w:val="22"/>
        </w:rPr>
        <w:t>Users must sign out of systems and close shared browser sessions when no longer required.</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A.5.15 Access control; A.5.16 Identity management; A.5.17 Authentication information; A.5.18 Access rights; A.8.2 Privileged access rights; A.8.3 Information access restriction; A.8.5 Secure authentication</w:t>
      </w:r>
    </w:p>
    <w:p>
      <w:pPr>
        <w:pStyle w:val="Heading1"/>
        <w:spacing w:before="360" w:after="180"/>
        <w:rPr/>
      </w:pPr>
      <w:r>
        <w:rPr>
          <w:rFonts w:eastAsia="Arial" w:cs="Arial" w:ascii="Arial" w:hAnsi="Arial"/>
          <w:b/>
          <w:bCs/>
          <w:color w:val="0000FF"/>
          <w:sz w:val="36"/>
          <w:szCs w:val="36"/>
        </w:rPr>
        <w:t>9. Endpoint, Device, and Mobile Asset Use</w:t>
      </w:r>
    </w:p>
    <w:p>
      <w:pPr>
        <w:pStyle w:val="Normal"/>
        <w:pBdr>
          <w:bottom w:val="single" w:sz="12" w:space="1" w:color="0000FF"/>
        </w:pBdr>
        <w:spacing w:before="0" w:after="200"/>
        <w:rPr/>
      </w:pPr>
      <w:r>
        <w:rPr/>
      </w:r>
    </w:p>
    <w:p>
      <w:pPr>
        <w:pStyle w:val="Heading2"/>
        <w:spacing w:before="280" w:after="140"/>
        <w:rPr/>
      </w:pPr>
      <w:r>
        <w:rPr>
          <w:rFonts w:eastAsia="Arial" w:cs="Arial" w:ascii="Arial" w:hAnsi="Arial"/>
          <w:b/>
          <w:bCs/>
          <w:color w:val="0000FF"/>
          <w:sz w:val="28"/>
          <w:szCs w:val="28"/>
        </w:rPr>
        <w:t>9.1 Cloudax-issued devices</w:t>
      </w:r>
    </w:p>
    <w:p>
      <w:pPr>
        <w:pStyle w:val="ListParagraph"/>
        <w:numPr>
          <w:ilvl w:val="0"/>
          <w:numId w:val="1"/>
        </w:numPr>
        <w:spacing w:lineRule="exact" w:line="280" w:before="40" w:after="40"/>
        <w:rPr/>
      </w:pPr>
      <w:r>
        <w:rPr>
          <w:rFonts w:eastAsia="Arial" w:cs="Arial"/>
          <w:color w:val="1A1A1A"/>
          <w:sz w:val="22"/>
          <w:szCs w:val="22"/>
        </w:rPr>
        <w:t>Cloudax-issued laptops and mobile devices are the primary means of performing Cloudax work.</w:t>
      </w:r>
    </w:p>
    <w:p>
      <w:pPr>
        <w:pStyle w:val="ListParagraph"/>
        <w:numPr>
          <w:ilvl w:val="0"/>
          <w:numId w:val="1"/>
        </w:numPr>
        <w:spacing w:lineRule="exact" w:line="280" w:before="40" w:after="40"/>
        <w:rPr/>
      </w:pPr>
      <w:r>
        <w:rPr>
          <w:rFonts w:eastAsia="Arial" w:cs="Arial"/>
          <w:color w:val="1A1A1A"/>
          <w:sz w:val="22"/>
          <w:szCs w:val="22"/>
        </w:rPr>
        <w:t>Operating systems, browsers, and installed software must be kept up to date. Security patches must not be deferred beyond the grace period configured by Cloudax.</w:t>
      </w:r>
    </w:p>
    <w:p>
      <w:pPr>
        <w:pStyle w:val="ListParagraph"/>
        <w:numPr>
          <w:ilvl w:val="0"/>
          <w:numId w:val="1"/>
        </w:numPr>
        <w:spacing w:lineRule="exact" w:line="280" w:before="40" w:after="40"/>
        <w:rPr/>
      </w:pPr>
      <w:r>
        <w:rPr>
          <w:rFonts w:eastAsia="Arial" w:cs="Arial"/>
          <w:color w:val="1A1A1A"/>
          <w:sz w:val="22"/>
          <w:szCs w:val="22"/>
        </w:rPr>
        <w:t>Endpoint protection, full-disk encryption, mobile device management (MDM), and other security controls must not be disabled, tampered with, or bypassed.</w:t>
      </w:r>
    </w:p>
    <w:p>
      <w:pPr>
        <w:pStyle w:val="ListParagraph"/>
        <w:numPr>
          <w:ilvl w:val="0"/>
          <w:numId w:val="1"/>
        </w:numPr>
        <w:spacing w:lineRule="exact" w:line="280" w:before="40" w:after="40"/>
        <w:rPr/>
      </w:pPr>
      <w:r>
        <w:rPr>
          <w:rFonts w:eastAsia="Arial" w:cs="Arial"/>
          <w:color w:val="1A1A1A"/>
          <w:sz w:val="22"/>
          <w:szCs w:val="22"/>
        </w:rPr>
        <w:t>Only software and services that have been approved for use may be installed. Unauthorised installation of software, browser extensions, or services is prohibited.</w:t>
      </w:r>
    </w:p>
    <w:p>
      <w:pPr>
        <w:pStyle w:val="ListParagraph"/>
        <w:numPr>
          <w:ilvl w:val="0"/>
          <w:numId w:val="1"/>
        </w:numPr>
        <w:spacing w:lineRule="exact" w:line="280" w:before="40" w:after="40"/>
        <w:rPr/>
      </w:pPr>
      <w:r>
        <w:rPr>
          <w:rFonts w:eastAsia="Arial" w:cs="Arial"/>
          <w:color w:val="1A1A1A"/>
          <w:sz w:val="22"/>
          <w:szCs w:val="22"/>
        </w:rPr>
        <w:t>Administrative rights are granted only where required by role. Users must not grant administrative rights to third parties, including family members.</w:t>
      </w:r>
    </w:p>
    <w:p>
      <w:pPr>
        <w:pStyle w:val="Heading2"/>
        <w:spacing w:before="280" w:after="140"/>
        <w:rPr/>
      </w:pPr>
      <w:r>
        <w:rPr>
          <w:rFonts w:eastAsia="Arial" w:cs="Arial" w:ascii="Arial" w:hAnsi="Arial"/>
          <w:b/>
          <w:bCs/>
          <w:color w:val="0000FF"/>
          <w:sz w:val="28"/>
          <w:szCs w:val="28"/>
        </w:rPr>
        <w:t>9.2 Bring Your Own Device (BYOD)</w:t>
      </w:r>
    </w:p>
    <w:p>
      <w:pPr>
        <w:pStyle w:val="Normal"/>
        <w:spacing w:lineRule="exact" w:line="300" w:before="80" w:after="120"/>
        <w:rPr/>
      </w:pPr>
      <w:r>
        <w:rPr>
          <w:rFonts w:eastAsia="Arial" w:cs="Arial"/>
          <w:color w:val="1A1A1A"/>
          <w:sz w:val="22"/>
          <w:szCs w:val="22"/>
        </w:rPr>
        <w:t>Use of personal devices for Cloudax work is permitted only where expressly authorised (for example, email and calendar access on a personal mobile enrolled in Cloudax MDM). Where authorised, the user must:</w:t>
      </w:r>
    </w:p>
    <w:p>
      <w:pPr>
        <w:pStyle w:val="ListParagraph"/>
        <w:numPr>
          <w:ilvl w:val="0"/>
          <w:numId w:val="1"/>
        </w:numPr>
        <w:spacing w:lineRule="exact" w:line="280" w:before="40" w:after="40"/>
        <w:rPr/>
      </w:pPr>
      <w:r>
        <w:rPr>
          <w:rFonts w:eastAsia="Arial" w:cs="Arial"/>
          <w:color w:val="1A1A1A"/>
          <w:sz w:val="22"/>
          <w:szCs w:val="22"/>
        </w:rPr>
        <w:t>Enrol the device in the approved management solution and accept the required security profile.</w:t>
      </w:r>
    </w:p>
    <w:p>
      <w:pPr>
        <w:pStyle w:val="ListParagraph"/>
        <w:numPr>
          <w:ilvl w:val="0"/>
          <w:numId w:val="1"/>
        </w:numPr>
        <w:spacing w:lineRule="exact" w:line="280" w:before="40" w:after="40"/>
        <w:rPr/>
      </w:pPr>
      <w:r>
        <w:rPr>
          <w:rFonts w:eastAsia="Arial" w:cs="Arial"/>
          <w:color w:val="1A1A1A"/>
          <w:sz w:val="22"/>
          <w:szCs w:val="22"/>
        </w:rPr>
        <w:t>Protect the device with a passcode or biometric lock, and enable full-device encryption.</w:t>
      </w:r>
    </w:p>
    <w:p>
      <w:pPr>
        <w:pStyle w:val="ListParagraph"/>
        <w:numPr>
          <w:ilvl w:val="0"/>
          <w:numId w:val="1"/>
        </w:numPr>
        <w:spacing w:lineRule="exact" w:line="280" w:before="40" w:after="40"/>
        <w:rPr/>
      </w:pPr>
      <w:r>
        <w:rPr>
          <w:rFonts w:eastAsia="Arial" w:cs="Arial"/>
          <w:color w:val="1A1A1A"/>
          <w:sz w:val="22"/>
          <w:szCs w:val="22"/>
        </w:rPr>
        <w:t>Keep the operating system and apps up to date.</w:t>
      </w:r>
    </w:p>
    <w:p>
      <w:pPr>
        <w:pStyle w:val="ListParagraph"/>
        <w:numPr>
          <w:ilvl w:val="0"/>
          <w:numId w:val="1"/>
        </w:numPr>
        <w:spacing w:lineRule="exact" w:line="280" w:before="40" w:after="40"/>
        <w:rPr/>
      </w:pPr>
      <w:r>
        <w:rPr>
          <w:rFonts w:eastAsia="Arial" w:cs="Arial"/>
          <w:color w:val="1A1A1A"/>
          <w:sz w:val="22"/>
          <w:szCs w:val="22"/>
        </w:rPr>
        <w:t>Not allow other persons, including household members, to access Cloudax apps or data on the device.</w:t>
      </w:r>
    </w:p>
    <w:p>
      <w:pPr>
        <w:pStyle w:val="ListParagraph"/>
        <w:numPr>
          <w:ilvl w:val="0"/>
          <w:numId w:val="1"/>
        </w:numPr>
        <w:spacing w:lineRule="exact" w:line="280" w:before="40" w:after="40"/>
        <w:rPr/>
      </w:pPr>
      <w:r>
        <w:rPr>
          <w:rFonts w:eastAsia="Arial" w:cs="Arial"/>
          <w:color w:val="1A1A1A"/>
          <w:sz w:val="22"/>
          <w:szCs w:val="22"/>
        </w:rPr>
        <w:t>Allow Cloudax to remotely wipe Cloudax data from the device in the event of loss, theft, or leaving the company.</w:t>
      </w:r>
    </w:p>
    <w:p>
      <w:pPr>
        <w:pStyle w:val="Heading2"/>
        <w:spacing w:before="280" w:after="140"/>
        <w:rPr/>
      </w:pPr>
      <w:r>
        <w:rPr>
          <w:rFonts w:eastAsia="Arial" w:cs="Arial" w:ascii="Arial" w:hAnsi="Arial"/>
          <w:b/>
          <w:bCs/>
          <w:color w:val="0000FF"/>
          <w:sz w:val="28"/>
          <w:szCs w:val="28"/>
        </w:rPr>
        <w:t>9.3 Removable media</w:t>
      </w:r>
    </w:p>
    <w:p>
      <w:pPr>
        <w:pStyle w:val="ListParagraph"/>
        <w:numPr>
          <w:ilvl w:val="0"/>
          <w:numId w:val="1"/>
        </w:numPr>
        <w:spacing w:lineRule="exact" w:line="280" w:before="40" w:after="40"/>
        <w:rPr/>
      </w:pPr>
      <w:r>
        <w:rPr>
          <w:rFonts w:eastAsia="Arial" w:cs="Arial"/>
          <w:color w:val="1A1A1A"/>
          <w:sz w:val="22"/>
          <w:szCs w:val="22"/>
        </w:rPr>
        <w:t>Use of removable media (USB drives, external disks, memory cards) for Cloudax information is discouraged. Approved cloud storage must be used wherever possible.</w:t>
      </w:r>
    </w:p>
    <w:p>
      <w:pPr>
        <w:pStyle w:val="ListParagraph"/>
        <w:numPr>
          <w:ilvl w:val="0"/>
          <w:numId w:val="1"/>
        </w:numPr>
        <w:spacing w:lineRule="exact" w:line="280" w:before="40" w:after="40"/>
        <w:rPr/>
      </w:pPr>
      <w:r>
        <w:rPr>
          <w:rFonts w:eastAsia="Arial" w:cs="Arial"/>
          <w:color w:val="1A1A1A"/>
          <w:sz w:val="22"/>
          <w:szCs w:val="22"/>
        </w:rPr>
        <w:t>Where removable media is unavoidable, it must be hardware- or software-encrypted using an approved method, and wiped when no longer required.</w:t>
      </w:r>
    </w:p>
    <w:p>
      <w:pPr>
        <w:pStyle w:val="Heading2"/>
        <w:spacing w:before="280" w:after="140"/>
        <w:rPr/>
      </w:pPr>
      <w:r>
        <w:rPr>
          <w:rFonts w:eastAsia="Arial" w:cs="Arial" w:ascii="Arial" w:hAnsi="Arial"/>
          <w:b/>
          <w:bCs/>
          <w:color w:val="0000FF"/>
          <w:sz w:val="28"/>
          <w:szCs w:val="28"/>
        </w:rPr>
        <w:t>9.4 Asset return</w:t>
      </w:r>
    </w:p>
    <w:p>
      <w:pPr>
        <w:pStyle w:val="ListParagraph"/>
        <w:numPr>
          <w:ilvl w:val="0"/>
          <w:numId w:val="1"/>
        </w:numPr>
        <w:spacing w:lineRule="exact" w:line="280" w:before="40" w:after="40"/>
        <w:rPr/>
      </w:pPr>
      <w:r>
        <w:rPr>
          <w:rFonts w:eastAsia="Arial" w:cs="Arial"/>
          <w:color w:val="1A1A1A"/>
          <w:sz w:val="22"/>
          <w:szCs w:val="22"/>
        </w:rPr>
        <w:t>All Cloudax-issued devices, tokens, access cards, and removable media must be returned on termination of employment or engagement, or on request.</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A.5.9 Inventory of assets; A.5.10 Acceptable use; A.5.11 Return of assets; A.7.9 Security of assets off-premises; A.7.10 Storage media; A.8.1 User endpoint devices; A.8.7 Protection against malware; A.8.8 Management of technical vulnerabilities; A.8.9 Configuration management; A.8.10 Information deletion; A.8.19 Installation of software on operational systems</w:t>
      </w:r>
    </w:p>
    <w:p>
      <w:pPr>
        <w:pStyle w:val="Heading1"/>
        <w:spacing w:before="360" w:after="180"/>
        <w:rPr/>
      </w:pPr>
      <w:r>
        <w:rPr>
          <w:rFonts w:eastAsia="Arial" w:cs="Arial" w:ascii="Arial" w:hAnsi="Arial"/>
          <w:b/>
          <w:bCs/>
          <w:color w:val="0000FF"/>
          <w:sz w:val="36"/>
          <w:szCs w:val="36"/>
        </w:rPr>
        <w:t>10. Use of Cloudax Facilities (Shared Manchester Workspace)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operates from a shared workspace in central Manchester. The multi-tenant nature of this environment introduces specific physical and environmental risks that users must actively manage.</w:t>
      </w:r>
    </w:p>
    <w:p>
      <w:pPr>
        <w:pStyle w:val="Heading2"/>
        <w:spacing w:before="280" w:after="140"/>
        <w:rPr/>
      </w:pPr>
      <w:r>
        <w:rPr>
          <w:rFonts w:eastAsia="Arial" w:cs="Arial" w:ascii="Arial" w:hAnsi="Arial"/>
          <w:b/>
          <w:bCs/>
          <w:color w:val="0000FF"/>
          <w:sz w:val="28"/>
          <w:szCs w:val="28"/>
        </w:rPr>
        <w:t>10.1 Screen and information visibility</w:t>
      </w:r>
    </w:p>
    <w:p>
      <w:pPr>
        <w:pStyle w:val="ListParagraph"/>
        <w:numPr>
          <w:ilvl w:val="0"/>
          <w:numId w:val="1"/>
        </w:numPr>
        <w:spacing w:lineRule="exact" w:line="280" w:before="40" w:after="40"/>
        <w:rPr/>
      </w:pPr>
      <w:r>
        <w:rPr>
          <w:rFonts w:eastAsia="Arial" w:cs="Arial"/>
          <w:color w:val="1A1A1A"/>
          <w:sz w:val="22"/>
          <w:szCs w:val="22"/>
        </w:rPr>
        <w:t>Users must position screens so that information cannot be read by unauthorised persons, particularly when working on Confidential or Restricted information.</w:t>
      </w:r>
    </w:p>
    <w:p>
      <w:pPr>
        <w:pStyle w:val="ListParagraph"/>
        <w:numPr>
          <w:ilvl w:val="0"/>
          <w:numId w:val="1"/>
        </w:numPr>
        <w:spacing w:lineRule="exact" w:line="280" w:before="40" w:after="40"/>
        <w:rPr/>
      </w:pPr>
      <w:r>
        <w:rPr>
          <w:rFonts w:eastAsia="Arial" w:cs="Arial"/>
          <w:color w:val="1A1A1A"/>
          <w:sz w:val="22"/>
          <w:szCs w:val="22"/>
        </w:rPr>
        <w:t>Privacy filters must be used on any Cloudax-issued device that is regularly used in the shared workspace or in other shared or public environments.</w:t>
      </w:r>
    </w:p>
    <w:p>
      <w:pPr>
        <w:pStyle w:val="ListParagraph"/>
        <w:numPr>
          <w:ilvl w:val="0"/>
          <w:numId w:val="1"/>
        </w:numPr>
        <w:spacing w:lineRule="exact" w:line="280" w:before="40" w:after="40"/>
        <w:rPr/>
      </w:pPr>
      <w:r>
        <w:rPr>
          <w:rFonts w:eastAsia="Arial" w:cs="Arial"/>
          <w:color w:val="1A1A1A"/>
          <w:sz w:val="22"/>
          <w:szCs w:val="22"/>
        </w:rPr>
        <w:t>Devices must be locked whenever left unattended, including for short absences from a desk.</w:t>
      </w:r>
    </w:p>
    <w:p>
      <w:pPr>
        <w:pStyle w:val="ListParagraph"/>
        <w:numPr>
          <w:ilvl w:val="0"/>
          <w:numId w:val="1"/>
        </w:numPr>
        <w:spacing w:lineRule="exact" w:line="280" w:before="40" w:after="40"/>
        <w:rPr/>
      </w:pPr>
      <w:r>
        <w:rPr>
          <w:rFonts w:eastAsia="Arial" w:cs="Arial"/>
          <w:color w:val="1A1A1A"/>
          <w:sz w:val="22"/>
          <w:szCs w:val="22"/>
        </w:rPr>
        <w:t>Cloudax-issued devices, access cards, notebooks, and removable media must not be left unattended in communal or unsecured areas.</w:t>
      </w:r>
    </w:p>
    <w:p>
      <w:pPr>
        <w:pStyle w:val="Heading2"/>
        <w:spacing w:before="280" w:after="140"/>
        <w:rPr/>
      </w:pPr>
      <w:r>
        <w:rPr>
          <w:rFonts w:eastAsia="Arial" w:cs="Arial" w:ascii="Arial" w:hAnsi="Arial"/>
          <w:b/>
          <w:bCs/>
          <w:color w:val="0000FF"/>
          <w:sz w:val="28"/>
          <w:szCs w:val="28"/>
        </w:rPr>
        <w:t>10.2 Voice, video, and calls</w:t>
      </w:r>
    </w:p>
    <w:p>
      <w:pPr>
        <w:pStyle w:val="ListParagraph"/>
        <w:numPr>
          <w:ilvl w:val="0"/>
          <w:numId w:val="1"/>
        </w:numPr>
        <w:spacing w:lineRule="exact" w:line="280" w:before="40" w:after="40"/>
        <w:rPr/>
      </w:pPr>
      <w:r>
        <w:rPr>
          <w:rFonts w:eastAsia="Arial" w:cs="Arial"/>
          <w:color w:val="1A1A1A"/>
          <w:sz w:val="22"/>
          <w:szCs w:val="22"/>
        </w:rPr>
        <w:t>Calls involving Confidential or Restricted information, personal data, or commercial matters must be taken in a private booth or meeting room, not at open desks.</w:t>
      </w:r>
    </w:p>
    <w:p>
      <w:pPr>
        <w:pStyle w:val="ListParagraph"/>
        <w:numPr>
          <w:ilvl w:val="0"/>
          <w:numId w:val="1"/>
        </w:numPr>
        <w:spacing w:lineRule="exact" w:line="280" w:before="40" w:after="40"/>
        <w:rPr/>
      </w:pPr>
      <w:r>
        <w:rPr>
          <w:rFonts w:eastAsia="Arial" w:cs="Arial"/>
          <w:color w:val="1A1A1A"/>
          <w:sz w:val="22"/>
          <w:szCs w:val="22"/>
        </w:rPr>
        <w:t>Headphones must be used for any call involving confidential matters, and for any demonstration or playback of customer voice recordings, transcripts, or conversational AI interactions.</w:t>
      </w:r>
    </w:p>
    <w:p>
      <w:pPr>
        <w:pStyle w:val="ListParagraph"/>
        <w:numPr>
          <w:ilvl w:val="0"/>
          <w:numId w:val="1"/>
        </w:numPr>
        <w:spacing w:lineRule="exact" w:line="280" w:before="40" w:after="40"/>
        <w:rPr/>
      </w:pPr>
      <w:r>
        <w:rPr>
          <w:rFonts w:eastAsia="Arial" w:cs="Arial"/>
          <w:color w:val="1A1A1A"/>
          <w:sz w:val="22"/>
          <w:szCs w:val="22"/>
        </w:rPr>
        <w:t>Product demonstrations must not expose customer voices, transcripts, or other identifiable information in shared areas.</w:t>
      </w:r>
    </w:p>
    <w:p>
      <w:pPr>
        <w:pStyle w:val="Heading2"/>
        <w:spacing w:before="280" w:after="140"/>
        <w:rPr/>
      </w:pPr>
      <w:r>
        <w:rPr>
          <w:rFonts w:eastAsia="Arial" w:cs="Arial" w:ascii="Arial" w:hAnsi="Arial"/>
          <w:b/>
          <w:bCs/>
          <w:color w:val="0000FF"/>
          <w:sz w:val="28"/>
          <w:szCs w:val="28"/>
        </w:rPr>
        <w:t>10.3 Clean desk and clear screen</w:t>
      </w:r>
    </w:p>
    <w:p>
      <w:pPr>
        <w:pStyle w:val="ListParagraph"/>
        <w:numPr>
          <w:ilvl w:val="0"/>
          <w:numId w:val="1"/>
        </w:numPr>
        <w:spacing w:lineRule="exact" w:line="280" w:before="40" w:after="40"/>
        <w:rPr/>
      </w:pPr>
      <w:r>
        <w:rPr>
          <w:rFonts w:eastAsia="Arial" w:cs="Arial"/>
          <w:color w:val="1A1A1A"/>
          <w:sz w:val="22"/>
          <w:szCs w:val="22"/>
        </w:rPr>
        <w:t>At the end of each working day, and whenever the workspace is vacated for an extended period, desks must be cleared of papers, notebooks, whiteboard notes, and removable media containing Cloudax or customer information.</w:t>
      </w:r>
    </w:p>
    <w:p>
      <w:pPr>
        <w:pStyle w:val="ListParagraph"/>
        <w:numPr>
          <w:ilvl w:val="0"/>
          <w:numId w:val="1"/>
        </w:numPr>
        <w:spacing w:lineRule="exact" w:line="280" w:before="40" w:after="40"/>
        <w:rPr/>
      </w:pPr>
      <w:r>
        <w:rPr>
          <w:rFonts w:eastAsia="Arial" w:cs="Arial"/>
          <w:color w:val="1A1A1A"/>
          <w:sz w:val="22"/>
          <w:szCs w:val="22"/>
        </w:rPr>
        <w:t>Confidential paper must be disposed of in the designated secure shredding facility. Where secure shredding is not available at the workspace, confidential paper must be returned to a Cloudax-controlled location for secure destruction. Confidential paper must never be disposed of in general waste or general recycling.</w:t>
      </w:r>
    </w:p>
    <w:p>
      <w:pPr>
        <w:pStyle w:val="ListParagraph"/>
        <w:numPr>
          <w:ilvl w:val="0"/>
          <w:numId w:val="1"/>
        </w:numPr>
        <w:spacing w:lineRule="exact" w:line="280" w:before="40" w:after="40"/>
        <w:rPr/>
      </w:pPr>
      <w:r>
        <w:rPr>
          <w:rFonts w:eastAsia="Arial" w:cs="Arial"/>
          <w:color w:val="1A1A1A"/>
          <w:sz w:val="22"/>
          <w:szCs w:val="22"/>
        </w:rPr>
        <w:t>Whiteboards must be wiped at the end of meetings and before any shared meeting room is vacated.</w:t>
      </w:r>
    </w:p>
    <w:p>
      <w:pPr>
        <w:pStyle w:val="Heading2"/>
        <w:spacing w:before="280" w:after="140"/>
        <w:rPr/>
      </w:pPr>
      <w:r>
        <w:rPr>
          <w:rFonts w:eastAsia="Arial" w:cs="Arial" w:ascii="Arial" w:hAnsi="Arial"/>
          <w:b/>
          <w:bCs/>
          <w:color w:val="0000FF"/>
          <w:sz w:val="28"/>
          <w:szCs w:val="28"/>
        </w:rPr>
        <w:t>10.4 Printing and paper handling</w:t>
      </w:r>
    </w:p>
    <w:p>
      <w:pPr>
        <w:pStyle w:val="ListParagraph"/>
        <w:numPr>
          <w:ilvl w:val="0"/>
          <w:numId w:val="1"/>
        </w:numPr>
        <w:spacing w:lineRule="exact" w:line="280" w:before="40" w:after="40"/>
        <w:rPr/>
      </w:pPr>
      <w:r>
        <w:rPr>
          <w:rFonts w:eastAsia="Arial" w:cs="Arial"/>
          <w:color w:val="1A1A1A"/>
          <w:sz w:val="22"/>
          <w:szCs w:val="22"/>
        </w:rPr>
        <w:t>Printing must be avoided wherever reasonably possible.</w:t>
      </w:r>
    </w:p>
    <w:p>
      <w:pPr>
        <w:pStyle w:val="ListParagraph"/>
        <w:numPr>
          <w:ilvl w:val="0"/>
          <w:numId w:val="1"/>
        </w:numPr>
        <w:spacing w:lineRule="exact" w:line="280" w:before="40" w:after="40"/>
        <w:rPr/>
      </w:pPr>
      <w:r>
        <w:rPr>
          <w:rFonts w:eastAsia="Arial" w:cs="Arial"/>
          <w:color w:val="1A1A1A"/>
          <w:sz w:val="22"/>
          <w:szCs w:val="22"/>
        </w:rPr>
        <w:t>Where printing is required, secure-release or equivalent functionality must be used where available, and output collected immediately.</w:t>
      </w:r>
    </w:p>
    <w:p>
      <w:pPr>
        <w:pStyle w:val="ListParagraph"/>
        <w:numPr>
          <w:ilvl w:val="0"/>
          <w:numId w:val="1"/>
        </w:numPr>
        <w:spacing w:lineRule="exact" w:line="280" w:before="40" w:after="40"/>
        <w:rPr/>
      </w:pPr>
      <w:r>
        <w:rPr>
          <w:rFonts w:eastAsia="Arial" w:cs="Arial"/>
          <w:color w:val="1A1A1A"/>
          <w:sz w:val="22"/>
          <w:szCs w:val="22"/>
        </w:rPr>
        <w:t>Printed Confidential or Restricted information must not be left at the printer or in unsecured trays.</w:t>
      </w:r>
    </w:p>
    <w:p>
      <w:pPr>
        <w:pStyle w:val="Heading2"/>
        <w:spacing w:before="280" w:after="140"/>
        <w:rPr/>
      </w:pPr>
      <w:r>
        <w:rPr>
          <w:rFonts w:eastAsia="Arial" w:cs="Arial" w:ascii="Arial" w:hAnsi="Arial"/>
          <w:b/>
          <w:bCs/>
          <w:color w:val="0000FF"/>
          <w:sz w:val="28"/>
          <w:szCs w:val="28"/>
        </w:rPr>
        <w:t>10.5 Visitors, access, and tailgating</w:t>
      </w:r>
    </w:p>
    <w:p>
      <w:pPr>
        <w:pStyle w:val="ListParagraph"/>
        <w:numPr>
          <w:ilvl w:val="0"/>
          <w:numId w:val="1"/>
        </w:numPr>
        <w:spacing w:lineRule="exact" w:line="280" w:before="40" w:after="40"/>
        <w:rPr/>
      </w:pPr>
      <w:r>
        <w:rPr>
          <w:rFonts w:eastAsia="Arial" w:cs="Arial"/>
          <w:color w:val="1A1A1A"/>
          <w:sz w:val="22"/>
          <w:szCs w:val="22"/>
        </w:rPr>
        <w:t>Users must not hold doors open for, or permit tailgating by, unknown persons into secured areas.</w:t>
      </w:r>
    </w:p>
    <w:p>
      <w:pPr>
        <w:pStyle w:val="ListParagraph"/>
        <w:numPr>
          <w:ilvl w:val="0"/>
          <w:numId w:val="1"/>
        </w:numPr>
        <w:spacing w:lineRule="exact" w:line="280" w:before="40" w:after="40"/>
        <w:rPr/>
      </w:pPr>
      <w:r>
        <w:rPr>
          <w:rFonts w:eastAsia="Arial" w:cs="Arial"/>
          <w:color w:val="1A1A1A"/>
          <w:sz w:val="22"/>
          <w:szCs w:val="22"/>
        </w:rPr>
        <w:t>Cloudax visitors must be signed in at reception in accordance with the workspace operator’s procedures, met and escorted by their Cloudax host, and must not be left unattended with Cloudax assets.</w:t>
      </w:r>
    </w:p>
    <w:p>
      <w:pPr>
        <w:pStyle w:val="ListParagraph"/>
        <w:numPr>
          <w:ilvl w:val="0"/>
          <w:numId w:val="1"/>
        </w:numPr>
        <w:spacing w:lineRule="exact" w:line="280" w:before="40" w:after="40"/>
        <w:rPr/>
      </w:pPr>
      <w:r>
        <w:rPr>
          <w:rFonts w:eastAsia="Arial" w:cs="Arial"/>
          <w:color w:val="1A1A1A"/>
          <w:sz w:val="22"/>
          <w:szCs w:val="22"/>
        </w:rPr>
        <w:t>Users who observe unescorted visitors or unauthorised access attempts must challenge politely where safe to do so, or report the matter to workspace reception and the Information Security Lead.</w:t>
      </w:r>
    </w:p>
    <w:p>
      <w:pPr>
        <w:pStyle w:val="ListParagraph"/>
        <w:numPr>
          <w:ilvl w:val="0"/>
          <w:numId w:val="1"/>
        </w:numPr>
        <w:spacing w:lineRule="exact" w:line="280" w:before="40" w:after="40"/>
        <w:rPr/>
      </w:pPr>
      <w:r>
        <w:rPr>
          <w:rFonts w:eastAsia="Arial" w:cs="Arial"/>
          <w:color w:val="1A1A1A"/>
          <w:sz w:val="22"/>
          <w:szCs w:val="22"/>
        </w:rPr>
        <w:t>Access credentials (cards, fobs, codes) must not be shared. Lost or stolen access credentials must be reported immediately.</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A.7.1 Physical security perimeters; A.7.2 Physical entry; A.7.3 Securing offices, rooms, and facilities; A.7.4 Physical security monitoring; A.7.6 Working in secure areas; A.7.7 Clear desk and clear screen; A.7.8 Equipment siting and protection; A.7.10 Storage media; A.7.14 Secure disposal or re-use of equipment</w:t>
      </w:r>
    </w:p>
    <w:p>
      <w:pPr>
        <w:pStyle w:val="Heading1"/>
        <w:spacing w:before="360" w:after="180"/>
        <w:rPr/>
      </w:pPr>
      <w:r>
        <w:rPr>
          <w:rFonts w:eastAsia="Arial" w:cs="Arial" w:ascii="Arial" w:hAnsi="Arial"/>
          <w:b/>
          <w:bCs/>
          <w:color w:val="0000FF"/>
          <w:sz w:val="36"/>
          <w:szCs w:val="36"/>
        </w:rPr>
        <w:t>11. Remote, Hybrid, and Travel Working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operates a hybrid working model. The requirements of this Policy apply equally at home, at customer and partner sites, in public spaces, and during travel.</w:t>
      </w:r>
    </w:p>
    <w:p>
      <w:pPr>
        <w:pStyle w:val="Heading2"/>
        <w:spacing w:before="280" w:after="140"/>
        <w:rPr/>
      </w:pPr>
      <w:r>
        <w:rPr>
          <w:rFonts w:eastAsia="Arial" w:cs="Arial" w:ascii="Arial" w:hAnsi="Arial"/>
          <w:b/>
          <w:bCs/>
          <w:color w:val="0000FF"/>
          <w:sz w:val="28"/>
          <w:szCs w:val="28"/>
        </w:rPr>
        <w:t>11.1 Home working</w:t>
      </w:r>
    </w:p>
    <w:p>
      <w:pPr>
        <w:pStyle w:val="ListParagraph"/>
        <w:numPr>
          <w:ilvl w:val="0"/>
          <w:numId w:val="1"/>
        </w:numPr>
        <w:spacing w:lineRule="exact" w:line="280" w:before="40" w:after="40"/>
        <w:rPr/>
      </w:pPr>
      <w:r>
        <w:rPr>
          <w:rFonts w:eastAsia="Arial" w:cs="Arial"/>
          <w:color w:val="1A1A1A"/>
          <w:sz w:val="22"/>
          <w:szCs w:val="22"/>
        </w:rPr>
        <w:t>Users must work in a location where screens cannot be readily observed by others and where calls cannot be overheard by unauthorised persons.</w:t>
      </w:r>
    </w:p>
    <w:p>
      <w:pPr>
        <w:pStyle w:val="ListParagraph"/>
        <w:numPr>
          <w:ilvl w:val="0"/>
          <w:numId w:val="1"/>
        </w:numPr>
        <w:spacing w:lineRule="exact" w:line="280" w:before="40" w:after="40"/>
        <w:rPr/>
      </w:pPr>
      <w:r>
        <w:rPr>
          <w:rFonts w:eastAsia="Arial" w:cs="Arial"/>
          <w:color w:val="1A1A1A"/>
          <w:sz w:val="22"/>
          <w:szCs w:val="22"/>
        </w:rPr>
        <w:t>Cloudax devices, access credentials, and paper information must be kept out of reach of other persons in the home, including household members and visitors.</w:t>
      </w:r>
    </w:p>
    <w:p>
      <w:pPr>
        <w:pStyle w:val="ListParagraph"/>
        <w:numPr>
          <w:ilvl w:val="0"/>
          <w:numId w:val="1"/>
        </w:numPr>
        <w:spacing w:lineRule="exact" w:line="280" w:before="40" w:after="40"/>
        <w:rPr/>
      </w:pPr>
      <w:r>
        <w:rPr>
          <w:rFonts w:eastAsia="Arial" w:cs="Arial"/>
          <w:color w:val="1A1A1A"/>
          <w:sz w:val="22"/>
          <w:szCs w:val="22"/>
        </w:rPr>
        <w:t>Cloudax accounts must not be accessed by anyone other than the assigned user.</w:t>
      </w:r>
    </w:p>
    <w:p>
      <w:pPr>
        <w:pStyle w:val="ListParagraph"/>
        <w:numPr>
          <w:ilvl w:val="0"/>
          <w:numId w:val="1"/>
        </w:numPr>
        <w:spacing w:lineRule="exact" w:line="280" w:before="40" w:after="40"/>
        <w:rPr/>
      </w:pPr>
      <w:r>
        <w:rPr>
          <w:rFonts w:eastAsia="Arial" w:cs="Arial"/>
          <w:color w:val="1A1A1A"/>
          <w:sz w:val="22"/>
          <w:szCs w:val="22"/>
        </w:rPr>
        <w:t>Home Wi-Fi must be secured with WPA2 or WPA3 encryption and a unique strong password; the default router administrator password must be changed.</w:t>
      </w:r>
    </w:p>
    <w:p>
      <w:pPr>
        <w:pStyle w:val="Heading2"/>
        <w:spacing w:before="280" w:after="140"/>
        <w:rPr/>
      </w:pPr>
      <w:r>
        <w:rPr>
          <w:rFonts w:eastAsia="Arial" w:cs="Arial" w:ascii="Arial" w:hAnsi="Arial"/>
          <w:b/>
          <w:bCs/>
          <w:color w:val="0000FF"/>
          <w:sz w:val="28"/>
          <w:szCs w:val="28"/>
        </w:rPr>
        <w:t>11.2 Public spaces and travel</w:t>
      </w:r>
    </w:p>
    <w:p>
      <w:pPr>
        <w:pStyle w:val="ListParagraph"/>
        <w:numPr>
          <w:ilvl w:val="0"/>
          <w:numId w:val="1"/>
        </w:numPr>
        <w:spacing w:lineRule="exact" w:line="280" w:before="40" w:after="40"/>
        <w:rPr/>
      </w:pPr>
      <w:r>
        <w:rPr>
          <w:rFonts w:eastAsia="Arial" w:cs="Arial"/>
          <w:color w:val="1A1A1A"/>
          <w:sz w:val="22"/>
          <w:szCs w:val="22"/>
        </w:rPr>
        <w:t>Users must avoid working on Confidential or Restricted information in public spaces where observation is likely.</w:t>
      </w:r>
    </w:p>
    <w:p>
      <w:pPr>
        <w:pStyle w:val="ListParagraph"/>
        <w:numPr>
          <w:ilvl w:val="0"/>
          <w:numId w:val="1"/>
        </w:numPr>
        <w:spacing w:lineRule="exact" w:line="280" w:before="40" w:after="40"/>
        <w:rPr/>
      </w:pPr>
      <w:r>
        <w:rPr>
          <w:rFonts w:eastAsia="Arial" w:cs="Arial"/>
          <w:color w:val="1A1A1A"/>
          <w:sz w:val="22"/>
          <w:szCs w:val="22"/>
        </w:rPr>
        <w:t>Untrusted public Wi-Fi must not be used without the approved corporate VPN. Personal mobile hotspots are preferred over untrusted networks.</w:t>
      </w:r>
    </w:p>
    <w:p>
      <w:pPr>
        <w:pStyle w:val="ListParagraph"/>
        <w:numPr>
          <w:ilvl w:val="0"/>
          <w:numId w:val="1"/>
        </w:numPr>
        <w:spacing w:lineRule="exact" w:line="280" w:before="40" w:after="40"/>
        <w:rPr/>
      </w:pPr>
      <w:r>
        <w:rPr>
          <w:rFonts w:eastAsia="Arial" w:cs="Arial"/>
          <w:color w:val="1A1A1A"/>
          <w:sz w:val="22"/>
          <w:szCs w:val="22"/>
        </w:rPr>
        <w:t>Devices must not be left unattended in public places, vehicles, or hotel rooms. Hotel safes should be used to store devices where available.</w:t>
      </w:r>
    </w:p>
    <w:p>
      <w:pPr>
        <w:pStyle w:val="ListParagraph"/>
        <w:numPr>
          <w:ilvl w:val="0"/>
          <w:numId w:val="1"/>
        </w:numPr>
        <w:spacing w:lineRule="exact" w:line="280" w:before="40" w:after="40"/>
        <w:rPr/>
      </w:pPr>
      <w:r>
        <w:rPr>
          <w:rFonts w:eastAsia="Arial" w:cs="Arial"/>
          <w:color w:val="1A1A1A"/>
          <w:sz w:val="22"/>
          <w:szCs w:val="22"/>
        </w:rPr>
        <w:t>Loss, theft, or suspected compromise of a device or credential must be reported immediately, day or night, in line with section 18.</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A.6.7 Remote working; A.7.9 Security of assets off-premises; A.8.1 User endpoint devices; A.8.20 Network security; A.8.21 Security of network services; A.8.22 Segregation of networks</w:t>
      </w:r>
    </w:p>
    <w:p>
      <w:pPr>
        <w:pStyle w:val="Heading1"/>
        <w:spacing w:before="360" w:after="180"/>
        <w:rPr/>
      </w:pPr>
      <w:r>
        <w:rPr>
          <w:rFonts w:eastAsia="Arial" w:cs="Arial" w:ascii="Arial" w:hAnsi="Arial"/>
          <w:b/>
          <w:bCs/>
          <w:color w:val="0000FF"/>
          <w:sz w:val="36"/>
          <w:szCs w:val="36"/>
        </w:rPr>
        <w:t>12. Communications, Email, and Messaging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Only Cloudax-issued email and approved messaging platforms may be used for Cloudax communications.</w:t>
      </w:r>
    </w:p>
    <w:p>
      <w:pPr>
        <w:pStyle w:val="ListParagraph"/>
        <w:numPr>
          <w:ilvl w:val="0"/>
          <w:numId w:val="1"/>
        </w:numPr>
        <w:spacing w:lineRule="exact" w:line="280" w:before="40" w:after="40"/>
        <w:rPr/>
      </w:pPr>
      <w:r>
        <w:rPr>
          <w:rFonts w:eastAsia="Arial" w:cs="Arial"/>
          <w:color w:val="1A1A1A"/>
          <w:sz w:val="22"/>
          <w:szCs w:val="22"/>
        </w:rPr>
        <w:t>Users must communicate professionally and assume that messages may be disclosed in legal, regulatory, or subject access contexts.</w:t>
      </w:r>
    </w:p>
    <w:p>
      <w:pPr>
        <w:pStyle w:val="ListParagraph"/>
        <w:numPr>
          <w:ilvl w:val="0"/>
          <w:numId w:val="1"/>
        </w:numPr>
        <w:spacing w:lineRule="exact" w:line="280" w:before="40" w:after="40"/>
        <w:rPr/>
      </w:pPr>
      <w:r>
        <w:rPr>
          <w:rFonts w:eastAsia="Arial" w:cs="Arial"/>
          <w:color w:val="1A1A1A"/>
          <w:sz w:val="22"/>
          <w:szCs w:val="22"/>
        </w:rPr>
        <w:t>Users must verify recipients before sending. Confidential or Restricted information must not be sent to personal email addresses, unapproved services, or outside approved collaboration channels.</w:t>
      </w:r>
    </w:p>
    <w:p>
      <w:pPr>
        <w:pStyle w:val="ListParagraph"/>
        <w:numPr>
          <w:ilvl w:val="0"/>
          <w:numId w:val="1"/>
        </w:numPr>
        <w:spacing w:lineRule="exact" w:line="280" w:before="40" w:after="40"/>
        <w:rPr/>
      </w:pPr>
      <w:r>
        <w:rPr>
          <w:rFonts w:eastAsia="Arial" w:cs="Arial"/>
          <w:color w:val="1A1A1A"/>
          <w:sz w:val="22"/>
          <w:szCs w:val="22"/>
        </w:rPr>
        <w:t>Users must be alert to phishing, smishing, vishing, and business email compromise. Suspicious messages must be reported using the “Report Phishing” function or by forwarding to the designated security mailbox.</w:t>
      </w:r>
    </w:p>
    <w:p>
      <w:pPr>
        <w:pStyle w:val="ListParagraph"/>
        <w:numPr>
          <w:ilvl w:val="0"/>
          <w:numId w:val="1"/>
        </w:numPr>
        <w:spacing w:lineRule="exact" w:line="280" w:before="40" w:after="40"/>
        <w:rPr/>
      </w:pPr>
      <w:r>
        <w:rPr>
          <w:rFonts w:eastAsia="Arial" w:cs="Arial"/>
          <w:color w:val="1A1A1A"/>
          <w:sz w:val="22"/>
          <w:szCs w:val="22"/>
        </w:rPr>
        <w:t>Credentials, MFA codes, payment details, and other sensitive information must never be provided in response to an unsolicited message, regardless of apparent sender identity.</w:t>
      </w:r>
    </w:p>
    <w:p>
      <w:pPr>
        <w:pStyle w:val="ListParagraph"/>
        <w:numPr>
          <w:ilvl w:val="0"/>
          <w:numId w:val="1"/>
        </w:numPr>
        <w:spacing w:lineRule="exact" w:line="280" w:before="40" w:after="40"/>
        <w:rPr/>
      </w:pPr>
      <w:r>
        <w:rPr>
          <w:rFonts w:eastAsia="Arial" w:cs="Arial"/>
          <w:color w:val="1A1A1A"/>
          <w:sz w:val="22"/>
          <w:szCs w:val="22"/>
        </w:rPr>
        <w:t>Out-of-band verification must be used before acting on unusual or urgent requests relating to payments, credentials, or changes to supplier details.</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A.5.14 Information transfer; A.6.3 Information security awareness, education, and training; A.8.20 Network security; A.8.23 Web filtering</w:t>
      </w:r>
    </w:p>
    <w:p>
      <w:pPr>
        <w:pStyle w:val="Heading1"/>
        <w:spacing w:before="360" w:after="180"/>
        <w:rPr/>
      </w:pPr>
      <w:r>
        <w:rPr>
          <w:rFonts w:eastAsia="Arial" w:cs="Arial" w:ascii="Arial" w:hAnsi="Arial"/>
          <w:b/>
          <w:bCs/>
          <w:color w:val="0000FF"/>
          <w:sz w:val="36"/>
          <w:szCs w:val="36"/>
        </w:rPr>
        <w:t>13. Information Classification and Handling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information used or produced by Cloudax is classified and handled in accordance with the Information Classification and Handling Procedure. Classification levels in use are:</w:t>
      </w:r>
    </w:p>
    <w:tbl>
      <w:tblPr>
        <w:tblW w:w="9026" w:type="dxa"/>
        <w:jc w:val="start"/>
        <w:tblInd w:w="0" w:type="dxa"/>
        <w:tblLayout w:type="fixed"/>
        <w:tblCellMar>
          <w:top w:w="120" w:type="dxa"/>
          <w:start w:w="160" w:type="dxa"/>
          <w:bottom w:w="120" w:type="dxa"/>
          <w:end w:w="160" w:type="dxa"/>
        </w:tblCellMar>
      </w:tblPr>
      <w:tblGrid>
        <w:gridCol w:w="1699"/>
        <w:gridCol w:w="3500"/>
        <w:gridCol w:w="3827"/>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pacing w:val="40"/>
                <w:sz w:val="20"/>
                <w:szCs w:val="20"/>
              </w:rPr>
              <w:t>LEVEL</w:t>
            </w:r>
          </w:p>
        </w:tc>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pacing w:val="40"/>
                <w:sz w:val="20"/>
                <w:szCs w:val="20"/>
              </w:rPr>
              <w:t>DESCRIPTION</w:t>
            </w:r>
          </w:p>
        </w:tc>
        <w:tc>
          <w:tcPr>
            <w:tcW w:w="38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pacing w:val="40"/>
                <w:sz w:val="20"/>
                <w:szCs w:val="20"/>
              </w:rPr>
              <w:t>EXAMPLES</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0000FF"/>
                <w:sz w:val="22"/>
                <w:szCs w:val="22"/>
              </w:rPr>
              <w:t>Public</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Information approved for unrestricted disclosure.</w:t>
            </w:r>
          </w:p>
        </w:tc>
        <w:tc>
          <w:tcPr>
            <w:tcW w:w="38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Published marketing content, public website pages, press releases.</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0000FF"/>
                <w:sz w:val="22"/>
                <w:szCs w:val="22"/>
              </w:rPr>
              <w:t>Internal</w:t>
            </w:r>
          </w:p>
        </w:tc>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Information intended for use within Cloudax and by authorised third parties.</w:t>
            </w:r>
          </w:p>
        </w:tc>
        <w:tc>
          <w:tcPr>
            <w:tcW w:w="38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Internal announcements, general policies, non-sensitive project information.</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0000FF"/>
                <w:sz w:val="22"/>
                <w:szCs w:val="22"/>
              </w:rPr>
              <w:t>Confidential</w:t>
            </w:r>
          </w:p>
        </w:tc>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Information where unauthorised disclosure would cause material harm to Cloudax or its customers.</w:t>
            </w:r>
          </w:p>
        </w:tc>
        <w:tc>
          <w:tcPr>
            <w:tcW w:w="38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2"/>
                <w:szCs w:val="22"/>
              </w:rPr>
              <w:t>Customer contracts, commercial terms, non-public roadmap, most customer data.</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0000FF"/>
                <w:sz w:val="22"/>
                <w:szCs w:val="22"/>
              </w:rPr>
              <w:t>Restricted</w:t>
            </w:r>
          </w:p>
        </w:tc>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Information where unauthorised disclosure would cause serious harm. Strictly limited distribution.</w:t>
            </w:r>
          </w:p>
        </w:tc>
        <w:tc>
          <w:tcPr>
            <w:tcW w:w="38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2"/>
                <w:szCs w:val="22"/>
              </w:rPr>
              <w:t>Credentials, encryption keys, production call recordings, sensitive personal data, security incident details.</w:t>
            </w:r>
          </w:p>
        </w:tc>
      </w:tr>
    </w:tbl>
    <w:p>
      <w:pPr>
        <w:pStyle w:val="Normal"/>
        <w:spacing w:before="60" w:after="60"/>
        <w:rPr/>
      </w:pPr>
      <w:r>
        <w:rPr/>
      </w:r>
    </w:p>
    <w:p>
      <w:pPr>
        <w:pStyle w:val="Normal"/>
        <w:spacing w:lineRule="exact" w:line="300" w:before="80" w:after="120"/>
        <w:rPr/>
      </w:pPr>
      <w:r>
        <w:rPr>
          <w:rFonts w:eastAsia="Arial" w:cs="Arial"/>
          <w:color w:val="1A1A1A"/>
          <w:sz w:val="22"/>
          <w:szCs w:val="22"/>
        </w:rPr>
        <w:t>Users must:</w:t>
      </w:r>
    </w:p>
    <w:p>
      <w:pPr>
        <w:pStyle w:val="ListParagraph"/>
        <w:numPr>
          <w:ilvl w:val="0"/>
          <w:numId w:val="1"/>
        </w:numPr>
        <w:spacing w:lineRule="exact" w:line="280" w:before="40" w:after="40"/>
        <w:rPr/>
      </w:pPr>
      <w:r>
        <w:rPr>
          <w:rFonts w:eastAsia="Arial" w:cs="Arial"/>
          <w:color w:val="1A1A1A"/>
          <w:sz w:val="22"/>
          <w:szCs w:val="22"/>
        </w:rPr>
        <w:t>Apply the correct classification label to information they create, where labelling is defined in the Information Classification and Handling Procedure.</w:t>
      </w:r>
    </w:p>
    <w:p>
      <w:pPr>
        <w:pStyle w:val="ListParagraph"/>
        <w:numPr>
          <w:ilvl w:val="0"/>
          <w:numId w:val="1"/>
        </w:numPr>
        <w:spacing w:lineRule="exact" w:line="280" w:before="40" w:after="40"/>
        <w:rPr/>
      </w:pPr>
      <w:r>
        <w:rPr>
          <w:rFonts w:eastAsia="Arial" w:cs="Arial"/>
          <w:color w:val="1A1A1A"/>
          <w:sz w:val="22"/>
          <w:szCs w:val="22"/>
        </w:rPr>
        <w:t>Handle information in accordance with the handling rules defined for its classification, including storage, transfer, access, printing, retention, and destruction.</w:t>
      </w:r>
    </w:p>
    <w:p>
      <w:pPr>
        <w:pStyle w:val="ListParagraph"/>
        <w:numPr>
          <w:ilvl w:val="0"/>
          <w:numId w:val="1"/>
        </w:numPr>
        <w:spacing w:lineRule="exact" w:line="280" w:before="40" w:after="40"/>
        <w:rPr/>
      </w:pPr>
      <w:r>
        <w:rPr>
          <w:rFonts w:eastAsia="Arial" w:cs="Arial"/>
          <w:color w:val="1A1A1A"/>
          <w:sz w:val="22"/>
          <w:szCs w:val="22"/>
        </w:rPr>
        <w:t>Treat information as Confidential where its classification is unclear, until guidance has been obtained.</w:t>
      </w:r>
    </w:p>
    <w:p>
      <w:pPr>
        <w:pStyle w:val="ListParagraph"/>
        <w:numPr>
          <w:ilvl w:val="0"/>
          <w:numId w:val="1"/>
        </w:numPr>
        <w:spacing w:lineRule="exact" w:line="280" w:before="40" w:after="40"/>
        <w:rPr/>
      </w:pPr>
      <w:r>
        <w:rPr>
          <w:rFonts w:eastAsia="Arial" w:cs="Arial"/>
          <w:color w:val="1A1A1A"/>
          <w:sz w:val="22"/>
          <w:szCs w:val="22"/>
        </w:rPr>
        <w:t>Not copy, extract, or transfer Confidential or Restricted information to personal devices, personal accounts, or unapproved services.</w:t>
      </w:r>
    </w:p>
    <w:p>
      <w:pPr>
        <w:pStyle w:val="ListParagraph"/>
        <w:numPr>
          <w:ilvl w:val="0"/>
          <w:numId w:val="1"/>
        </w:numPr>
        <w:spacing w:lineRule="exact" w:line="280" w:before="40" w:after="40"/>
        <w:rPr/>
      </w:pPr>
      <w:r>
        <w:rPr>
          <w:rFonts w:eastAsia="Arial" w:cs="Arial"/>
          <w:color w:val="1A1A1A"/>
          <w:sz w:val="22"/>
          <w:szCs w:val="22"/>
        </w:rPr>
        <w:t>Not paste Confidential or Restricted information, source code, credentials, or customer personal data into public AI tools or other external services (see section 14).</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A.5.12 Classification of information; A.5.13 Labelling of information; A.5.14 Information transfer; A.5.33 Protection of records; A.5.34 Privacy and protection of PII; A.8.3 Information access restriction; A.8.10 Information deletion; A.8.11 Data masking; A.8.12 Data leakage prevention</w:t>
      </w:r>
    </w:p>
    <w:p>
      <w:pPr>
        <w:pStyle w:val="Heading1"/>
        <w:spacing w:before="360" w:after="180"/>
        <w:rPr/>
      </w:pPr>
      <w:r>
        <w:rPr>
          <w:rFonts w:eastAsia="Arial" w:cs="Arial" w:ascii="Arial" w:hAnsi="Arial"/>
          <w:b/>
          <w:bCs/>
          <w:color w:val="0000FF"/>
          <w:sz w:val="36"/>
          <w:szCs w:val="36"/>
        </w:rPr>
        <w:t>14. Use of AI Services and Generative AI Tools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As a developer of conversational AI technology, Cloudax actively uses and evaluates AI services. The following requirements apply to all use of AI and generative AI tools.</w:t>
      </w:r>
    </w:p>
    <w:p>
      <w:pPr>
        <w:pStyle w:val="ListParagraph"/>
        <w:numPr>
          <w:ilvl w:val="0"/>
          <w:numId w:val="1"/>
        </w:numPr>
        <w:spacing w:lineRule="exact" w:line="280" w:before="40" w:after="40"/>
        <w:rPr/>
      </w:pPr>
      <w:r>
        <w:rPr>
          <w:rFonts w:eastAsia="Arial" w:cs="Arial"/>
          <w:color w:val="1A1A1A"/>
          <w:sz w:val="22"/>
          <w:szCs w:val="22"/>
        </w:rPr>
        <w:t>Only AI tools and services that have been approved for business use may be used for Cloudax work. The list of approved tools is maintained by the Information Security Lead.</w:t>
      </w:r>
    </w:p>
    <w:p>
      <w:pPr>
        <w:pStyle w:val="ListParagraph"/>
        <w:numPr>
          <w:ilvl w:val="0"/>
          <w:numId w:val="1"/>
        </w:numPr>
        <w:spacing w:lineRule="exact" w:line="280" w:before="40" w:after="40"/>
        <w:rPr/>
      </w:pPr>
      <w:r>
        <w:rPr>
          <w:rFonts w:eastAsia="Arial" w:cs="Arial"/>
          <w:color w:val="1A1A1A"/>
          <w:sz w:val="22"/>
          <w:szCs w:val="22"/>
        </w:rPr>
        <w:t>Users must not input customer personal data, call recordings, call transcripts, source code, credentials, commercial information, or other Confidential or Restricted information into public AI services unless an approved data processing agreement is in place and the service has been risk-assessed.</w:t>
      </w:r>
    </w:p>
    <w:p>
      <w:pPr>
        <w:pStyle w:val="ListParagraph"/>
        <w:numPr>
          <w:ilvl w:val="0"/>
          <w:numId w:val="1"/>
        </w:numPr>
        <w:spacing w:lineRule="exact" w:line="280" w:before="40" w:after="40"/>
        <w:rPr/>
      </w:pPr>
      <w:r>
        <w:rPr>
          <w:rFonts w:eastAsia="Arial" w:cs="Arial"/>
          <w:color w:val="1A1A1A"/>
          <w:sz w:val="22"/>
          <w:szCs w:val="22"/>
        </w:rPr>
        <w:t>Users must assume that information entered into public AI services may be retained and used for further training, unless the configuration explicitly prevents this and the configuration has been verified by Cloudax.</w:t>
      </w:r>
    </w:p>
    <w:p>
      <w:pPr>
        <w:pStyle w:val="ListParagraph"/>
        <w:numPr>
          <w:ilvl w:val="0"/>
          <w:numId w:val="1"/>
        </w:numPr>
        <w:spacing w:lineRule="exact" w:line="280" w:before="40" w:after="40"/>
        <w:rPr/>
      </w:pPr>
      <w:r>
        <w:rPr>
          <w:rFonts w:eastAsia="Arial" w:cs="Arial"/>
          <w:color w:val="1A1A1A"/>
          <w:sz w:val="22"/>
          <w:szCs w:val="22"/>
        </w:rPr>
        <w:t>Users remain accountable for the accuracy and appropriateness of AI-generated output. AI-generated content must be reviewed and verified before publication or use in a decision-making context.</w:t>
      </w:r>
    </w:p>
    <w:p>
      <w:pPr>
        <w:pStyle w:val="ListParagraph"/>
        <w:numPr>
          <w:ilvl w:val="0"/>
          <w:numId w:val="1"/>
        </w:numPr>
        <w:spacing w:lineRule="exact" w:line="280" w:before="40" w:after="40"/>
        <w:rPr/>
      </w:pPr>
      <w:r>
        <w:rPr>
          <w:rFonts w:eastAsia="Arial" w:cs="Arial"/>
          <w:color w:val="1A1A1A"/>
          <w:sz w:val="22"/>
          <w:szCs w:val="22"/>
        </w:rPr>
        <w:t>Where accuracy, authorship, or attribution matters, the use of AI-generated content must be disclosed to customers and other relevant stakeholders.</w:t>
      </w:r>
    </w:p>
    <w:p>
      <w:pPr>
        <w:pStyle w:val="ListParagraph"/>
        <w:numPr>
          <w:ilvl w:val="0"/>
          <w:numId w:val="1"/>
        </w:numPr>
        <w:spacing w:lineRule="exact" w:line="280" w:before="40" w:after="40"/>
        <w:rPr/>
      </w:pPr>
      <w:r>
        <w:rPr>
          <w:rFonts w:eastAsia="Arial" w:cs="Arial"/>
          <w:color w:val="1A1A1A"/>
          <w:sz w:val="22"/>
          <w:szCs w:val="22"/>
        </w:rPr>
        <w:t>Use of AI in Cloudax’s own products and services is governed by the AI Risk Management Procedure and related product documentation.</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A.5.10 Acceptable use; A.5.14 Information transfer; A.5.23 Information security for use of cloud services; A.5.34 Privacy and protection of PII; A.8.12 Data leakage prevention</w:t>
      </w:r>
    </w:p>
    <w:p>
      <w:pPr>
        <w:pStyle w:val="Heading1"/>
        <w:spacing w:before="360" w:after="180"/>
        <w:rPr/>
      </w:pPr>
      <w:r>
        <w:rPr>
          <w:rFonts w:eastAsia="Arial" w:cs="Arial" w:ascii="Arial" w:hAnsi="Arial"/>
          <w:b/>
          <w:bCs/>
          <w:color w:val="0000FF"/>
          <w:sz w:val="36"/>
          <w:szCs w:val="36"/>
        </w:rPr>
        <w:t>15. Software, Source Code, and Development Environments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Cloudax source code, build artefacts, and configuration are Confidential by default and may be Restricted where they contain secrets, customer data, or security-sensitive logic.</w:t>
      </w:r>
    </w:p>
    <w:p>
      <w:pPr>
        <w:pStyle w:val="ListParagraph"/>
        <w:numPr>
          <w:ilvl w:val="0"/>
          <w:numId w:val="1"/>
        </w:numPr>
        <w:spacing w:lineRule="exact" w:line="280" w:before="40" w:after="40"/>
        <w:rPr/>
      </w:pPr>
      <w:r>
        <w:rPr>
          <w:rFonts w:eastAsia="Arial" w:cs="Arial"/>
          <w:color w:val="1A1A1A"/>
          <w:sz w:val="22"/>
          <w:szCs w:val="22"/>
        </w:rPr>
        <w:t>Source code must be stored only in approved repositories. Personal copies on local devices must be removed when no longer required and must never be transferred to personal repositories or services.</w:t>
      </w:r>
    </w:p>
    <w:p>
      <w:pPr>
        <w:pStyle w:val="ListParagraph"/>
        <w:numPr>
          <w:ilvl w:val="0"/>
          <w:numId w:val="1"/>
        </w:numPr>
        <w:spacing w:lineRule="exact" w:line="280" w:before="40" w:after="40"/>
        <w:rPr/>
      </w:pPr>
      <w:r>
        <w:rPr>
          <w:rFonts w:eastAsia="Arial" w:cs="Arial"/>
          <w:color w:val="1A1A1A"/>
          <w:sz w:val="22"/>
          <w:szCs w:val="22"/>
        </w:rPr>
        <w:t>Credentials, API keys, tokens, and other secrets must never be committed to source control. Approved secret management tools must be used.</w:t>
      </w:r>
    </w:p>
    <w:p>
      <w:pPr>
        <w:pStyle w:val="ListParagraph"/>
        <w:numPr>
          <w:ilvl w:val="0"/>
          <w:numId w:val="1"/>
        </w:numPr>
        <w:spacing w:lineRule="exact" w:line="280" w:before="40" w:after="40"/>
        <w:rPr/>
      </w:pPr>
      <w:r>
        <w:rPr>
          <w:rFonts w:eastAsia="Arial" w:cs="Arial"/>
          <w:color w:val="1A1A1A"/>
          <w:sz w:val="22"/>
          <w:szCs w:val="22"/>
        </w:rPr>
        <w:t>Third-party code, libraries, and dependencies may only be introduced where permitted by the licence and following any approval process defined in the Secure Development Procedure.</w:t>
      </w:r>
    </w:p>
    <w:p>
      <w:pPr>
        <w:pStyle w:val="ListParagraph"/>
        <w:numPr>
          <w:ilvl w:val="0"/>
          <w:numId w:val="1"/>
        </w:numPr>
        <w:spacing w:lineRule="exact" w:line="280" w:before="40" w:after="40"/>
        <w:rPr/>
      </w:pPr>
      <w:r>
        <w:rPr>
          <w:rFonts w:eastAsia="Arial" w:cs="Arial"/>
          <w:color w:val="1A1A1A"/>
          <w:sz w:val="22"/>
          <w:szCs w:val="22"/>
        </w:rPr>
        <w:t>Production data must not be used in non-production environments unless it has been masked, anonymised, or otherwise sanitised in line with the Information Classification and Handling Procedure.</w:t>
      </w:r>
    </w:p>
    <w:p>
      <w:pPr>
        <w:pStyle w:val="ListParagraph"/>
        <w:numPr>
          <w:ilvl w:val="0"/>
          <w:numId w:val="1"/>
        </w:numPr>
        <w:spacing w:lineRule="exact" w:line="280" w:before="40" w:after="40"/>
        <w:rPr/>
      </w:pPr>
      <w:r>
        <w:rPr>
          <w:rFonts w:eastAsia="Arial" w:cs="Arial"/>
          <w:color w:val="1A1A1A"/>
          <w:sz w:val="22"/>
          <w:szCs w:val="22"/>
        </w:rPr>
        <w:t>Changes to production environments must follow the Change Management Procedure.</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A.5.32 Intellectual property rights; A.8.4 Access to source code; A.8.25 Secure development lifecycle; A.8.26 Application security requirements; A.8.28 Secure coding; A.8.31 Separation of development, test, and production environments; A.8.32 Change management; A.8.33 Test information</w:t>
      </w:r>
    </w:p>
    <w:p>
      <w:pPr>
        <w:pStyle w:val="Heading1"/>
        <w:spacing w:before="360" w:after="180"/>
        <w:rPr/>
      </w:pPr>
      <w:r>
        <w:rPr>
          <w:rFonts w:eastAsia="Arial" w:cs="Arial" w:ascii="Arial" w:hAnsi="Arial"/>
          <w:b/>
          <w:bCs/>
          <w:color w:val="0000FF"/>
          <w:sz w:val="36"/>
          <w:szCs w:val="36"/>
        </w:rPr>
        <w:t>16. Cloud Services and Third-Party Tools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Only cloud services and third-party tools that have been approved for use by Cloudax may be used to process Cloudax information.</w:t>
      </w:r>
    </w:p>
    <w:p>
      <w:pPr>
        <w:pStyle w:val="ListParagraph"/>
        <w:numPr>
          <w:ilvl w:val="0"/>
          <w:numId w:val="1"/>
        </w:numPr>
        <w:spacing w:lineRule="exact" w:line="280" w:before="40" w:after="40"/>
        <w:rPr/>
      </w:pPr>
      <w:r>
        <w:rPr>
          <w:rFonts w:eastAsia="Arial" w:cs="Arial"/>
          <w:color w:val="1A1A1A"/>
          <w:sz w:val="22"/>
          <w:szCs w:val="22"/>
        </w:rPr>
        <w:t>Users must not sign Cloudax up to new cloud services, tools, or subscriptions without following the Supplier and Cloud Service Approval process.</w:t>
      </w:r>
    </w:p>
    <w:p>
      <w:pPr>
        <w:pStyle w:val="ListParagraph"/>
        <w:numPr>
          <w:ilvl w:val="0"/>
          <w:numId w:val="1"/>
        </w:numPr>
        <w:spacing w:lineRule="exact" w:line="280" w:before="40" w:after="40"/>
        <w:rPr/>
      </w:pPr>
      <w:r>
        <w:rPr>
          <w:rFonts w:eastAsia="Arial" w:cs="Arial"/>
          <w:color w:val="1A1A1A"/>
          <w:sz w:val="22"/>
          <w:szCs w:val="22"/>
        </w:rPr>
        <w:t>Free or trial tiers of cloud services are subject to the same approval process as paid services.</w:t>
      </w:r>
    </w:p>
    <w:p>
      <w:pPr>
        <w:pStyle w:val="ListParagraph"/>
        <w:numPr>
          <w:ilvl w:val="0"/>
          <w:numId w:val="1"/>
        </w:numPr>
        <w:spacing w:lineRule="exact" w:line="280" w:before="40" w:after="40"/>
        <w:rPr/>
      </w:pPr>
      <w:r>
        <w:rPr>
          <w:rFonts w:eastAsia="Arial" w:cs="Arial"/>
          <w:color w:val="1A1A1A"/>
          <w:sz w:val="22"/>
          <w:szCs w:val="22"/>
        </w:rPr>
        <w:t>Personal accounts on consumer cloud services (including personal cloud storage, file transfer, translation, transcription, and note-taking services) must not be used for Cloudax information.</w:t>
      </w:r>
    </w:p>
    <w:p>
      <w:pPr>
        <w:pStyle w:val="ListParagraph"/>
        <w:numPr>
          <w:ilvl w:val="0"/>
          <w:numId w:val="1"/>
        </w:numPr>
        <w:spacing w:lineRule="exact" w:line="280" w:before="40" w:after="40"/>
        <w:rPr/>
      </w:pPr>
      <w:r>
        <w:rPr>
          <w:rFonts w:eastAsia="Arial" w:cs="Arial"/>
          <w:color w:val="1A1A1A"/>
          <w:sz w:val="22"/>
          <w:szCs w:val="22"/>
        </w:rPr>
        <w:t>Where approved cloud services offer multi-factor authentication, it must be enabled.</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A.5.19 Information security in supplier relationships; A.5.20 Addressing information security within supplier agreements; A.5.21 Managing information security in the ICT supply chain; A.5.22 Monitoring, review, and change management of supplier services; A.5.23 Information security for use of cloud services</w:t>
      </w:r>
    </w:p>
    <w:p>
      <w:pPr>
        <w:pStyle w:val="Heading1"/>
        <w:spacing w:before="360" w:after="180"/>
        <w:rPr/>
      </w:pPr>
      <w:r>
        <w:rPr>
          <w:rFonts w:eastAsia="Arial" w:cs="Arial" w:ascii="Arial" w:hAnsi="Arial"/>
          <w:b/>
          <w:bCs/>
          <w:color w:val="0000FF"/>
          <w:sz w:val="36"/>
          <w:szCs w:val="36"/>
        </w:rPr>
        <w:t>17. Social Media and External Representation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Official Cloudax social media channels may be operated only by individuals authorised in writing to do so.</w:t>
      </w:r>
    </w:p>
    <w:p>
      <w:pPr>
        <w:pStyle w:val="ListParagraph"/>
        <w:numPr>
          <w:ilvl w:val="0"/>
          <w:numId w:val="1"/>
        </w:numPr>
        <w:spacing w:lineRule="exact" w:line="280" w:before="40" w:after="40"/>
        <w:rPr/>
      </w:pPr>
      <w:r>
        <w:rPr>
          <w:rFonts w:eastAsia="Arial" w:cs="Arial"/>
          <w:color w:val="1A1A1A"/>
          <w:sz w:val="22"/>
          <w:szCs w:val="22"/>
        </w:rPr>
        <w:t>When posting personally about Cloudax or topics relating to Cloudax, personnel must make clear that the views expressed are their own.</w:t>
      </w:r>
    </w:p>
    <w:p>
      <w:pPr>
        <w:pStyle w:val="ListParagraph"/>
        <w:numPr>
          <w:ilvl w:val="0"/>
          <w:numId w:val="1"/>
        </w:numPr>
        <w:spacing w:lineRule="exact" w:line="280" w:before="40" w:after="40"/>
        <w:rPr/>
      </w:pPr>
      <w:r>
        <w:rPr>
          <w:rFonts w:eastAsia="Arial" w:cs="Arial"/>
          <w:color w:val="1A1A1A"/>
          <w:sz w:val="22"/>
          <w:szCs w:val="22"/>
        </w:rPr>
        <w:t>Personnel must not disclose Confidential or Restricted information in any public forum, including customer names or data, unreleased product information, internal metrics, or screenshots containing Cloudax or customer information.</w:t>
      </w:r>
    </w:p>
    <w:p>
      <w:pPr>
        <w:pStyle w:val="ListParagraph"/>
        <w:numPr>
          <w:ilvl w:val="0"/>
          <w:numId w:val="1"/>
        </w:numPr>
        <w:spacing w:lineRule="exact" w:line="280" w:before="40" w:after="40"/>
        <w:rPr/>
      </w:pPr>
      <w:r>
        <w:rPr>
          <w:rFonts w:eastAsia="Arial" w:cs="Arial"/>
          <w:color w:val="1A1A1A"/>
          <w:sz w:val="22"/>
          <w:szCs w:val="22"/>
        </w:rPr>
        <w:t>Personnel must not post content that could reasonably be expected to harm the reputation of Cloudax, its customers, its partners, or any individual.</w:t>
      </w:r>
    </w:p>
    <w:p>
      <w:pPr>
        <w:pStyle w:val="ListParagraph"/>
        <w:numPr>
          <w:ilvl w:val="0"/>
          <w:numId w:val="1"/>
        </w:numPr>
        <w:spacing w:lineRule="exact" w:line="280" w:before="40" w:after="40"/>
        <w:rPr/>
      </w:pPr>
      <w:r>
        <w:rPr>
          <w:rFonts w:eastAsia="Arial" w:cs="Arial"/>
          <w:color w:val="1A1A1A"/>
          <w:sz w:val="22"/>
          <w:szCs w:val="22"/>
        </w:rPr>
        <w:t>Use of the Cloudax logo, brand assets, and brand messaging must follow the Cloudax Brand Guidelines.</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A.5.14 Information transfer; A.6.2 Terms and conditions of employment; A.6.3 Information security awareness, education, and training</w:t>
      </w:r>
    </w:p>
    <w:p>
      <w:pPr>
        <w:pStyle w:val="Heading1"/>
        <w:spacing w:before="360" w:after="180"/>
        <w:rPr/>
      </w:pPr>
      <w:r>
        <w:rPr>
          <w:rFonts w:eastAsia="Arial" w:cs="Arial" w:ascii="Arial" w:hAnsi="Arial"/>
          <w:b/>
          <w:bCs/>
          <w:color w:val="0000FF"/>
          <w:sz w:val="36"/>
          <w:szCs w:val="36"/>
        </w:rPr>
        <w:t>18. Information Security Event and Incident Reporting</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Timely reporting is essential. Personnel who report events, weaknesses, or incidents in good faith will not be penalised, regardless of whether the report is subsequently assessed as an actual incident.</w:t>
      </w:r>
    </w:p>
    <w:p>
      <w:pPr>
        <w:pStyle w:val="Normal"/>
        <w:spacing w:lineRule="exact" w:line="300" w:before="80" w:after="120"/>
        <w:rPr/>
      </w:pPr>
      <w:r>
        <w:rPr>
          <w:rFonts w:eastAsia="Arial" w:cs="Arial"/>
          <w:color w:val="1A1A1A"/>
          <w:sz w:val="22"/>
          <w:szCs w:val="22"/>
        </w:rPr>
        <w:t>Personnel must report without delay where they:</w:t>
      </w:r>
    </w:p>
    <w:p>
      <w:pPr>
        <w:pStyle w:val="ListParagraph"/>
        <w:numPr>
          <w:ilvl w:val="0"/>
          <w:numId w:val="1"/>
        </w:numPr>
        <w:spacing w:lineRule="exact" w:line="280" w:before="40" w:after="40"/>
        <w:rPr/>
      </w:pPr>
      <w:r>
        <w:rPr>
          <w:rFonts w:eastAsia="Arial" w:cs="Arial"/>
          <w:color w:val="1A1A1A"/>
          <w:sz w:val="22"/>
          <w:szCs w:val="22"/>
        </w:rPr>
        <w:t>Lose a Cloudax-issued or BYOD-enrolled device, access credential, or paper record.</w:t>
      </w:r>
    </w:p>
    <w:p>
      <w:pPr>
        <w:pStyle w:val="ListParagraph"/>
        <w:numPr>
          <w:ilvl w:val="0"/>
          <w:numId w:val="1"/>
        </w:numPr>
        <w:spacing w:lineRule="exact" w:line="280" w:before="40" w:after="40"/>
        <w:rPr/>
      </w:pPr>
      <w:r>
        <w:rPr>
          <w:rFonts w:eastAsia="Arial" w:cs="Arial"/>
          <w:color w:val="1A1A1A"/>
          <w:sz w:val="22"/>
          <w:szCs w:val="22"/>
        </w:rPr>
        <w:t>Click a suspected phishing link, enter credentials into a suspicious site, or approve an MFA prompt they did not initiate.</w:t>
      </w:r>
    </w:p>
    <w:p>
      <w:pPr>
        <w:pStyle w:val="ListParagraph"/>
        <w:numPr>
          <w:ilvl w:val="0"/>
          <w:numId w:val="1"/>
        </w:numPr>
        <w:spacing w:lineRule="exact" w:line="280" w:before="40" w:after="40"/>
        <w:rPr/>
      </w:pPr>
      <w:r>
        <w:rPr>
          <w:rFonts w:eastAsia="Arial" w:cs="Arial"/>
          <w:color w:val="1A1A1A"/>
          <w:sz w:val="22"/>
          <w:szCs w:val="22"/>
        </w:rPr>
        <w:t>Send Cloudax information to the wrong recipient, or receive information apparently not intended for them.</w:t>
      </w:r>
    </w:p>
    <w:p>
      <w:pPr>
        <w:pStyle w:val="ListParagraph"/>
        <w:numPr>
          <w:ilvl w:val="0"/>
          <w:numId w:val="1"/>
        </w:numPr>
        <w:spacing w:lineRule="exact" w:line="280" w:before="40" w:after="40"/>
        <w:rPr/>
      </w:pPr>
      <w:r>
        <w:rPr>
          <w:rFonts w:eastAsia="Arial" w:cs="Arial"/>
          <w:color w:val="1A1A1A"/>
          <w:sz w:val="22"/>
          <w:szCs w:val="22"/>
        </w:rPr>
        <w:t>Observe or suspect malware infection, account compromise, or unauthorised access.</w:t>
      </w:r>
    </w:p>
    <w:p>
      <w:pPr>
        <w:pStyle w:val="ListParagraph"/>
        <w:numPr>
          <w:ilvl w:val="0"/>
          <w:numId w:val="1"/>
        </w:numPr>
        <w:spacing w:lineRule="exact" w:line="280" w:before="40" w:after="40"/>
        <w:rPr/>
      </w:pPr>
      <w:r>
        <w:rPr>
          <w:rFonts w:eastAsia="Arial" w:cs="Arial"/>
          <w:color w:val="1A1A1A"/>
          <w:sz w:val="22"/>
          <w:szCs w:val="22"/>
        </w:rPr>
        <w:t>Identify a weakness in a Cloudax system, process, or control.</w:t>
      </w:r>
    </w:p>
    <w:p>
      <w:pPr>
        <w:pStyle w:val="ListParagraph"/>
        <w:numPr>
          <w:ilvl w:val="0"/>
          <w:numId w:val="1"/>
        </w:numPr>
        <w:spacing w:lineRule="exact" w:line="280" w:before="40" w:after="40"/>
        <w:rPr/>
      </w:pPr>
      <w:r>
        <w:rPr>
          <w:rFonts w:eastAsia="Arial" w:cs="Arial"/>
          <w:color w:val="1A1A1A"/>
          <w:sz w:val="22"/>
          <w:szCs w:val="22"/>
        </w:rPr>
        <w:t>Become aware of any actual or suspected personal data breach.</w:t>
      </w:r>
    </w:p>
    <w:p>
      <w:pPr>
        <w:pStyle w:val="Normal"/>
        <w:spacing w:before="60" w:after="60"/>
        <w:rPr/>
      </w:pPr>
      <w:r>
        <w:rPr/>
      </w:r>
    </w:p>
    <w:p>
      <w:pPr>
        <w:pStyle w:val="Normal"/>
        <w:spacing w:lineRule="exact" w:line="300" w:before="80" w:after="120"/>
        <w:rPr/>
      </w:pPr>
      <w:r>
        <w:rPr>
          <w:rFonts w:eastAsia="Arial" w:cs="Arial"/>
          <w:color w:val="1A1A1A"/>
          <w:sz w:val="22"/>
          <w:szCs w:val="22"/>
        </w:rPr>
        <w:t>Reports are made to the Information Security Lead through any of the following channels:</w:t>
      </w:r>
    </w:p>
    <w:p>
      <w:pPr>
        <w:pStyle w:val="ListParagraph"/>
        <w:numPr>
          <w:ilvl w:val="0"/>
          <w:numId w:val="1"/>
        </w:numPr>
        <w:spacing w:lineRule="exact" w:line="280" w:before="40" w:after="40"/>
        <w:rPr/>
      </w:pPr>
      <w:r>
        <w:rPr>
          <w:rFonts w:eastAsia="Arial" w:cs="Arial"/>
          <w:color w:val="1A1A1A"/>
          <w:sz w:val="22"/>
          <w:szCs w:val="22"/>
        </w:rPr>
        <w:t>Direct message in Microsoft Teams or Slack to the Information Security Lead.</w:t>
      </w:r>
    </w:p>
    <w:p>
      <w:pPr>
        <w:pStyle w:val="ListParagraph"/>
        <w:numPr>
          <w:ilvl w:val="0"/>
          <w:numId w:val="1"/>
        </w:numPr>
        <w:spacing w:lineRule="exact" w:line="280" w:before="40" w:after="40"/>
        <w:rPr/>
      </w:pPr>
      <w:r>
        <w:rPr>
          <w:rFonts w:eastAsia="Arial" w:cs="Arial"/>
          <w:color w:val="1A1A1A"/>
          <w:sz w:val="22"/>
          <w:szCs w:val="22"/>
        </w:rPr>
        <w:t>Email to the security mailbox published on the Cloudax intranet.</w:t>
      </w:r>
    </w:p>
    <w:p>
      <w:pPr>
        <w:pStyle w:val="ListParagraph"/>
        <w:numPr>
          <w:ilvl w:val="0"/>
          <w:numId w:val="1"/>
        </w:numPr>
        <w:spacing w:lineRule="exact" w:line="280" w:before="40" w:after="40"/>
        <w:rPr/>
      </w:pPr>
      <w:r>
        <w:rPr>
          <w:rFonts w:eastAsia="Arial" w:cs="Arial"/>
          <w:color w:val="1A1A1A"/>
          <w:sz w:val="22"/>
          <w:szCs w:val="22"/>
        </w:rPr>
        <w:t>Telephone or in-person contact where email or chat are impractical (for example, where an account is compromised).</w:t>
      </w:r>
    </w:p>
    <w:p>
      <w:pPr>
        <w:pStyle w:val="ListParagraph"/>
        <w:numPr>
          <w:ilvl w:val="0"/>
          <w:numId w:val="1"/>
        </w:numPr>
        <w:spacing w:lineRule="exact" w:line="280" w:before="40" w:after="40"/>
        <w:rPr/>
      </w:pPr>
      <w:r>
        <w:rPr>
          <w:rFonts w:eastAsia="Arial" w:cs="Arial"/>
          <w:color w:val="1A1A1A"/>
          <w:sz w:val="22"/>
          <w:szCs w:val="22"/>
        </w:rPr>
        <w:t>Out-of-hours contact via the emergency route published on the Cloudax intranet.</w:t>
      </w:r>
    </w:p>
    <w:p>
      <w:pPr>
        <w:pStyle w:val="Normal"/>
        <w:spacing w:before="60" w:after="60"/>
        <w:rPr/>
      </w:pPr>
      <w:r>
        <w:rPr/>
      </w:r>
    </w:p>
    <w:p>
      <w:pPr>
        <w:pStyle w:val="Normal"/>
        <w:spacing w:lineRule="exact" w:line="300" w:before="80" w:after="120"/>
        <w:rPr/>
      </w:pPr>
      <w:r>
        <w:rPr>
          <w:rFonts w:eastAsia="Arial" w:cs="Arial"/>
          <w:color w:val="1A1A1A"/>
          <w:sz w:val="22"/>
          <w:szCs w:val="22"/>
        </w:rPr>
        <w:t>Events, weaknesses, and incidents are handled in accordance with the Information Security Incident Management Procedure. Personal data breaches are additionally handled in accordance with the Data Protection Policy and, where applicable, notified to the Information Commissioner’s Office (ICO) within 72 hours of awareness.</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A.5.24 Information security incident management planning and preparation; A.5.25 Assessment and decision on information security events; A.5.26 Response to information security incidents; A.5.27 Learning from information security incidents; A.5.28 Collection of evidence; A.6.8 Information security event reporting</w:t>
      </w:r>
    </w:p>
    <w:p>
      <w:pPr>
        <w:pStyle w:val="Heading1"/>
        <w:spacing w:before="360" w:after="180"/>
        <w:rPr/>
      </w:pPr>
      <w:r>
        <w:rPr>
          <w:rFonts w:eastAsia="Arial" w:cs="Arial" w:ascii="Arial" w:hAnsi="Arial"/>
          <w:b/>
          <w:bCs/>
          <w:color w:val="0000FF"/>
          <w:sz w:val="36"/>
          <w:szCs w:val="36"/>
        </w:rPr>
        <w:t>19. Monitoring, Logging, and Privacy</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Cloudax monitors and logs activity on its information systems and networks to protect the confidentiality, integrity, and availability of information, to meet legal, regulatory, and contractual obligations, and to operate and improve the ISMS.</w:t>
      </w:r>
    </w:p>
    <w:p>
      <w:pPr>
        <w:pStyle w:val="Normal"/>
        <w:spacing w:lineRule="exact" w:line="300" w:before="80" w:after="120"/>
        <w:rPr/>
      </w:pPr>
      <w:r>
        <w:rPr>
          <w:rFonts w:eastAsia="Arial" w:cs="Arial"/>
          <w:color w:val="1A1A1A"/>
          <w:sz w:val="22"/>
          <w:szCs w:val="22"/>
        </w:rPr>
        <w:t>Monitoring and logging may include, but is not limited to, authentication events, endpoint activity and health, network traffic metadata, email and messaging metadata, cloud service activity, data loss prevention events, web filtering, and physical access events at the shared workspace (as recorded by the workspace operator).</w:t>
      </w:r>
    </w:p>
    <w:p>
      <w:pPr>
        <w:pStyle w:val="Normal"/>
        <w:spacing w:lineRule="exact" w:line="300" w:before="80" w:after="120"/>
        <w:rPr/>
      </w:pPr>
      <w:r>
        <w:rPr>
          <w:rFonts w:eastAsia="Arial" w:cs="Arial"/>
          <w:color w:val="1A1A1A"/>
          <w:sz w:val="22"/>
          <w:szCs w:val="22"/>
        </w:rPr>
        <w:t>Monitoring is carried out proportionately and in accordance with the UK GDPR, the Data Protection Act 2018, and the Monitoring and Privacy Procedure. Logs are retained in line with the Records Retention Schedule and protected against unauthorised access and alteration.</w:t>
      </w:r>
    </w:p>
    <w:p>
      <w:pPr>
        <w:pStyle w:val="Normal"/>
        <w:spacing w:lineRule="exact" w:line="300" w:before="80" w:after="120"/>
        <w:rPr/>
      </w:pPr>
      <w:r>
        <w:rPr>
          <w:rFonts w:eastAsia="Arial" w:cs="Arial"/>
          <w:color w:val="1A1A1A"/>
          <w:sz w:val="22"/>
          <w:szCs w:val="22"/>
        </w:rPr>
        <w:t>Personal use of Cloudax systems permitted under section 7.1 may be captured in system logs. Users should have no expectation of absolute privacy when using Cloudax information or associated assets.</w:t>
      </w:r>
    </w:p>
    <w:p>
      <w:pPr>
        <w:pStyle w:val="Normal"/>
        <w:spacing w:lineRule="exact" w:line="300" w:before="80" w:after="120"/>
        <w:rPr/>
      </w:pPr>
      <w:r>
        <w:rPr>
          <w:rFonts w:eastAsia="Arial" w:cs="Arial"/>
          <w:color w:val="1A1A1A"/>
          <w:sz w:val="22"/>
          <w:szCs w:val="22"/>
        </w:rPr>
        <w:t>Cloudax will only access the contents of communications or personal areas of devices where there is a legitimate business, legal, or security reason — including incident investigation, legal discovery, regulatory request, or suspected policy breach — and with appropriate authorisation recorded in line with the Monitoring and Privacy Procedure.</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A.5.34 Privacy and protection of PII; A.8.15 Logging; A.8.16 Monitoring activities; A.8.17 Clock synchronization</w:t>
      </w:r>
    </w:p>
    <w:p>
      <w:pPr>
        <w:pStyle w:val="Heading1"/>
        <w:spacing w:before="360" w:after="180"/>
        <w:rPr/>
      </w:pPr>
      <w:r>
        <w:rPr>
          <w:rFonts w:eastAsia="Arial" w:cs="Arial" w:ascii="Arial" w:hAnsi="Arial"/>
          <w:b/>
          <w:bCs/>
          <w:color w:val="0000FF"/>
          <w:sz w:val="36"/>
          <w:szCs w:val="36"/>
        </w:rPr>
        <w:t>20. Policy Breaches and Disciplinary Action</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Breaches of this Policy are taken seriously. Depending on the nature, severity, and circumstances of the breach, consequences may include:</w:t>
      </w:r>
    </w:p>
    <w:p>
      <w:pPr>
        <w:pStyle w:val="ListParagraph"/>
        <w:numPr>
          <w:ilvl w:val="0"/>
          <w:numId w:val="1"/>
        </w:numPr>
        <w:spacing w:lineRule="exact" w:line="280" w:before="40" w:after="40"/>
        <w:rPr/>
      </w:pPr>
      <w:r>
        <w:rPr>
          <w:rFonts w:eastAsia="Arial" w:cs="Arial"/>
          <w:color w:val="1A1A1A"/>
          <w:sz w:val="22"/>
          <w:szCs w:val="22"/>
        </w:rPr>
        <w:t>Informal coaching, awareness support, or additional training for minor or accidental breaches.</w:t>
      </w:r>
    </w:p>
    <w:p>
      <w:pPr>
        <w:pStyle w:val="ListParagraph"/>
        <w:numPr>
          <w:ilvl w:val="0"/>
          <w:numId w:val="1"/>
        </w:numPr>
        <w:spacing w:lineRule="exact" w:line="280" w:before="40" w:after="40"/>
        <w:rPr/>
      </w:pPr>
      <w:r>
        <w:rPr>
          <w:rFonts w:eastAsia="Arial" w:cs="Arial"/>
          <w:color w:val="1A1A1A"/>
          <w:sz w:val="22"/>
          <w:szCs w:val="22"/>
        </w:rPr>
        <w:t>Formal action under the Cloudax Disciplinary Procedure, up to and including dismissal, for serious or repeated breaches by employees.</w:t>
      </w:r>
    </w:p>
    <w:p>
      <w:pPr>
        <w:pStyle w:val="ListParagraph"/>
        <w:numPr>
          <w:ilvl w:val="0"/>
          <w:numId w:val="1"/>
        </w:numPr>
        <w:spacing w:lineRule="exact" w:line="280" w:before="40" w:after="40"/>
        <w:rPr/>
      </w:pPr>
      <w:r>
        <w:rPr>
          <w:rFonts w:eastAsia="Arial" w:cs="Arial"/>
          <w:color w:val="1A1A1A"/>
          <w:sz w:val="22"/>
          <w:szCs w:val="22"/>
        </w:rPr>
        <w:t>Termination of contract or engagement for contractors, consultants, and third parties, in accordance with the relevant contract.</w:t>
      </w:r>
    </w:p>
    <w:p>
      <w:pPr>
        <w:pStyle w:val="ListParagraph"/>
        <w:numPr>
          <w:ilvl w:val="0"/>
          <w:numId w:val="1"/>
        </w:numPr>
        <w:spacing w:lineRule="exact" w:line="280" w:before="40" w:after="40"/>
        <w:rPr/>
      </w:pPr>
      <w:r>
        <w:rPr>
          <w:rFonts w:eastAsia="Arial" w:cs="Arial"/>
          <w:color w:val="1A1A1A"/>
          <w:sz w:val="22"/>
          <w:szCs w:val="22"/>
        </w:rPr>
        <w:t>Reporting to regulators, including the Information Commissioner’s Office (ICO), where required.</w:t>
      </w:r>
    </w:p>
    <w:p>
      <w:pPr>
        <w:pStyle w:val="ListParagraph"/>
        <w:numPr>
          <w:ilvl w:val="0"/>
          <w:numId w:val="1"/>
        </w:numPr>
        <w:spacing w:lineRule="exact" w:line="280" w:before="40" w:after="40"/>
        <w:rPr/>
      </w:pPr>
      <w:r>
        <w:rPr>
          <w:rFonts w:eastAsia="Arial" w:cs="Arial"/>
          <w:color w:val="1A1A1A"/>
          <w:sz w:val="22"/>
          <w:szCs w:val="22"/>
        </w:rPr>
        <w:t>Referral to law enforcement where there is evidence of criminal activity.</w:t>
      </w:r>
    </w:p>
    <w:p>
      <w:pPr>
        <w:pStyle w:val="ListParagraph"/>
        <w:numPr>
          <w:ilvl w:val="0"/>
          <w:numId w:val="1"/>
        </w:numPr>
        <w:spacing w:lineRule="exact" w:line="280" w:before="40" w:after="40"/>
        <w:rPr/>
      </w:pPr>
      <w:r>
        <w:rPr>
          <w:rFonts w:eastAsia="Arial" w:cs="Arial"/>
          <w:color w:val="1A1A1A"/>
          <w:sz w:val="22"/>
          <w:szCs w:val="22"/>
        </w:rPr>
        <w:t>Civil action to recover losses suffered by Cloudax, its customers, or its partners.</w:t>
      </w:r>
    </w:p>
    <w:p>
      <w:pPr>
        <w:pStyle w:val="Normal"/>
        <w:spacing w:before="60" w:after="60"/>
        <w:rPr/>
      </w:pPr>
      <w:r>
        <w:rPr/>
      </w:r>
    </w:p>
    <w:p>
      <w:pPr>
        <w:pStyle w:val="Normal"/>
        <w:spacing w:lineRule="exact" w:line="300" w:before="80" w:after="120"/>
        <w:rPr/>
      </w:pPr>
      <w:r>
        <w:rPr>
          <w:rFonts w:eastAsia="Arial" w:cs="Arial"/>
          <w:color w:val="1A1A1A"/>
          <w:sz w:val="22"/>
          <w:szCs w:val="22"/>
        </w:rPr>
        <w:t>Actions are taken proportionately and fairly, having regard to the circumstances of the breach and the conduct of the individual concerned. Reports made in good faith under section 18 will not, in themselves, give rise to disciplinary action.</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A.6.4 Disciplinary process; A.5.36 Compliance with policies, rules, and standards for information security</w:t>
      </w:r>
    </w:p>
    <w:p>
      <w:pPr>
        <w:pStyle w:val="Heading1"/>
        <w:spacing w:before="360" w:after="180"/>
        <w:rPr/>
      </w:pPr>
      <w:r>
        <w:rPr>
          <w:rFonts w:eastAsia="Arial" w:cs="Arial" w:ascii="Arial" w:hAnsi="Arial"/>
          <w:b/>
          <w:bCs/>
          <w:color w:val="0000FF"/>
          <w:sz w:val="36"/>
          <w:szCs w:val="36"/>
        </w:rPr>
        <w:t>21. Compliance, Measurement, and Continual Improvement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Compliance with this Policy is monitored on an ongoing basis through the mechanisms defined in the ISMS, including:</w:t>
      </w:r>
    </w:p>
    <w:p>
      <w:pPr>
        <w:pStyle w:val="ListParagraph"/>
        <w:numPr>
          <w:ilvl w:val="0"/>
          <w:numId w:val="1"/>
        </w:numPr>
        <w:spacing w:lineRule="exact" w:line="280" w:before="40" w:after="40"/>
        <w:rPr/>
      </w:pPr>
      <w:r>
        <w:rPr>
          <w:rFonts w:eastAsia="Arial" w:cs="Arial"/>
          <w:color w:val="1A1A1A"/>
          <w:sz w:val="22"/>
          <w:szCs w:val="22"/>
        </w:rPr>
        <w:t>Internal audits carried out in line with the ISMS Internal Audit Programme.</w:t>
      </w:r>
    </w:p>
    <w:p>
      <w:pPr>
        <w:pStyle w:val="ListParagraph"/>
        <w:numPr>
          <w:ilvl w:val="0"/>
          <w:numId w:val="1"/>
        </w:numPr>
        <w:spacing w:lineRule="exact" w:line="280" w:before="40" w:after="40"/>
        <w:rPr/>
      </w:pPr>
      <w:r>
        <w:rPr>
          <w:rFonts w:eastAsia="Arial" w:cs="Arial"/>
          <w:color w:val="1A1A1A"/>
          <w:sz w:val="22"/>
          <w:szCs w:val="22"/>
        </w:rPr>
        <w:t>Management reviews performed at least annually, covering policy effectiveness, incidents, non-conformities, and improvement opportunities.</w:t>
      </w:r>
    </w:p>
    <w:p>
      <w:pPr>
        <w:pStyle w:val="ListParagraph"/>
        <w:numPr>
          <w:ilvl w:val="0"/>
          <w:numId w:val="1"/>
        </w:numPr>
        <w:spacing w:lineRule="exact" w:line="280" w:before="40" w:after="40"/>
        <w:rPr/>
      </w:pPr>
      <w:r>
        <w:rPr>
          <w:rFonts w:eastAsia="Arial" w:cs="Arial"/>
          <w:color w:val="1A1A1A"/>
          <w:sz w:val="22"/>
          <w:szCs w:val="22"/>
        </w:rPr>
        <w:t>Information security key performance indicators (KPIs) and metrics, including incident reporting rates, phishing test performance, policy acknowledgement coverage, and training completion rates.</w:t>
      </w:r>
    </w:p>
    <w:p>
      <w:pPr>
        <w:pStyle w:val="ListParagraph"/>
        <w:numPr>
          <w:ilvl w:val="0"/>
          <w:numId w:val="1"/>
        </w:numPr>
        <w:spacing w:lineRule="exact" w:line="280" w:before="40" w:after="40"/>
        <w:rPr/>
      </w:pPr>
      <w:r>
        <w:rPr>
          <w:rFonts w:eastAsia="Arial" w:cs="Arial"/>
          <w:color w:val="1A1A1A"/>
          <w:sz w:val="22"/>
          <w:szCs w:val="22"/>
        </w:rPr>
        <w:t>Technical monitoring and control testing, including review of logs, alerts, and data loss prevention events.</w:t>
      </w:r>
    </w:p>
    <w:p>
      <w:pPr>
        <w:pStyle w:val="Normal"/>
        <w:spacing w:before="60" w:after="60"/>
        <w:rPr/>
      </w:pPr>
      <w:r>
        <w:rPr/>
      </w:r>
    </w:p>
    <w:p>
      <w:pPr>
        <w:pStyle w:val="Normal"/>
        <w:spacing w:lineRule="exact" w:line="300" w:before="80" w:after="120"/>
        <w:rPr/>
      </w:pPr>
      <w:r>
        <w:rPr>
          <w:rFonts w:eastAsia="Arial" w:cs="Arial"/>
          <w:color w:val="1A1A1A"/>
          <w:sz w:val="22"/>
          <w:szCs w:val="22"/>
        </w:rPr>
        <w:t>Non-conformities and opportunities for improvement identified through these mechanisms are managed in accordance with the Non-Conformity and Corrective Action Procedure.</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Clause 9.1 Monitoring, measurement, analysis, and evaluation; Clause 9.2 Internal audit; Clause 9.3 Management review; Clause 10.1 Continual improvement; Clause 10.2 Nonconformity and corrective action; A.5.35 Independent review of information security; A.5.36 Compliance with policies, rules, and standards</w:t>
      </w:r>
    </w:p>
    <w:p>
      <w:pPr>
        <w:pStyle w:val="Heading1"/>
        <w:spacing w:before="360" w:after="180"/>
        <w:rPr/>
      </w:pPr>
      <w:r>
        <w:rPr>
          <w:rFonts w:eastAsia="Arial" w:cs="Arial" w:ascii="Arial" w:hAnsi="Arial"/>
          <w:b/>
          <w:bCs/>
          <w:color w:val="0000FF"/>
          <w:sz w:val="36"/>
          <w:szCs w:val="36"/>
        </w:rPr>
        <w:t>22. Related Policies and Procedures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is read and applied together with the following documents (all documents are identified by reference to the current version in the ISMS document register):</w:t>
      </w:r>
    </w:p>
    <w:p>
      <w:pPr>
        <w:pStyle w:val="ListParagraph"/>
        <w:numPr>
          <w:ilvl w:val="0"/>
          <w:numId w:val="1"/>
        </w:numPr>
        <w:spacing w:lineRule="exact" w:line="280" w:before="40" w:after="40"/>
        <w:rPr/>
      </w:pPr>
      <w:r>
        <w:rPr>
          <w:rFonts w:eastAsia="Arial" w:cs="Arial"/>
          <w:color w:val="1A1A1A"/>
          <w:sz w:val="22"/>
          <w:szCs w:val="22"/>
        </w:rPr>
        <w:t>Information Security Policy</w:t>
      </w:r>
    </w:p>
    <w:p>
      <w:pPr>
        <w:pStyle w:val="ListParagraph"/>
        <w:numPr>
          <w:ilvl w:val="0"/>
          <w:numId w:val="1"/>
        </w:numPr>
        <w:spacing w:lineRule="exact" w:line="280" w:before="40" w:after="40"/>
        <w:rPr/>
      </w:pPr>
      <w:r>
        <w:rPr>
          <w:rFonts w:eastAsia="Arial" w:cs="Arial"/>
          <w:color w:val="1A1A1A"/>
          <w:sz w:val="22"/>
          <w:szCs w:val="22"/>
        </w:rPr>
        <w:t>Data Protection Policy</w:t>
      </w:r>
    </w:p>
    <w:p>
      <w:pPr>
        <w:pStyle w:val="ListParagraph"/>
        <w:numPr>
          <w:ilvl w:val="0"/>
          <w:numId w:val="1"/>
        </w:numPr>
        <w:spacing w:lineRule="exact" w:line="280" w:before="40" w:after="40"/>
        <w:rPr/>
      </w:pPr>
      <w:r>
        <w:rPr>
          <w:rFonts w:eastAsia="Arial" w:cs="Arial"/>
          <w:color w:val="1A1A1A"/>
          <w:sz w:val="22"/>
          <w:szCs w:val="22"/>
        </w:rPr>
        <w:t>Access Control Procedure</w:t>
      </w:r>
    </w:p>
    <w:p>
      <w:pPr>
        <w:pStyle w:val="ListParagraph"/>
        <w:numPr>
          <w:ilvl w:val="0"/>
          <w:numId w:val="1"/>
        </w:numPr>
        <w:spacing w:lineRule="exact" w:line="280" w:before="40" w:after="40"/>
        <w:rPr/>
      </w:pPr>
      <w:r>
        <w:rPr>
          <w:rFonts w:eastAsia="Arial" w:cs="Arial"/>
          <w:color w:val="1A1A1A"/>
          <w:sz w:val="22"/>
          <w:szCs w:val="22"/>
        </w:rPr>
        <w:t>Information Classification and Handling Procedure</w:t>
      </w:r>
    </w:p>
    <w:p>
      <w:pPr>
        <w:pStyle w:val="ListParagraph"/>
        <w:numPr>
          <w:ilvl w:val="0"/>
          <w:numId w:val="1"/>
        </w:numPr>
        <w:spacing w:lineRule="exact" w:line="280" w:before="40" w:after="40"/>
        <w:rPr/>
      </w:pPr>
      <w:r>
        <w:rPr>
          <w:rFonts w:eastAsia="Arial" w:cs="Arial"/>
          <w:color w:val="1A1A1A"/>
          <w:sz w:val="22"/>
          <w:szCs w:val="22"/>
        </w:rPr>
        <w:t>Cryptography and Key Management Procedure</w:t>
      </w:r>
    </w:p>
    <w:p>
      <w:pPr>
        <w:pStyle w:val="ListParagraph"/>
        <w:numPr>
          <w:ilvl w:val="0"/>
          <w:numId w:val="1"/>
        </w:numPr>
        <w:spacing w:lineRule="exact" w:line="280" w:before="40" w:after="40"/>
        <w:rPr/>
      </w:pPr>
      <w:r>
        <w:rPr>
          <w:rFonts w:eastAsia="Arial" w:cs="Arial"/>
          <w:color w:val="1A1A1A"/>
          <w:sz w:val="22"/>
          <w:szCs w:val="22"/>
        </w:rPr>
        <w:t>Mobile Device and Remote Working Procedure</w:t>
      </w:r>
    </w:p>
    <w:p>
      <w:pPr>
        <w:pStyle w:val="ListParagraph"/>
        <w:numPr>
          <w:ilvl w:val="0"/>
          <w:numId w:val="1"/>
        </w:numPr>
        <w:spacing w:lineRule="exact" w:line="280" w:before="40" w:after="40"/>
        <w:rPr/>
      </w:pPr>
      <w:r>
        <w:rPr>
          <w:rFonts w:eastAsia="Arial" w:cs="Arial"/>
          <w:color w:val="1A1A1A"/>
          <w:sz w:val="22"/>
          <w:szCs w:val="22"/>
        </w:rPr>
        <w:t>Supplier and Cloud Service Approval Procedure</w:t>
      </w:r>
    </w:p>
    <w:p>
      <w:pPr>
        <w:pStyle w:val="ListParagraph"/>
        <w:numPr>
          <w:ilvl w:val="0"/>
          <w:numId w:val="1"/>
        </w:numPr>
        <w:spacing w:lineRule="exact" w:line="280" w:before="40" w:after="40"/>
        <w:rPr/>
      </w:pPr>
      <w:r>
        <w:rPr>
          <w:rFonts w:eastAsia="Arial" w:cs="Arial"/>
          <w:color w:val="1A1A1A"/>
          <w:sz w:val="22"/>
          <w:szCs w:val="22"/>
        </w:rPr>
        <w:t>Secure Development Procedure</w:t>
      </w:r>
    </w:p>
    <w:p>
      <w:pPr>
        <w:pStyle w:val="ListParagraph"/>
        <w:numPr>
          <w:ilvl w:val="0"/>
          <w:numId w:val="1"/>
        </w:numPr>
        <w:spacing w:lineRule="exact" w:line="280" w:before="40" w:after="40"/>
        <w:rPr/>
      </w:pPr>
      <w:r>
        <w:rPr>
          <w:rFonts w:eastAsia="Arial" w:cs="Arial"/>
          <w:color w:val="1A1A1A"/>
          <w:sz w:val="22"/>
          <w:szCs w:val="22"/>
        </w:rPr>
        <w:t>Change Management Procedure</w:t>
      </w:r>
    </w:p>
    <w:p>
      <w:pPr>
        <w:pStyle w:val="ListParagraph"/>
        <w:numPr>
          <w:ilvl w:val="0"/>
          <w:numId w:val="1"/>
        </w:numPr>
        <w:spacing w:lineRule="exact" w:line="280" w:before="40" w:after="40"/>
        <w:rPr/>
      </w:pPr>
      <w:r>
        <w:rPr>
          <w:rFonts w:eastAsia="Arial" w:cs="Arial"/>
          <w:color w:val="1A1A1A"/>
          <w:sz w:val="22"/>
          <w:szCs w:val="22"/>
        </w:rPr>
        <w:t>Information Security Incident Management Procedure</w:t>
      </w:r>
    </w:p>
    <w:p>
      <w:pPr>
        <w:pStyle w:val="ListParagraph"/>
        <w:numPr>
          <w:ilvl w:val="0"/>
          <w:numId w:val="1"/>
        </w:numPr>
        <w:spacing w:lineRule="exact" w:line="280" w:before="40" w:after="40"/>
        <w:rPr/>
      </w:pPr>
      <w:r>
        <w:rPr>
          <w:rFonts w:eastAsia="Arial" w:cs="Arial"/>
          <w:color w:val="1A1A1A"/>
          <w:sz w:val="22"/>
          <w:szCs w:val="22"/>
        </w:rPr>
        <w:t>Business Continuity Policy and Plan</w:t>
      </w:r>
    </w:p>
    <w:p>
      <w:pPr>
        <w:pStyle w:val="ListParagraph"/>
        <w:numPr>
          <w:ilvl w:val="0"/>
          <w:numId w:val="1"/>
        </w:numPr>
        <w:spacing w:lineRule="exact" w:line="280" w:before="40" w:after="40"/>
        <w:rPr/>
      </w:pPr>
      <w:r>
        <w:rPr>
          <w:rFonts w:eastAsia="Arial" w:cs="Arial"/>
          <w:color w:val="1A1A1A"/>
          <w:sz w:val="22"/>
          <w:szCs w:val="22"/>
        </w:rPr>
        <w:t>Monitoring and Privacy Procedure</w:t>
      </w:r>
    </w:p>
    <w:p>
      <w:pPr>
        <w:pStyle w:val="ListParagraph"/>
        <w:numPr>
          <w:ilvl w:val="0"/>
          <w:numId w:val="1"/>
        </w:numPr>
        <w:spacing w:lineRule="exact" w:line="280" w:before="40" w:after="40"/>
        <w:rPr/>
      </w:pPr>
      <w:r>
        <w:rPr>
          <w:rFonts w:eastAsia="Arial" w:cs="Arial"/>
          <w:color w:val="1A1A1A"/>
          <w:sz w:val="22"/>
          <w:szCs w:val="22"/>
        </w:rPr>
        <w:t>AI Risk Management Procedure</w:t>
      </w:r>
    </w:p>
    <w:p>
      <w:pPr>
        <w:pStyle w:val="ListParagraph"/>
        <w:numPr>
          <w:ilvl w:val="0"/>
          <w:numId w:val="1"/>
        </w:numPr>
        <w:spacing w:lineRule="exact" w:line="280" w:before="40" w:after="40"/>
        <w:rPr/>
      </w:pPr>
      <w:r>
        <w:rPr>
          <w:rFonts w:eastAsia="Arial" w:cs="Arial"/>
          <w:color w:val="1A1A1A"/>
          <w:sz w:val="22"/>
          <w:szCs w:val="22"/>
        </w:rPr>
        <w:t>Records Retention Schedule</w:t>
      </w:r>
    </w:p>
    <w:p>
      <w:pPr>
        <w:pStyle w:val="ListParagraph"/>
        <w:numPr>
          <w:ilvl w:val="0"/>
          <w:numId w:val="1"/>
        </w:numPr>
        <w:spacing w:lineRule="exact" w:line="280" w:before="40" w:after="40"/>
        <w:rPr/>
      </w:pPr>
      <w:r>
        <w:rPr>
          <w:rFonts w:eastAsia="Arial" w:cs="Arial"/>
          <w:color w:val="1A1A1A"/>
          <w:sz w:val="22"/>
          <w:szCs w:val="22"/>
        </w:rPr>
        <w:t>Disciplinary Procedure</w:t>
      </w:r>
    </w:p>
    <w:p>
      <w:pPr>
        <w:pStyle w:val="ListParagraph"/>
        <w:numPr>
          <w:ilvl w:val="0"/>
          <w:numId w:val="1"/>
        </w:numPr>
        <w:spacing w:lineRule="exact" w:line="280" w:before="40" w:after="40"/>
        <w:rPr/>
      </w:pPr>
      <w:r>
        <w:rPr>
          <w:rFonts w:eastAsia="Arial" w:cs="Arial"/>
          <w:color w:val="1A1A1A"/>
          <w:sz w:val="22"/>
          <w:szCs w:val="22"/>
        </w:rPr>
        <w:t>Cloudax Brand Guidelines</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A.5.1 Policies for information security</w:t>
      </w:r>
    </w:p>
    <w:p>
      <w:pPr>
        <w:pStyle w:val="Heading1"/>
        <w:spacing w:before="360" w:after="180"/>
        <w:rPr/>
      </w:pPr>
      <w:r>
        <w:rPr>
          <w:rFonts w:eastAsia="Arial" w:cs="Arial" w:ascii="Arial" w:hAnsi="Arial"/>
          <w:b/>
          <w:bCs/>
          <w:color w:val="0000FF"/>
          <w:sz w:val="36"/>
          <w:szCs w:val="36"/>
        </w:rPr>
        <w:t>23. Review and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Policy is reviewed at least annually by the Information Security Lead, and at any earlier point where:</w:t>
      </w:r>
    </w:p>
    <w:p>
      <w:pPr>
        <w:pStyle w:val="ListParagraph"/>
        <w:numPr>
          <w:ilvl w:val="0"/>
          <w:numId w:val="1"/>
        </w:numPr>
        <w:spacing w:lineRule="exact" w:line="280" w:before="40" w:after="40"/>
        <w:rPr/>
      </w:pPr>
      <w:r>
        <w:rPr>
          <w:rFonts w:eastAsia="Arial" w:cs="Arial"/>
          <w:color w:val="1A1A1A"/>
          <w:sz w:val="22"/>
          <w:szCs w:val="22"/>
        </w:rPr>
        <w:t>There is a material change to the business, technology, services, or workforce of Cloudax.</w:t>
      </w:r>
    </w:p>
    <w:p>
      <w:pPr>
        <w:pStyle w:val="ListParagraph"/>
        <w:numPr>
          <w:ilvl w:val="0"/>
          <w:numId w:val="1"/>
        </w:numPr>
        <w:spacing w:lineRule="exact" w:line="280" w:before="40" w:after="40"/>
        <w:rPr/>
      </w:pPr>
      <w:r>
        <w:rPr>
          <w:rFonts w:eastAsia="Arial" w:cs="Arial"/>
          <w:color w:val="1A1A1A"/>
          <w:sz w:val="22"/>
          <w:szCs w:val="22"/>
        </w:rPr>
        <w:t>There is a material change to the legal, regulatory, or contractual environment.</w:t>
      </w:r>
    </w:p>
    <w:p>
      <w:pPr>
        <w:pStyle w:val="ListParagraph"/>
        <w:numPr>
          <w:ilvl w:val="0"/>
          <w:numId w:val="1"/>
        </w:numPr>
        <w:spacing w:lineRule="exact" w:line="280" w:before="40" w:after="40"/>
        <w:rPr/>
      </w:pPr>
      <w:r>
        <w:rPr>
          <w:rFonts w:eastAsia="Arial" w:cs="Arial"/>
          <w:color w:val="1A1A1A"/>
          <w:sz w:val="22"/>
          <w:szCs w:val="22"/>
        </w:rPr>
        <w:t>Monitoring, audit, management review, or incident analysis identifies a need for change.</w:t>
      </w:r>
    </w:p>
    <w:p>
      <w:pPr>
        <w:pStyle w:val="ListParagraph"/>
        <w:numPr>
          <w:ilvl w:val="0"/>
          <w:numId w:val="1"/>
        </w:numPr>
        <w:spacing w:lineRule="exact" w:line="280" w:before="40" w:after="40"/>
        <w:rPr/>
      </w:pPr>
      <w:r>
        <w:rPr>
          <w:rFonts w:eastAsia="Arial" w:cs="Arial"/>
          <w:color w:val="1A1A1A"/>
          <w:sz w:val="22"/>
          <w:szCs w:val="22"/>
        </w:rPr>
        <w:t>Changes are required to maintain alignment with ISO/IEC 27001:2022 and the SoA.</w:t>
      </w:r>
    </w:p>
    <w:p>
      <w:pPr>
        <w:pStyle w:val="Normal"/>
        <w:spacing w:before="60" w:after="60"/>
        <w:rPr/>
      </w:pPr>
      <w:r>
        <w:rPr/>
      </w:r>
    </w:p>
    <w:p>
      <w:pPr>
        <w:pStyle w:val="Normal"/>
        <w:spacing w:lineRule="exact" w:line="300" w:before="80" w:after="120"/>
        <w:rPr/>
      </w:pPr>
      <w:r>
        <w:rPr>
          <w:rFonts w:eastAsia="Arial" w:cs="Arial"/>
          <w:color w:val="1A1A1A"/>
          <w:sz w:val="22"/>
          <w:szCs w:val="22"/>
        </w:rPr>
        <w:t>Material changes are approved by the Managing Director. All changes are recorded in the version history (Annex B) and communicated to personnel through the channels defined in the Awareness, Training, and Competence Procedure.</w:t>
      </w:r>
    </w:p>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Clause 7.5 Documented information; Clause 9.3 Management review; A.5.1 Policies for information security; A.6.3 Information security awareness, education, and training</w:t>
      </w:r>
    </w:p>
    <w:p>
      <w:pPr>
        <w:pStyle w:val="Heading1"/>
        <w:spacing w:before="360" w:after="180"/>
        <w:rPr/>
      </w:pPr>
      <w:r>
        <w:rPr>
          <w:rFonts w:eastAsia="Arial" w:cs="Arial" w:ascii="Arial" w:hAnsi="Arial"/>
          <w:b/>
          <w:bCs/>
          <w:color w:val="0000FF"/>
          <w:sz w:val="36"/>
          <w:szCs w:val="36"/>
        </w:rPr>
        <w:t>24.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are required to acknowledge that they have read, understood, and agree to comply with this Policy:</w:t>
      </w:r>
    </w:p>
    <w:p>
      <w:pPr>
        <w:pStyle w:val="ListParagraph"/>
        <w:numPr>
          <w:ilvl w:val="0"/>
          <w:numId w:val="1"/>
        </w:numPr>
        <w:spacing w:lineRule="exact" w:line="280" w:before="40" w:after="40"/>
        <w:rPr/>
      </w:pPr>
      <w:r>
        <w:rPr>
          <w:rFonts w:eastAsia="Arial" w:cs="Arial"/>
          <w:color w:val="1A1A1A"/>
          <w:sz w:val="22"/>
          <w:szCs w:val="22"/>
        </w:rPr>
        <w:t>On commencement of employment or engagement with Cloudax.</w:t>
      </w:r>
    </w:p>
    <w:p>
      <w:pPr>
        <w:pStyle w:val="ListParagraph"/>
        <w:numPr>
          <w:ilvl w:val="0"/>
          <w:numId w:val="1"/>
        </w:numPr>
        <w:spacing w:lineRule="exact" w:line="280" w:before="40" w:after="40"/>
        <w:rPr/>
      </w:pPr>
      <w:r>
        <w:rPr>
          <w:rFonts w:eastAsia="Arial" w:cs="Arial"/>
          <w:color w:val="1A1A1A"/>
          <w:sz w:val="22"/>
          <w:szCs w:val="22"/>
        </w:rPr>
        <w:t>Whenever a material change is made to the Policy.</w:t>
      </w:r>
    </w:p>
    <w:p>
      <w:pPr>
        <w:pStyle w:val="ListParagraph"/>
        <w:numPr>
          <w:ilvl w:val="0"/>
          <w:numId w:val="1"/>
        </w:numPr>
        <w:spacing w:lineRule="exact" w:line="280" w:before="40" w:after="40"/>
        <w:rPr/>
      </w:pPr>
      <w:r>
        <w:rPr>
          <w:rFonts w:eastAsia="Arial" w:cs="Arial"/>
          <w:color w:val="1A1A1A"/>
          <w:sz w:val="22"/>
          <w:szCs w:val="22"/>
        </w:rPr>
        <w:t>On request by the Information Security Lead, for example as part of a periodic re-affirmation exercise.</w:t>
      </w:r>
    </w:p>
    <w:p>
      <w:pPr>
        <w:pStyle w:val="Normal"/>
        <w:spacing w:before="60" w:after="60"/>
        <w:rPr/>
      </w:pPr>
      <w:r>
        <w:rPr/>
      </w:r>
    </w:p>
    <w:p>
      <w:pPr>
        <w:pStyle w:val="Normal"/>
        <w:spacing w:lineRule="exact" w:line="300" w:before="80" w:after="120"/>
        <w:rPr/>
      </w:pPr>
      <w:r>
        <w:rPr>
          <w:rFonts w:eastAsia="Arial" w:cs="Arial"/>
          <w:color w:val="1A1A1A"/>
          <w:sz w:val="22"/>
          <w:szCs w:val="22"/>
        </w:rPr>
        <w:t>Acknowledgements are recorded centrally and retained as ISMS evidence in accordance with the Records Retention Schedule. Failure to acknowledge the Policy when requested may itself be treated as a breach of this Policy.</w:t>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spacing w:before="40" w:after="120"/>
        <w:ind w:start="0"/>
        <w:rPr/>
      </w:pPr>
      <w:r>
        <w:rPr>
          <w:rFonts w:eastAsia="Arial" w:cs="Arial"/>
          <w:b/>
          <w:bCs/>
          <w:color w:val="0000FF"/>
          <w:spacing w:val="20"/>
          <w:sz w:val="18"/>
          <w:szCs w:val="18"/>
        </w:rPr>
        <w:t xml:space="preserve">ISO 27001:2022 controls: </w:t>
      </w:r>
      <w:r>
        <w:rPr>
          <w:rFonts w:eastAsia="Arial" w:cs="Arial"/>
          <w:color w:val="1A1A1A"/>
          <w:sz w:val="18"/>
          <w:szCs w:val="18"/>
        </w:rPr>
        <w:t>A.6.2 Terms and conditions of employment; A.6.3 Information security awareness, education, and training; A.6.6 Confidentiality or non-disclosure agreements; A.5.36 Compliance with policies</w:t>
      </w:r>
    </w:p>
    <w:p>
      <w:pPr>
        <w:pStyle w:val="Normal"/>
        <w:rPr/>
      </w:pPr>
      <w:r>
        <w:rPr/>
      </w:r>
      <w:r>
        <w:br w:type="page"/>
      </w:r>
    </w:p>
    <w:p>
      <w:pPr>
        <w:pStyle w:val="Heading1"/>
        <w:spacing w:before="0" w:after="180"/>
        <w:rPr/>
      </w:pPr>
      <w:r>
        <w:rPr>
          <w:rFonts w:eastAsia="Arial" w:cs="Arial" w:ascii="Arial" w:hAnsi="Arial"/>
          <w:b/>
          <w:bCs/>
          <w:color w:val="0000FF"/>
          <w:sz w:val="36"/>
          <w:szCs w:val="36"/>
        </w:rPr>
        <w:t>Annex A — Mapping to ISO/IEC 27001:2022 Annex A Controls</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annex provides a reference mapping between the sections of this Policy and the Annex A controls of ISO/IEC 27001:2022. It is intended to support internal audit, management review, and certification activities. The authoritative list of applicable controls, and the justification for their applicability, is the Statement of Applicability (SoA).</w:t>
      </w:r>
    </w:p>
    <w:tbl>
      <w:tblPr>
        <w:tblW w:w="9026" w:type="dxa"/>
        <w:jc w:val="start"/>
        <w:tblInd w:w="0" w:type="dxa"/>
        <w:tblLayout w:type="fixed"/>
        <w:tblCellMar>
          <w:top w:w="120" w:type="dxa"/>
          <w:start w:w="160" w:type="dxa"/>
          <w:bottom w:w="120" w:type="dxa"/>
          <w:end w:w="160" w:type="dxa"/>
        </w:tblCellMar>
      </w:tblPr>
      <w:tblGrid>
        <w:gridCol w:w="3000"/>
        <w:gridCol w:w="6025"/>
      </w:tblGrid>
      <w:tr>
        <w:trPr>
          <w:tblHeader w:val="true"/>
        </w:trPr>
        <w:tc>
          <w:tcPr>
            <w:tcW w:w="30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pacing w:val="40"/>
                <w:sz w:val="18"/>
                <w:szCs w:val="18"/>
              </w:rPr>
              <w:t>POLICY SECTION</w:t>
            </w:r>
          </w:p>
        </w:tc>
        <w:tc>
          <w:tcPr>
            <w:tcW w:w="6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pacing w:val="40"/>
                <w:sz w:val="18"/>
                <w:szCs w:val="18"/>
              </w:rPr>
              <w:t>ANNEX A CONTROLS</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 Purpose</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 A.5.10</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2. Scope</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A.5.9, A.5.10</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4. Policy Statement</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Clause 5.1; A.5.1, A.5.4</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5. Principles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A.5.3, A.5.10, A.5.15</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6. Roles and Responsibilities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Clause 5.3; A.5.2, A.5.4, A.6.2, A.6.6</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7. General Acceptable Use</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A.5.10, A.5.31, A.5.32, A.5.34, A.8.7</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8. Access Control and Authentication</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A.5.15, A.5.16, A.5.17, A.5.18, A.8.2, A.8.3, A.8.5</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9. Endpoint and Mobile Assets</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A.5.9, A.5.10, A.5.11, A.7.9, A.7.10, A.8.1, A.8.7, A.8.8, A.8.9, A.8.10, A.8.19</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10. Shared Manchester Workspace</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A.7.1, A.7.2, A.7.3, A.7.4, A.7.6, A.7.7, A.7.8, A.7.10, A.7.14</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11. Remote and Travel Working</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A.6.7, A.7.9, A.8.1, A.8.20, A.8.21, A.8.22</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12. Communications and Email</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A.5.14, A.6.3, A.8.20, A.8.23</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13. Information Classification</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A.5.12, A.5.13, A.5.14, A.5.33, A.5.34, A.8.3, A.8.10, A.8.11, A.8.12</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14. AI and Generative AI Tools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A.5.10, A.5.14, A.5.23, A.5.34, A.8.12</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15. Software and Development</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A.5.32, A.8.4, A.8.25, A.8.26, A.8.28, A.8.31, A.8.32, A.8.33</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16. Cloud and Third-Party Tools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A.5.19, A.5.20, A.5.21, A.5.22, A.5.23</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17. Social Media</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A.5.14, A.6.2, A.6.3</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18. Incident Reporting</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A.5.24, A.5.25, A.5.26, A.5.27, A.5.28, A.6.8</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19. Monitoring and Logging</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A.5.34, A.8.15, A.8.16, A.8.17</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20. Breaches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A.6.4, A.5.36</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21. Compliance and Measurement</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Clauses 9.1, 9.2, 9.3, 10.1, 10.2; A.5.35, A.5.36</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22. Related Policies</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A.5.1</w:t>
            </w:r>
          </w:p>
        </w:tc>
      </w:tr>
      <w:tr>
        <w:trPr/>
        <w:tc>
          <w:tcPr>
            <w:tcW w:w="30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20"/>
                <w:szCs w:val="20"/>
              </w:rPr>
              <w:t>23. Review and Maintenance</w:t>
            </w:r>
          </w:p>
        </w:tc>
        <w:tc>
          <w:tcPr>
            <w:tcW w:w="6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Clause 7.5, 9.3; A.5.1, A.6.3</w:t>
            </w:r>
          </w:p>
        </w:tc>
      </w:tr>
      <w:tr>
        <w:trPr/>
        <w:tc>
          <w:tcPr>
            <w:tcW w:w="30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20"/>
                <w:szCs w:val="20"/>
              </w:rPr>
              <w:t>24. Acknowledgement</w:t>
            </w:r>
          </w:p>
        </w:tc>
        <w:tc>
          <w:tcPr>
            <w:tcW w:w="6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A.6.2, A.6.3, A.6.6, A.5.36</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pacing w:val="40"/>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pacing w:val="40"/>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pacing w:val="40"/>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Lead</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w:t>
            </w:r>
          </w:p>
        </w:tc>
      </w:tr>
      <w:tr>
        <w:trPr/>
        <w:tc>
          <w:tcPr>
            <w:tcW w:w="12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2.0</w:t>
            </w:r>
          </w:p>
        </w:tc>
        <w:tc>
          <w:tcPr>
            <w:tcW w:w="1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Information Security Lead</w:t>
            </w:r>
          </w:p>
        </w:tc>
        <w:tc>
          <w:tcPr>
            <w:tcW w:w="4025"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color w:val="1A1A1A"/>
                <w:sz w:val="20"/>
                <w:szCs w:val="20"/>
              </w:rPr>
              <w:t>Aligned to ISO/IEC 27001:2022; added document control, definitions, leadership commitment, classification scheme, AI and cloud use, monitoring, compliance and measurement, related policies, Annex A mapping, and version history.</w:t>
            </w:r>
          </w:p>
        </w:tc>
      </w:tr>
    </w:tbl>
    <w:p>
      <w:pPr>
        <w:pStyle w:val="Normal"/>
        <w:spacing w:before="60" w:after="60"/>
        <w:rPr/>
      </w:pPr>
      <w:r>
        <w:rPr/>
      </w:r>
    </w:p>
    <w:p>
      <w:pPr>
        <w:pStyle w:val="Normal"/>
        <w:spacing w:lineRule="exact" w:line="300" w:before="80" w:after="120"/>
        <w:rPr/>
      </w:pPr>
      <w:r>
        <w:rPr>
          <w:rFonts w:eastAsia="Arial" w:cs="Arial"/>
          <w:color w:val="1A1A1A"/>
          <w:sz w:val="22"/>
          <w:szCs w:val="22"/>
        </w:rPr>
        <w:t>This Annex records the document control history of the Policy. Interim drafts and review comments are retained separately in the ISMS document repository as part of the documented information required by Clause 7.5 of ISO/IEC 27001:2022.</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ISMS-POL-005 Acceptable Use Policy  •  Internal  </w:t>
      <w:tab/>
      <w:t>v2.0  •  April 2026</w:t>
      <w:tab/>
      <w:t xml:space="preserve">Page </w:t>
    </w:r>
    <w:r>
      <w:rPr/>
      <w:fldChar w:fldCharType="begin"/>
    </w:r>
    <w:r>
      <w:rPr/>
      <w:instrText xml:space="preserve"> PAGE </w:instrText>
    </w:r>
    <w:r>
      <w:rPr/>
      <w:fldChar w:fldCharType="separate"/>
    </w:r>
    <w:r>
      <w:rPr/>
      <w:t>20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ISMS-POL-005 Acceptable Use Policy  •  Internal  </w:t>
      <w:tab/>
      <w:t>v2.0  •  April 2026</w:t>
      <w:tab/>
      <w:t xml:space="preserve">Page </w:t>
    </w:r>
    <w:r>
      <w:rPr/>
      <w:fldChar w:fldCharType="begin"/>
    </w:r>
    <w:r>
      <w:rPr/>
      <w:instrText xml:space="preserve"> PAGE </w:instrText>
    </w:r>
    <w:r>
      <w:rPr/>
      <w:fldChar w:fldCharType="separate"/>
    </w:r>
    <w:r>
      <w:rPr/>
      <w:t>20</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20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2026-04-08T14:25:22Z</dcterms:created>
  <dc:creator>David Stokes</dc:creator>
  <dc:description/>
  <dc:language>en-US</dc:language>
  <cp:lastModifiedBy>David Stokes</cp:lastModifiedBy>
  <dcterms:modified xsi:type="dcterms:W3CDTF">2026-04-08T14:57:22Z</dcterms:modified>
  <cp:revision>1</cp:revision>
  <dc:subject/>
  <dc:title>Cloudax Acceptable Use Policy</dc:title>
</cp:coreProperties>
</file>