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38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44"/>
                <w:szCs w:val="44"/>
              </w:rPr>
              <w:t>Information Security Incident Management Policy</w:t>
            </w:r>
          </w:p>
          <w:p>
            <w:pPr>
              <w:pStyle w:val="Normal"/>
              <w:spacing w:before="0" w:after="40"/>
              <w:jc w:val="center"/>
              <w:rPr/>
            </w:pPr>
            <w:r>
              <w:rPr>
                <w:rFonts w:eastAsia="Arial" w:cs="Arial"/>
                <w:color w:val="FFFFFF"/>
                <w:sz w:val="22"/>
                <w:szCs w:val="22"/>
              </w:rPr>
              <w:t>Information Security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ISMS-POL-007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Incident Management Policy</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Information Security Lead</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Managing Director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ISO 27001:2022</w:t>
            </w:r>
          </w:p>
          <w:p>
            <w:pPr>
              <w:pStyle w:val="Normal"/>
              <w:spacing w:before="0" w:after="0"/>
              <w:rPr/>
            </w:pPr>
            <w:r>
              <w:rPr>
                <w:rFonts w:eastAsia="Arial" w:cs="Arial"/>
                <w:color w:val="1A1A1A"/>
                <w:sz w:val="22"/>
                <w:szCs w:val="22"/>
              </w:rPr>
              <w:t>Aligned — see Annex A mapping</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SoA REFERENCE</w:t>
            </w:r>
          </w:p>
          <w:p>
            <w:pPr>
              <w:pStyle w:val="Normal"/>
              <w:spacing w:before="0" w:after="0"/>
              <w:rPr/>
            </w:pPr>
            <w:r>
              <w:rPr>
                <w:rFonts w:eastAsia="Arial" w:cs="Arial"/>
                <w:color w:val="1A1A1A"/>
                <w:sz w:val="22"/>
                <w:szCs w:val="22"/>
              </w:rPr>
              <w:t>SoA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Principles</w:t>
      </w:r>
    </w:p>
    <w:p>
      <w:pPr>
        <w:pStyle w:val="Normal"/>
        <w:spacing w:before="40" w:after="40"/>
        <w:rPr/>
      </w:pPr>
      <w:r>
        <w:rPr>
          <w:rFonts w:eastAsia="Arial" w:cs="Arial"/>
          <w:color w:val="1A1A1A"/>
          <w:sz w:val="22"/>
          <w:szCs w:val="22"/>
        </w:rPr>
        <w:t>5.  Roles and Responsibilities</w:t>
      </w:r>
    </w:p>
    <w:p>
      <w:pPr>
        <w:pStyle w:val="Normal"/>
        <w:spacing w:before="40" w:after="40"/>
        <w:rPr/>
      </w:pPr>
      <w:r>
        <w:rPr>
          <w:rFonts w:eastAsia="Arial" w:cs="Arial"/>
          <w:color w:val="1A1A1A"/>
          <w:sz w:val="22"/>
          <w:szCs w:val="22"/>
        </w:rPr>
        <w:t>6.  Incident Severity Framework</w:t>
      </w:r>
    </w:p>
    <w:p>
      <w:pPr>
        <w:pStyle w:val="Normal"/>
        <w:spacing w:before="40" w:after="40"/>
        <w:rPr/>
      </w:pPr>
      <w:r>
        <w:rPr>
          <w:rFonts w:eastAsia="Arial" w:cs="Arial"/>
          <w:color w:val="1A1A1A"/>
          <w:sz w:val="22"/>
          <w:szCs w:val="22"/>
        </w:rPr>
        <w:t>7.  Reporting an Event</w:t>
      </w:r>
    </w:p>
    <w:p>
      <w:pPr>
        <w:pStyle w:val="Normal"/>
        <w:spacing w:before="40" w:after="40"/>
        <w:rPr/>
      </w:pPr>
      <w:r>
        <w:rPr>
          <w:rFonts w:eastAsia="Arial" w:cs="Arial"/>
          <w:color w:val="1A1A1A"/>
          <w:sz w:val="22"/>
          <w:szCs w:val="22"/>
        </w:rPr>
        <w:t>8.  Triage and Initial Assessment</w:t>
      </w:r>
    </w:p>
    <w:p>
      <w:pPr>
        <w:pStyle w:val="Normal"/>
        <w:spacing w:before="40" w:after="40"/>
        <w:rPr/>
      </w:pPr>
      <w:r>
        <w:rPr>
          <w:rFonts w:eastAsia="Arial" w:cs="Arial"/>
          <w:color w:val="1A1A1A"/>
          <w:sz w:val="22"/>
          <w:szCs w:val="22"/>
        </w:rPr>
        <w:t>9.  Containment, Eradication, and Recovery</w:t>
      </w:r>
    </w:p>
    <w:p>
      <w:pPr>
        <w:pStyle w:val="Normal"/>
        <w:spacing w:before="40" w:after="40"/>
        <w:rPr/>
      </w:pPr>
      <w:r>
        <w:rPr>
          <w:rFonts w:eastAsia="Arial" w:cs="Arial"/>
          <w:color w:val="1A1A1A"/>
          <w:sz w:val="22"/>
          <w:szCs w:val="22"/>
        </w:rPr>
        <w:t>10. Personal Data Breach Handling</w:t>
      </w:r>
    </w:p>
    <w:p>
      <w:pPr>
        <w:pStyle w:val="Normal"/>
        <w:spacing w:before="40" w:after="40"/>
        <w:rPr/>
      </w:pPr>
      <w:r>
        <w:rPr>
          <w:rFonts w:eastAsia="Arial" w:cs="Arial"/>
          <w:color w:val="1A1A1A"/>
          <w:sz w:val="22"/>
          <w:szCs w:val="22"/>
        </w:rPr>
        <w:t>11. Customer and Regulatory Notification</w:t>
      </w:r>
    </w:p>
    <w:p>
      <w:pPr>
        <w:pStyle w:val="Normal"/>
        <w:spacing w:before="40" w:after="40"/>
        <w:rPr/>
      </w:pPr>
      <w:r>
        <w:rPr>
          <w:rFonts w:eastAsia="Arial" w:cs="Arial"/>
          <w:color w:val="1A1A1A"/>
          <w:sz w:val="22"/>
          <w:szCs w:val="22"/>
        </w:rPr>
        <w:t>12. Communication and Coordination</w:t>
      </w:r>
    </w:p>
    <w:p>
      <w:pPr>
        <w:pStyle w:val="Normal"/>
        <w:spacing w:before="40" w:after="40"/>
        <w:rPr/>
      </w:pPr>
      <w:r>
        <w:rPr>
          <w:rFonts w:eastAsia="Arial" w:cs="Arial"/>
          <w:color w:val="1A1A1A"/>
          <w:sz w:val="22"/>
          <w:szCs w:val="22"/>
        </w:rPr>
        <w:t>13. Forensics and Evidence Preservation</w:t>
      </w:r>
    </w:p>
    <w:p>
      <w:pPr>
        <w:pStyle w:val="Normal"/>
        <w:spacing w:before="40" w:after="40"/>
        <w:rPr/>
      </w:pPr>
      <w:r>
        <w:rPr>
          <w:rFonts w:eastAsia="Arial" w:cs="Arial"/>
          <w:color w:val="1A1A1A"/>
          <w:sz w:val="22"/>
          <w:szCs w:val="22"/>
        </w:rPr>
        <w:t>14. Post-Incident Review and Learning</w:t>
      </w:r>
    </w:p>
    <w:p>
      <w:pPr>
        <w:pStyle w:val="Normal"/>
        <w:spacing w:before="40" w:after="40"/>
        <w:rPr/>
      </w:pPr>
      <w:r>
        <w:rPr>
          <w:rFonts w:eastAsia="Arial" w:cs="Arial"/>
          <w:color w:val="1A1A1A"/>
          <w:sz w:val="22"/>
          <w:szCs w:val="22"/>
        </w:rPr>
        <w:t>15. Incident Records and Metrics</w:t>
      </w:r>
    </w:p>
    <w:p>
      <w:pPr>
        <w:pStyle w:val="Normal"/>
        <w:spacing w:before="40" w:after="40"/>
        <w:rPr/>
      </w:pPr>
      <w:r>
        <w:rPr>
          <w:rFonts w:eastAsia="Arial" w:cs="Arial"/>
          <w:color w:val="1A1A1A"/>
          <w:sz w:val="22"/>
          <w:szCs w:val="22"/>
        </w:rPr>
        <w:t>16. Testing and Exercising</w:t>
      </w:r>
    </w:p>
    <w:p>
      <w:pPr>
        <w:pStyle w:val="Normal"/>
        <w:spacing w:before="40" w:after="40"/>
        <w:rPr/>
      </w:pPr>
      <w:r>
        <w:rPr>
          <w:rFonts w:eastAsia="Arial" w:cs="Arial"/>
          <w:color w:val="1A1A1A"/>
          <w:sz w:val="22"/>
          <w:szCs w:val="22"/>
        </w:rPr>
        <w:t>17. Confidentiality and Whistleblowing</w:t>
      </w:r>
    </w:p>
    <w:p>
      <w:pPr>
        <w:pStyle w:val="Normal"/>
        <w:spacing w:before="40" w:after="40"/>
        <w:rPr/>
      </w:pPr>
      <w:r>
        <w:rPr>
          <w:rFonts w:eastAsia="Arial" w:cs="Arial"/>
          <w:color w:val="1A1A1A"/>
          <w:sz w:val="22"/>
          <w:szCs w:val="22"/>
        </w:rPr>
        <w:t>18. Review and Maintenance</w:t>
      </w:r>
    </w:p>
    <w:p>
      <w:pPr>
        <w:pStyle w:val="Normal"/>
        <w:spacing w:before="40" w:after="40"/>
        <w:rPr/>
      </w:pPr>
      <w:r>
        <w:rPr>
          <w:rFonts w:eastAsia="Arial" w:cs="Arial"/>
          <w:color w:val="1A1A1A"/>
          <w:sz w:val="22"/>
          <w:szCs w:val="22"/>
        </w:rPr>
        <w:t>19. Acknowledgement</w:t>
      </w:r>
    </w:p>
    <w:p>
      <w:pPr>
        <w:pStyle w:val="Normal"/>
        <w:spacing w:before="40" w:after="40"/>
        <w:rPr/>
      </w:pPr>
      <w:r>
        <w:rPr>
          <w:rFonts w:eastAsia="Arial" w:cs="Arial"/>
          <w:color w:val="1A1A1A"/>
          <w:sz w:val="22"/>
          <w:szCs w:val="22"/>
        </w:rPr>
        <w:t>Annex A — Mapping to ISO/IEC 27001:2022</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Information Security Incident Management Policy (the “Policy”) defines how Cloudax Ltd. (“Cloudax”) prepares for, detects, responds to, and learns from information security events and incidents.</w:t>
      </w:r>
    </w:p>
    <w:p>
      <w:pPr>
        <w:pStyle w:val="Normal"/>
        <w:spacing w:lineRule="exact" w:line="300" w:before="80" w:after="120"/>
        <w:rPr/>
      </w:pPr>
      <w:r>
        <w:rPr>
          <w:rFonts w:eastAsia="Arial" w:cs="Arial"/>
          <w:color w:val="1A1A1A"/>
          <w:sz w:val="22"/>
          <w:szCs w:val="22"/>
        </w:rPr>
        <w:t>Effective incident management is essential for protecting Cloudax customers, the integrity of the Cloudax platform, and the confidence of regulators, partners, and the wider market.</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A.5.1 Policies for information security; A.5.24 Information security incident management planning and preparation</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applies to all information security events, weaknesses, incidents, and personal data breaches affecting:</w:t>
      </w:r>
    </w:p>
    <w:p>
      <w:pPr>
        <w:pStyle w:val="ListParagraph"/>
        <w:numPr>
          <w:ilvl w:val="0"/>
          <w:numId w:val="3"/>
        </w:numPr>
        <w:spacing w:lineRule="exact" w:line="280" w:before="40" w:after="40"/>
        <w:rPr/>
      </w:pPr>
      <w:r>
        <w:rPr>
          <w:rFonts w:eastAsia="Arial" w:cs="Arial"/>
          <w:color w:val="1A1A1A"/>
          <w:sz w:val="22"/>
          <w:szCs w:val="22"/>
        </w:rPr>
        <w:t>Cloudax information assets, systems, services, and facilities.</w:t>
      </w:r>
    </w:p>
    <w:p>
      <w:pPr>
        <w:pStyle w:val="ListParagraph"/>
        <w:numPr>
          <w:ilvl w:val="0"/>
          <w:numId w:val="1"/>
        </w:numPr>
        <w:spacing w:lineRule="exact" w:line="280" w:before="40" w:after="40"/>
        <w:rPr/>
      </w:pPr>
      <w:r>
        <w:rPr>
          <w:rFonts w:eastAsia="Arial" w:cs="Arial"/>
          <w:color w:val="1A1A1A"/>
          <w:sz w:val="22"/>
          <w:szCs w:val="22"/>
        </w:rPr>
        <w:t>Cloudax customer data and customer-facing services.</w:t>
      </w:r>
    </w:p>
    <w:p>
      <w:pPr>
        <w:pStyle w:val="ListParagraph"/>
        <w:numPr>
          <w:ilvl w:val="0"/>
          <w:numId w:val="1"/>
        </w:numPr>
        <w:spacing w:lineRule="exact" w:line="280" w:before="40" w:after="40"/>
        <w:rPr/>
      </w:pPr>
      <w:r>
        <w:rPr>
          <w:rFonts w:eastAsia="Arial" w:cs="Arial"/>
          <w:color w:val="1A1A1A"/>
          <w:sz w:val="22"/>
          <w:szCs w:val="22"/>
        </w:rPr>
        <w:t>Cloudax personnel and contractors, where their actions or accounts are involved.</w:t>
      </w:r>
    </w:p>
    <w:p>
      <w:pPr>
        <w:pStyle w:val="ListParagraph"/>
        <w:numPr>
          <w:ilvl w:val="0"/>
          <w:numId w:val="1"/>
        </w:numPr>
        <w:spacing w:lineRule="exact" w:line="280" w:before="40" w:after="40"/>
        <w:rPr/>
      </w:pPr>
      <w:r>
        <w:rPr>
          <w:rFonts w:eastAsia="Arial" w:cs="Arial"/>
          <w:color w:val="1A1A1A"/>
          <w:sz w:val="22"/>
          <w:szCs w:val="22"/>
        </w:rPr>
        <w:t>Cloudax suppliers and third parties, where Cloudax information or services are affected.</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A.5.24</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b/>
          <w:bCs/>
          <w:color w:val="1A1A1A"/>
          <w:sz w:val="22"/>
          <w:szCs w:val="22"/>
        </w:rPr>
        <w:t xml:space="preserve">Event: </w:t>
      </w:r>
      <w:r>
        <w:rPr>
          <w:rFonts w:eastAsia="Arial" w:cs="Arial"/>
          <w:color w:val="1A1A1A"/>
          <w:sz w:val="22"/>
          <w:szCs w:val="22"/>
        </w:rPr>
        <w:t>an identified occurrence that may indicate a possible information security policy breach or failure of controls.</w:t>
      </w:r>
    </w:p>
    <w:p>
      <w:pPr>
        <w:pStyle w:val="ListParagraph"/>
        <w:numPr>
          <w:ilvl w:val="0"/>
          <w:numId w:val="1"/>
        </w:numPr>
        <w:spacing w:lineRule="exact" w:line="280" w:before="40" w:after="40"/>
        <w:rPr/>
      </w:pPr>
      <w:r>
        <w:rPr>
          <w:rFonts w:eastAsia="Arial" w:cs="Arial"/>
          <w:b/>
          <w:bCs/>
          <w:color w:val="1A1A1A"/>
          <w:sz w:val="22"/>
          <w:szCs w:val="22"/>
        </w:rPr>
        <w:t xml:space="preserve">Weakness: </w:t>
      </w:r>
      <w:r>
        <w:rPr>
          <w:rFonts w:eastAsia="Arial" w:cs="Arial"/>
          <w:color w:val="1A1A1A"/>
          <w:sz w:val="22"/>
          <w:szCs w:val="22"/>
        </w:rPr>
        <w:t>a deficiency in a control or system that could be exploited.</w:t>
      </w:r>
    </w:p>
    <w:p>
      <w:pPr>
        <w:pStyle w:val="ListParagraph"/>
        <w:numPr>
          <w:ilvl w:val="0"/>
          <w:numId w:val="1"/>
        </w:numPr>
        <w:spacing w:lineRule="exact" w:line="280" w:before="40" w:after="40"/>
        <w:rPr/>
      </w:pPr>
      <w:r>
        <w:rPr>
          <w:rFonts w:eastAsia="Arial" w:cs="Arial"/>
          <w:b/>
          <w:bCs/>
          <w:color w:val="1A1A1A"/>
          <w:sz w:val="22"/>
          <w:szCs w:val="22"/>
        </w:rPr>
        <w:t xml:space="preserve">Incident: </w:t>
      </w:r>
      <w:r>
        <w:rPr>
          <w:rFonts w:eastAsia="Arial" w:cs="Arial"/>
          <w:color w:val="1A1A1A"/>
          <w:sz w:val="22"/>
          <w:szCs w:val="22"/>
        </w:rPr>
        <w:t>a single or series of unwanted or unexpected information security events with a significant probability of compromising business operations or threatening information security.</w:t>
      </w:r>
    </w:p>
    <w:p>
      <w:pPr>
        <w:pStyle w:val="ListParagraph"/>
        <w:numPr>
          <w:ilvl w:val="0"/>
          <w:numId w:val="1"/>
        </w:numPr>
        <w:spacing w:lineRule="exact" w:line="280" w:before="40" w:after="40"/>
        <w:rPr/>
      </w:pPr>
      <w:r>
        <w:rPr>
          <w:rFonts w:eastAsia="Arial" w:cs="Arial"/>
          <w:b/>
          <w:bCs/>
          <w:color w:val="1A1A1A"/>
          <w:sz w:val="22"/>
          <w:szCs w:val="22"/>
        </w:rPr>
        <w:t xml:space="preserve">Personal data breach: </w:t>
      </w:r>
      <w:r>
        <w:rPr>
          <w:rFonts w:eastAsia="Arial" w:cs="Arial"/>
          <w:color w:val="1A1A1A"/>
          <w:sz w:val="22"/>
          <w:szCs w:val="22"/>
        </w:rPr>
        <w:t>a breach of security leading to the accidental or unlawful destruction, loss, alteration, unauthorised disclosure of, or access to, personal data.</w:t>
      </w:r>
    </w:p>
    <w:p>
      <w:pPr>
        <w:pStyle w:val="ListParagraph"/>
        <w:numPr>
          <w:ilvl w:val="0"/>
          <w:numId w:val="1"/>
        </w:numPr>
        <w:spacing w:lineRule="exact" w:line="280" w:before="40" w:after="40"/>
        <w:rPr/>
      </w:pPr>
      <w:r>
        <w:rPr>
          <w:rFonts w:eastAsia="Arial" w:cs="Arial"/>
          <w:b/>
          <w:bCs/>
          <w:color w:val="1A1A1A"/>
          <w:sz w:val="22"/>
          <w:szCs w:val="22"/>
        </w:rPr>
        <w:t xml:space="preserve">Major incident: </w:t>
      </w:r>
      <w:r>
        <w:rPr>
          <w:rFonts w:eastAsia="Arial" w:cs="Arial"/>
          <w:color w:val="1A1A1A"/>
          <w:sz w:val="22"/>
          <w:szCs w:val="22"/>
        </w:rPr>
        <w:t>a Severity 1 or Severity 2 incident as defined in section 6.</w:t>
      </w:r>
    </w:p>
    <w:p>
      <w:pPr>
        <w:pStyle w:val="Heading1"/>
        <w:spacing w:before="360" w:after="180"/>
        <w:rPr/>
      </w:pPr>
      <w:r>
        <w:rPr>
          <w:rFonts w:eastAsia="Arial" w:cs="Arial" w:ascii="Arial" w:hAnsi="Arial"/>
          <w:b/>
          <w:bCs/>
          <w:color w:val="0000FF"/>
          <w:sz w:val="36"/>
          <w:szCs w:val="36"/>
        </w:rPr>
        <w:t>4. Principles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b/>
          <w:bCs/>
          <w:color w:val="1A1A1A"/>
          <w:sz w:val="22"/>
          <w:szCs w:val="22"/>
        </w:rPr>
        <w:t xml:space="preserve">Report early. </w:t>
      </w:r>
      <w:r>
        <w:rPr>
          <w:rFonts w:eastAsia="Arial" w:cs="Arial"/>
          <w:color w:val="1A1A1A"/>
          <w:sz w:val="22"/>
          <w:szCs w:val="22"/>
        </w:rPr>
        <w:t>Early reporting is rewarded, never punished. False alarms are part of a healthy reporting culture.</w:t>
      </w:r>
    </w:p>
    <w:p>
      <w:pPr>
        <w:pStyle w:val="ListParagraph"/>
        <w:numPr>
          <w:ilvl w:val="0"/>
          <w:numId w:val="1"/>
        </w:numPr>
        <w:spacing w:lineRule="exact" w:line="280" w:before="40" w:after="40"/>
        <w:rPr/>
      </w:pPr>
      <w:r>
        <w:rPr>
          <w:rFonts w:eastAsia="Arial" w:cs="Arial"/>
          <w:b/>
          <w:bCs/>
          <w:color w:val="1A1A1A"/>
          <w:sz w:val="22"/>
          <w:szCs w:val="22"/>
        </w:rPr>
        <w:t xml:space="preserve">Assume nothing. </w:t>
      </w:r>
      <w:r>
        <w:rPr>
          <w:rFonts w:eastAsia="Arial" w:cs="Arial"/>
          <w:color w:val="1A1A1A"/>
          <w:sz w:val="22"/>
          <w:szCs w:val="22"/>
        </w:rPr>
        <w:t>Treat events seriously until proven otherwise.</w:t>
      </w:r>
    </w:p>
    <w:p>
      <w:pPr>
        <w:pStyle w:val="ListParagraph"/>
        <w:numPr>
          <w:ilvl w:val="0"/>
          <w:numId w:val="1"/>
        </w:numPr>
        <w:spacing w:lineRule="exact" w:line="280" w:before="40" w:after="40"/>
        <w:rPr/>
      </w:pPr>
      <w:r>
        <w:rPr>
          <w:rFonts w:eastAsia="Arial" w:cs="Arial"/>
          <w:b/>
          <w:bCs/>
          <w:color w:val="1A1A1A"/>
          <w:sz w:val="22"/>
          <w:szCs w:val="22"/>
        </w:rPr>
        <w:t xml:space="preserve">Contain first. </w:t>
      </w:r>
      <w:r>
        <w:rPr>
          <w:rFonts w:eastAsia="Arial" w:cs="Arial"/>
          <w:color w:val="1A1A1A"/>
          <w:sz w:val="22"/>
          <w:szCs w:val="22"/>
        </w:rPr>
        <w:t>Limit the impact before chasing root cause.</w:t>
      </w:r>
    </w:p>
    <w:p>
      <w:pPr>
        <w:pStyle w:val="ListParagraph"/>
        <w:numPr>
          <w:ilvl w:val="0"/>
          <w:numId w:val="1"/>
        </w:numPr>
        <w:spacing w:lineRule="exact" w:line="280" w:before="40" w:after="40"/>
        <w:rPr/>
      </w:pPr>
      <w:r>
        <w:rPr>
          <w:rFonts w:eastAsia="Arial" w:cs="Arial"/>
          <w:b/>
          <w:bCs/>
          <w:color w:val="1A1A1A"/>
          <w:sz w:val="22"/>
          <w:szCs w:val="22"/>
        </w:rPr>
        <w:t xml:space="preserve">Communicate clearly. </w:t>
      </w:r>
      <w:r>
        <w:rPr>
          <w:rFonts w:eastAsia="Arial" w:cs="Arial"/>
          <w:color w:val="1A1A1A"/>
          <w:sz w:val="22"/>
          <w:szCs w:val="22"/>
        </w:rPr>
        <w:t>Keep stakeholders informed in plain language; coordinate external communication centrally.</w:t>
      </w:r>
    </w:p>
    <w:p>
      <w:pPr>
        <w:pStyle w:val="ListParagraph"/>
        <w:numPr>
          <w:ilvl w:val="0"/>
          <w:numId w:val="1"/>
        </w:numPr>
        <w:spacing w:lineRule="exact" w:line="280" w:before="40" w:after="40"/>
        <w:rPr/>
      </w:pPr>
      <w:r>
        <w:rPr>
          <w:rFonts w:eastAsia="Arial" w:cs="Arial"/>
          <w:b/>
          <w:bCs/>
          <w:color w:val="1A1A1A"/>
          <w:sz w:val="22"/>
          <w:szCs w:val="22"/>
        </w:rPr>
        <w:t xml:space="preserve">Learn relentlessly. </w:t>
      </w:r>
      <w:r>
        <w:rPr>
          <w:rFonts w:eastAsia="Arial" w:cs="Arial"/>
          <w:color w:val="1A1A1A"/>
          <w:sz w:val="22"/>
          <w:szCs w:val="22"/>
        </w:rPr>
        <w:t>Every incident is an opportunity to improve controls, processes, and practices.</w:t>
      </w:r>
    </w:p>
    <w:p>
      <w:pPr>
        <w:pStyle w:val="ListParagraph"/>
        <w:numPr>
          <w:ilvl w:val="0"/>
          <w:numId w:val="1"/>
        </w:numPr>
        <w:spacing w:lineRule="exact" w:line="280" w:before="40" w:after="40"/>
        <w:rPr/>
      </w:pPr>
      <w:r>
        <w:rPr>
          <w:rFonts w:eastAsia="Arial" w:cs="Arial"/>
          <w:b/>
          <w:bCs/>
          <w:color w:val="1A1A1A"/>
          <w:sz w:val="22"/>
          <w:szCs w:val="22"/>
        </w:rPr>
        <w:t xml:space="preserve">Blameless. </w:t>
      </w:r>
      <w:r>
        <w:rPr>
          <w:rFonts w:eastAsia="Arial" w:cs="Arial"/>
          <w:color w:val="1A1A1A"/>
          <w:sz w:val="22"/>
          <w:szCs w:val="22"/>
        </w:rPr>
        <w:t>Post-incident reviews focus on systemic factors and improvement, not on personal blame.</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A.5.24, A.5.27 Learning from information security incidents</w:t>
      </w:r>
    </w:p>
    <w:p>
      <w:pPr>
        <w:pStyle w:val="Heading1"/>
        <w:spacing w:before="360" w:after="180"/>
        <w:rPr/>
      </w:pPr>
      <w:r>
        <w:rPr>
          <w:rFonts w:eastAsia="Arial" w:cs="Arial" w:ascii="Arial" w:hAnsi="Arial"/>
          <w:b/>
          <w:bCs/>
          <w:color w:val="0000FF"/>
          <w:sz w:val="36"/>
          <w:szCs w:val="36"/>
        </w:rPr>
        <w:t>5. Roles and Responsibilities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b/>
          <w:bCs/>
          <w:color w:val="1A1A1A"/>
          <w:sz w:val="22"/>
          <w:szCs w:val="22"/>
        </w:rPr>
        <w:t xml:space="preserve">Incident Manager: </w:t>
      </w:r>
      <w:r>
        <w:rPr>
          <w:rFonts w:eastAsia="Arial" w:cs="Arial"/>
          <w:color w:val="1A1A1A"/>
          <w:sz w:val="22"/>
          <w:szCs w:val="22"/>
        </w:rPr>
        <w:t>the named role responsible for coordinating an incident from declaration to closure. The Information Security Lead acts as Incident Manager by default.</w:t>
      </w:r>
    </w:p>
    <w:p>
      <w:pPr>
        <w:pStyle w:val="ListParagraph"/>
        <w:numPr>
          <w:ilvl w:val="0"/>
          <w:numId w:val="1"/>
        </w:numPr>
        <w:spacing w:lineRule="exact" w:line="280" w:before="40" w:after="40"/>
        <w:rPr/>
      </w:pPr>
      <w:r>
        <w:rPr>
          <w:rFonts w:eastAsia="Arial" w:cs="Arial"/>
          <w:b/>
          <w:bCs/>
          <w:color w:val="1A1A1A"/>
          <w:sz w:val="22"/>
          <w:szCs w:val="22"/>
        </w:rPr>
        <w:t xml:space="preserve">Incident Response Team: </w:t>
      </w:r>
      <w:r>
        <w:rPr>
          <w:rFonts w:eastAsia="Arial" w:cs="Arial"/>
          <w:color w:val="1A1A1A"/>
          <w:sz w:val="22"/>
          <w:szCs w:val="22"/>
        </w:rPr>
        <w:t>a cross-functional team assembled per-incident, including engineering, security, data protection, and customer-facing representatives as needed.</w:t>
      </w:r>
    </w:p>
    <w:p>
      <w:pPr>
        <w:pStyle w:val="ListParagraph"/>
        <w:numPr>
          <w:ilvl w:val="0"/>
          <w:numId w:val="1"/>
        </w:numPr>
        <w:spacing w:lineRule="exact" w:line="280" w:before="40" w:after="40"/>
        <w:rPr/>
      </w:pPr>
      <w:r>
        <w:rPr>
          <w:rFonts w:eastAsia="Arial" w:cs="Arial"/>
          <w:b/>
          <w:bCs/>
          <w:color w:val="1A1A1A"/>
          <w:sz w:val="22"/>
          <w:szCs w:val="22"/>
        </w:rPr>
        <w:t xml:space="preserve">Managing Director: </w:t>
      </w:r>
      <w:r>
        <w:rPr>
          <w:rFonts w:eastAsia="Arial" w:cs="Arial"/>
          <w:color w:val="1A1A1A"/>
          <w:sz w:val="22"/>
          <w:szCs w:val="22"/>
        </w:rPr>
        <w:t>authorises decisions of material business, legal, financial, or reputational consequence; serves as ultimate communications authority for major incidents.</w:t>
      </w:r>
    </w:p>
    <w:p>
      <w:pPr>
        <w:pStyle w:val="ListParagraph"/>
        <w:numPr>
          <w:ilvl w:val="0"/>
          <w:numId w:val="1"/>
        </w:numPr>
        <w:spacing w:lineRule="exact" w:line="280" w:before="40" w:after="40"/>
        <w:rPr/>
      </w:pPr>
      <w:r>
        <w:rPr>
          <w:rFonts w:eastAsia="Arial" w:cs="Arial"/>
          <w:b/>
          <w:bCs/>
          <w:color w:val="1A1A1A"/>
          <w:sz w:val="22"/>
          <w:szCs w:val="22"/>
        </w:rPr>
        <w:t xml:space="preserve">Data Protection Lead: </w:t>
      </w:r>
      <w:r>
        <w:rPr>
          <w:rFonts w:eastAsia="Arial" w:cs="Arial"/>
          <w:color w:val="1A1A1A"/>
          <w:sz w:val="22"/>
          <w:szCs w:val="22"/>
        </w:rPr>
        <w:t>leads on personal data breach assessment and notification.</w:t>
      </w:r>
    </w:p>
    <w:p>
      <w:pPr>
        <w:pStyle w:val="ListParagraph"/>
        <w:numPr>
          <w:ilvl w:val="0"/>
          <w:numId w:val="1"/>
        </w:numPr>
        <w:spacing w:lineRule="exact" w:line="280" w:before="40" w:after="40"/>
        <w:rPr/>
      </w:pPr>
      <w:r>
        <w:rPr>
          <w:rFonts w:eastAsia="Arial" w:cs="Arial"/>
          <w:b/>
          <w:bCs/>
          <w:color w:val="1A1A1A"/>
          <w:sz w:val="22"/>
          <w:szCs w:val="22"/>
        </w:rPr>
        <w:t xml:space="preserve">Engineering Lead: </w:t>
      </w:r>
      <w:r>
        <w:rPr>
          <w:rFonts w:eastAsia="Arial" w:cs="Arial"/>
          <w:color w:val="1A1A1A"/>
          <w:sz w:val="22"/>
          <w:szCs w:val="22"/>
        </w:rPr>
        <w:t>leads technical containment, eradication, and recovery for platform incidents.</w:t>
      </w:r>
    </w:p>
    <w:p>
      <w:pPr>
        <w:pStyle w:val="ListParagraph"/>
        <w:numPr>
          <w:ilvl w:val="0"/>
          <w:numId w:val="1"/>
        </w:numPr>
        <w:spacing w:lineRule="exact" w:line="280" w:before="40" w:after="40"/>
        <w:rPr/>
      </w:pPr>
      <w:r>
        <w:rPr>
          <w:rFonts w:eastAsia="Arial" w:cs="Arial"/>
          <w:b/>
          <w:bCs/>
          <w:color w:val="1A1A1A"/>
          <w:sz w:val="22"/>
          <w:szCs w:val="22"/>
        </w:rPr>
        <w:t xml:space="preserve">All personnel: </w:t>
      </w:r>
      <w:r>
        <w:rPr>
          <w:rFonts w:eastAsia="Arial" w:cs="Arial"/>
          <w:color w:val="1A1A1A"/>
          <w:sz w:val="22"/>
          <w:szCs w:val="22"/>
        </w:rPr>
        <w:t>report events and weaknesses promptly; cooperate with the Incident Response Team; preserve evidence.</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A.5.2 Roles and responsibilities; A.5.24</w:t>
      </w:r>
    </w:p>
    <w:p>
      <w:pPr>
        <w:pStyle w:val="Heading1"/>
        <w:spacing w:before="360" w:after="180"/>
        <w:rPr/>
      </w:pPr>
      <w:r>
        <w:rPr>
          <w:rFonts w:eastAsia="Arial" w:cs="Arial" w:ascii="Arial" w:hAnsi="Arial"/>
          <w:b/>
          <w:bCs/>
          <w:color w:val="0000FF"/>
          <w:sz w:val="36"/>
          <w:szCs w:val="36"/>
        </w:rPr>
        <w:t>6. Incident Severity Framework</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Incidents are classified using a severity framework that drives the response and notification path. Severity is reassessed throughout the incident.</w:t>
      </w:r>
    </w:p>
    <w:p>
      <w:pPr>
        <w:pStyle w:val="ListParagraph"/>
        <w:numPr>
          <w:ilvl w:val="0"/>
          <w:numId w:val="1"/>
        </w:numPr>
        <w:spacing w:lineRule="exact" w:line="280" w:before="40" w:after="40"/>
        <w:rPr/>
      </w:pPr>
      <w:r>
        <w:rPr>
          <w:rFonts w:eastAsia="Arial" w:cs="Arial"/>
          <w:b/>
          <w:bCs/>
          <w:color w:val="1A1A1A"/>
          <w:sz w:val="22"/>
          <w:szCs w:val="22"/>
        </w:rPr>
        <w:t xml:space="preserve">Severity 1 — Critical: </w:t>
      </w:r>
      <w:r>
        <w:rPr>
          <w:rFonts w:eastAsia="Arial" w:cs="Arial"/>
          <w:color w:val="1A1A1A"/>
          <w:sz w:val="22"/>
          <w:szCs w:val="22"/>
        </w:rPr>
        <w:t>major impact to multiple customers, confirmed loss of customer data, prolonged platform outage, or material legal/regulatory consequence. Executive notification immediately; full Incident Response Team activated.</w:t>
      </w:r>
    </w:p>
    <w:p>
      <w:pPr>
        <w:pStyle w:val="ListParagraph"/>
        <w:numPr>
          <w:ilvl w:val="0"/>
          <w:numId w:val="1"/>
        </w:numPr>
        <w:spacing w:lineRule="exact" w:line="280" w:before="40" w:after="40"/>
        <w:rPr/>
      </w:pPr>
      <w:r>
        <w:rPr>
          <w:rFonts w:eastAsia="Arial" w:cs="Arial"/>
          <w:b/>
          <w:bCs/>
          <w:color w:val="1A1A1A"/>
          <w:sz w:val="22"/>
          <w:szCs w:val="22"/>
        </w:rPr>
        <w:t xml:space="preserve">Severity 2 — High: </w:t>
      </w:r>
      <w:r>
        <w:rPr>
          <w:rFonts w:eastAsia="Arial" w:cs="Arial"/>
          <w:color w:val="1A1A1A"/>
          <w:sz w:val="22"/>
          <w:szCs w:val="22"/>
        </w:rPr>
        <w:t>significant impact to one or more customers, suspected loss of customer data, partial platform impairment, or notifiable personal data breach. Executive notification within 1 hour; Incident Response Team activated.</w:t>
      </w:r>
    </w:p>
    <w:p>
      <w:pPr>
        <w:pStyle w:val="ListParagraph"/>
        <w:numPr>
          <w:ilvl w:val="0"/>
          <w:numId w:val="1"/>
        </w:numPr>
        <w:spacing w:lineRule="exact" w:line="280" w:before="40" w:after="40"/>
        <w:rPr/>
      </w:pPr>
      <w:r>
        <w:rPr>
          <w:rFonts w:eastAsia="Arial" w:cs="Arial"/>
          <w:b/>
          <w:bCs/>
          <w:color w:val="1A1A1A"/>
          <w:sz w:val="22"/>
          <w:szCs w:val="22"/>
        </w:rPr>
        <w:t xml:space="preserve">Severity 3 — Moderate: </w:t>
      </w:r>
      <w:r>
        <w:rPr>
          <w:rFonts w:eastAsia="Arial" w:cs="Arial"/>
          <w:color w:val="1A1A1A"/>
          <w:sz w:val="22"/>
          <w:szCs w:val="22"/>
        </w:rPr>
        <w:t>limited impact, internal-only effect, or contained issue with no customer impact. Managed by the on-call team with security oversight.</w:t>
      </w:r>
    </w:p>
    <w:p>
      <w:pPr>
        <w:pStyle w:val="ListParagraph"/>
        <w:numPr>
          <w:ilvl w:val="0"/>
          <w:numId w:val="1"/>
        </w:numPr>
        <w:spacing w:lineRule="exact" w:line="280" w:before="40" w:after="40"/>
        <w:rPr/>
      </w:pPr>
      <w:r>
        <w:rPr>
          <w:rFonts w:eastAsia="Arial" w:cs="Arial"/>
          <w:b/>
          <w:bCs/>
          <w:color w:val="1A1A1A"/>
          <w:sz w:val="22"/>
          <w:szCs w:val="22"/>
        </w:rPr>
        <w:t xml:space="preserve">Severity 4 — Low: </w:t>
      </w:r>
      <w:r>
        <w:rPr>
          <w:rFonts w:eastAsia="Arial" w:cs="Arial"/>
          <w:color w:val="1A1A1A"/>
          <w:sz w:val="22"/>
          <w:szCs w:val="22"/>
        </w:rPr>
        <w:t>minor events, near-misses, or weaknesses with no immediate impact. Logged and addressed through normal work.</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A.5.25 Assessment and decision on information security events</w:t>
      </w:r>
    </w:p>
    <w:p>
      <w:pPr>
        <w:pStyle w:val="Heading1"/>
        <w:spacing w:before="360" w:after="180"/>
        <w:rPr/>
      </w:pPr>
      <w:r>
        <w:rPr>
          <w:rFonts w:eastAsia="Arial" w:cs="Arial" w:ascii="Arial" w:hAnsi="Arial"/>
          <w:b/>
          <w:bCs/>
          <w:color w:val="0000FF"/>
          <w:sz w:val="36"/>
          <w:szCs w:val="36"/>
        </w:rPr>
        <w:t>7. Reporting an Event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Personnel must report information security events, weaknesses, and suspected incidents without delay through any of the following channels:</w:t>
      </w:r>
    </w:p>
    <w:p>
      <w:pPr>
        <w:pStyle w:val="ListParagraph"/>
        <w:numPr>
          <w:ilvl w:val="0"/>
          <w:numId w:val="1"/>
        </w:numPr>
        <w:spacing w:lineRule="exact" w:line="280" w:before="40" w:after="40"/>
        <w:rPr/>
      </w:pPr>
      <w:r>
        <w:rPr>
          <w:rFonts w:eastAsia="Arial" w:cs="Arial"/>
          <w:color w:val="1A1A1A"/>
          <w:sz w:val="22"/>
          <w:szCs w:val="22"/>
        </w:rPr>
        <w:t>Direct message in Microsoft Teams or Slack to the Information Security Lead.</w:t>
      </w:r>
    </w:p>
    <w:p>
      <w:pPr>
        <w:pStyle w:val="ListParagraph"/>
        <w:numPr>
          <w:ilvl w:val="0"/>
          <w:numId w:val="1"/>
        </w:numPr>
        <w:spacing w:lineRule="exact" w:line="280" w:before="40" w:after="40"/>
        <w:rPr/>
      </w:pPr>
      <w:r>
        <w:rPr>
          <w:rFonts w:eastAsia="Arial" w:cs="Arial"/>
          <w:color w:val="1A1A1A"/>
          <w:sz w:val="22"/>
          <w:szCs w:val="22"/>
        </w:rPr>
        <w:t>The dedicated security mailbox published on the Cloudax intranet.</w:t>
      </w:r>
    </w:p>
    <w:p>
      <w:pPr>
        <w:pStyle w:val="ListParagraph"/>
        <w:numPr>
          <w:ilvl w:val="0"/>
          <w:numId w:val="1"/>
        </w:numPr>
        <w:spacing w:lineRule="exact" w:line="280" w:before="40" w:after="40"/>
        <w:rPr/>
      </w:pPr>
      <w:r>
        <w:rPr>
          <w:rFonts w:eastAsia="Arial" w:cs="Arial"/>
          <w:color w:val="1A1A1A"/>
          <w:sz w:val="22"/>
          <w:szCs w:val="22"/>
        </w:rPr>
        <w:t>Telephone or in-person contact where chat or email are impractical (e.g. credential compromise).</w:t>
      </w:r>
    </w:p>
    <w:p>
      <w:pPr>
        <w:pStyle w:val="ListParagraph"/>
        <w:numPr>
          <w:ilvl w:val="0"/>
          <w:numId w:val="1"/>
        </w:numPr>
        <w:spacing w:lineRule="exact" w:line="280" w:before="40" w:after="40"/>
        <w:rPr/>
      </w:pPr>
      <w:r>
        <w:rPr>
          <w:rFonts w:eastAsia="Arial" w:cs="Arial"/>
          <w:color w:val="1A1A1A"/>
          <w:sz w:val="22"/>
          <w:szCs w:val="22"/>
        </w:rPr>
        <w:t>Out-of-hours emergency contact route, published on the Cloudax intranet.</w:t>
      </w:r>
    </w:p>
    <w:p>
      <w:pPr>
        <w:pStyle w:val="Normal"/>
        <w:spacing w:lineRule="exact" w:line="300" w:before="80" w:after="120"/>
        <w:rPr/>
      </w:pPr>
      <w:r>
        <w:rPr>
          <w:rFonts w:eastAsia="Arial" w:cs="Arial"/>
          <w:color w:val="1A1A1A"/>
          <w:sz w:val="22"/>
          <w:szCs w:val="22"/>
        </w:rPr>
        <w:t>External parties — customers, suppliers, security researchers, members of the public — may report concerns through the security mailbox or the responsible disclosure channel published on the Cloudax website.</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A.6.8 Information security event reporting</w:t>
      </w:r>
    </w:p>
    <w:p>
      <w:pPr>
        <w:pStyle w:val="Heading1"/>
        <w:spacing w:before="360" w:after="180"/>
        <w:rPr/>
      </w:pPr>
      <w:r>
        <w:rPr>
          <w:rFonts w:eastAsia="Arial" w:cs="Arial" w:ascii="Arial" w:hAnsi="Arial"/>
          <w:b/>
          <w:bCs/>
          <w:color w:val="0000FF"/>
          <w:sz w:val="36"/>
          <w:szCs w:val="36"/>
        </w:rPr>
        <w:t>8. Triage and Initial Assessment</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Reports are acknowledged and triaged by the Information Security Lead or designate.</w:t>
      </w:r>
    </w:p>
    <w:p>
      <w:pPr>
        <w:pStyle w:val="ListParagraph"/>
        <w:numPr>
          <w:ilvl w:val="0"/>
          <w:numId w:val="1"/>
        </w:numPr>
        <w:spacing w:lineRule="exact" w:line="280" w:before="40" w:after="40"/>
        <w:rPr/>
      </w:pPr>
      <w:r>
        <w:rPr>
          <w:rFonts w:eastAsia="Arial" w:cs="Arial"/>
          <w:color w:val="1A1A1A"/>
          <w:sz w:val="22"/>
          <w:szCs w:val="22"/>
        </w:rPr>
        <w:t>Initial assessment includes: nature of the event, systems and information affected, indicators of impact, and provisional severity.</w:t>
      </w:r>
    </w:p>
    <w:p>
      <w:pPr>
        <w:pStyle w:val="ListParagraph"/>
        <w:numPr>
          <w:ilvl w:val="0"/>
          <w:numId w:val="1"/>
        </w:numPr>
        <w:spacing w:lineRule="exact" w:line="280" w:before="40" w:after="40"/>
        <w:rPr/>
      </w:pPr>
      <w:r>
        <w:rPr>
          <w:rFonts w:eastAsia="Arial" w:cs="Arial"/>
          <w:color w:val="1A1A1A"/>
          <w:sz w:val="22"/>
          <w:szCs w:val="22"/>
        </w:rPr>
        <w:t>If the event is assessed as an incident, it is formally declared, an Incident Manager is appointed, and the Incident Response Team is assembled.</w:t>
      </w:r>
    </w:p>
    <w:p>
      <w:pPr>
        <w:pStyle w:val="ListParagraph"/>
        <w:numPr>
          <w:ilvl w:val="0"/>
          <w:numId w:val="1"/>
        </w:numPr>
        <w:spacing w:lineRule="exact" w:line="280" w:before="40" w:after="40"/>
        <w:rPr/>
      </w:pPr>
      <w:r>
        <w:rPr>
          <w:rFonts w:eastAsia="Arial" w:cs="Arial"/>
          <w:color w:val="1A1A1A"/>
          <w:sz w:val="22"/>
          <w:szCs w:val="22"/>
        </w:rPr>
        <w:t>If the event is not an incident, it is logged and — where it represents a weakness or near-miss — routed to corrective action.</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A.5.25 Assessment and decision on information security events</w:t>
      </w:r>
    </w:p>
    <w:p>
      <w:pPr>
        <w:pStyle w:val="Heading1"/>
        <w:spacing w:before="360" w:after="180"/>
        <w:rPr/>
      </w:pPr>
      <w:r>
        <w:rPr>
          <w:rFonts w:eastAsia="Arial" w:cs="Arial" w:ascii="Arial" w:hAnsi="Arial"/>
          <w:b/>
          <w:bCs/>
          <w:color w:val="0000FF"/>
          <w:sz w:val="36"/>
          <w:szCs w:val="36"/>
        </w:rPr>
        <w:t>9. Containment, Eradication, and Recovery</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Containment actions limit further damage — examples include disabling accounts, isolating systems, revoking tokens, or blocking traffic.</w:t>
      </w:r>
    </w:p>
    <w:p>
      <w:pPr>
        <w:pStyle w:val="ListParagraph"/>
        <w:numPr>
          <w:ilvl w:val="0"/>
          <w:numId w:val="1"/>
        </w:numPr>
        <w:spacing w:lineRule="exact" w:line="280" w:before="40" w:after="40"/>
        <w:rPr/>
      </w:pPr>
      <w:r>
        <w:rPr>
          <w:rFonts w:eastAsia="Arial" w:cs="Arial"/>
          <w:color w:val="1A1A1A"/>
          <w:sz w:val="22"/>
          <w:szCs w:val="22"/>
        </w:rPr>
        <w:t>Eradication removes the root cause — examples include patching, removing malicious code, rotating credentials and keys, or hardening configuration.</w:t>
      </w:r>
    </w:p>
    <w:p>
      <w:pPr>
        <w:pStyle w:val="ListParagraph"/>
        <w:numPr>
          <w:ilvl w:val="0"/>
          <w:numId w:val="1"/>
        </w:numPr>
        <w:spacing w:lineRule="exact" w:line="280" w:before="40" w:after="40"/>
        <w:rPr/>
      </w:pPr>
      <w:r>
        <w:rPr>
          <w:rFonts w:eastAsia="Arial" w:cs="Arial"/>
          <w:color w:val="1A1A1A"/>
          <w:sz w:val="22"/>
          <w:szCs w:val="22"/>
        </w:rPr>
        <w:t>Recovery restores affected services to normal operation, with verification before returning to a green state.</w:t>
      </w:r>
    </w:p>
    <w:p>
      <w:pPr>
        <w:pStyle w:val="ListParagraph"/>
        <w:numPr>
          <w:ilvl w:val="0"/>
          <w:numId w:val="1"/>
        </w:numPr>
        <w:spacing w:lineRule="exact" w:line="280" w:before="40" w:after="40"/>
        <w:rPr/>
      </w:pPr>
      <w:r>
        <w:rPr>
          <w:rFonts w:eastAsia="Arial" w:cs="Arial"/>
          <w:color w:val="1A1A1A"/>
          <w:sz w:val="22"/>
          <w:szCs w:val="22"/>
        </w:rPr>
        <w:t>All actions are logged with time, actor, system affected, and rationale.</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A.5.26 Response to information security incidents; A.8.13 Information backup; A.8.14 Redundancy of information processing facilities</w:t>
      </w:r>
    </w:p>
    <w:p>
      <w:pPr>
        <w:pStyle w:val="Heading1"/>
        <w:spacing w:before="360" w:after="180"/>
        <w:rPr/>
      </w:pPr>
      <w:r>
        <w:rPr>
          <w:rFonts w:eastAsia="Arial" w:cs="Arial" w:ascii="Arial" w:hAnsi="Arial"/>
          <w:b/>
          <w:bCs/>
          <w:color w:val="0000FF"/>
          <w:sz w:val="36"/>
          <w:szCs w:val="36"/>
        </w:rPr>
        <w:t>10. Personal Data Breach Handling</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Where an incident may involve personal data, the Data Protection Lead is engaged immediately and conducts an assessment under the UK GDPR. The assessment covers:</w:t>
      </w:r>
    </w:p>
    <w:p>
      <w:pPr>
        <w:pStyle w:val="ListParagraph"/>
        <w:numPr>
          <w:ilvl w:val="0"/>
          <w:numId w:val="1"/>
        </w:numPr>
        <w:spacing w:lineRule="exact" w:line="280" w:before="40" w:after="40"/>
        <w:rPr/>
      </w:pPr>
      <w:r>
        <w:rPr>
          <w:rFonts w:eastAsia="Arial" w:cs="Arial"/>
          <w:color w:val="1A1A1A"/>
          <w:sz w:val="22"/>
          <w:szCs w:val="22"/>
        </w:rPr>
        <w:t>Whether a personal data breach has occurred.</w:t>
      </w:r>
    </w:p>
    <w:p>
      <w:pPr>
        <w:pStyle w:val="ListParagraph"/>
        <w:numPr>
          <w:ilvl w:val="0"/>
          <w:numId w:val="1"/>
        </w:numPr>
        <w:spacing w:lineRule="exact" w:line="280" w:before="40" w:after="40"/>
        <w:rPr/>
      </w:pPr>
      <w:r>
        <w:rPr>
          <w:rFonts w:eastAsia="Arial" w:cs="Arial"/>
          <w:color w:val="1A1A1A"/>
          <w:sz w:val="22"/>
          <w:szCs w:val="22"/>
        </w:rPr>
        <w:t>The nature, categories, and approximate number of data subjects and records affected.</w:t>
      </w:r>
    </w:p>
    <w:p>
      <w:pPr>
        <w:pStyle w:val="ListParagraph"/>
        <w:numPr>
          <w:ilvl w:val="0"/>
          <w:numId w:val="1"/>
        </w:numPr>
        <w:spacing w:lineRule="exact" w:line="280" w:before="40" w:after="40"/>
        <w:rPr/>
      </w:pPr>
      <w:r>
        <w:rPr>
          <w:rFonts w:eastAsia="Arial" w:cs="Arial"/>
          <w:color w:val="1A1A1A"/>
          <w:sz w:val="22"/>
          <w:szCs w:val="22"/>
        </w:rPr>
        <w:t>The likely consequences of the breach for data subjects.</w:t>
      </w:r>
    </w:p>
    <w:p>
      <w:pPr>
        <w:pStyle w:val="ListParagraph"/>
        <w:numPr>
          <w:ilvl w:val="0"/>
          <w:numId w:val="1"/>
        </w:numPr>
        <w:spacing w:lineRule="exact" w:line="280" w:before="40" w:after="40"/>
        <w:rPr/>
      </w:pPr>
      <w:r>
        <w:rPr>
          <w:rFonts w:eastAsia="Arial" w:cs="Arial"/>
          <w:color w:val="1A1A1A"/>
          <w:sz w:val="22"/>
          <w:szCs w:val="22"/>
        </w:rPr>
        <w:t>The measures taken or proposed to address the breach and mitigate possible adverse effects.</w:t>
      </w:r>
    </w:p>
    <w:p>
      <w:pPr>
        <w:pStyle w:val="Normal"/>
        <w:spacing w:lineRule="exact" w:line="300" w:before="80" w:after="120"/>
        <w:rPr/>
      </w:pPr>
      <w:r>
        <w:rPr>
          <w:rFonts w:eastAsia="Arial" w:cs="Arial"/>
          <w:color w:val="1A1A1A"/>
          <w:sz w:val="22"/>
          <w:szCs w:val="22"/>
        </w:rPr>
        <w:t>Where required, the ICO is notified without undue delay and, where feasible, within 72 hours of awareness. Where the breach is likely to result in high risk to data subjects, affected individuals are notified without undue delay. Where Cloudax is a processor, the relevant controller is notified in accordance with the data processing agreement.</w:t>
      </w:r>
    </w:p>
    <w:p>
      <w:pPr>
        <w:pStyle w:val="Normal"/>
        <w:spacing w:lineRule="exact" w:line="300" w:before="80" w:after="120"/>
        <w:rPr/>
      </w:pPr>
      <w:r>
        <w:rPr>
          <w:rFonts w:eastAsia="Arial" w:cs="Arial"/>
          <w:color w:val="1A1A1A"/>
          <w:sz w:val="22"/>
          <w:szCs w:val="22"/>
        </w:rPr>
        <w:t>All personal data breaches — whether or not externally notifiable — are recorded in the Personal Data Breach Register (ISMS-REG-006).</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A.5.34 Privacy and protection of PII; A.5.26</w:t>
      </w:r>
    </w:p>
    <w:p>
      <w:pPr>
        <w:pStyle w:val="Heading1"/>
        <w:spacing w:before="360" w:after="180"/>
        <w:rPr/>
      </w:pPr>
      <w:r>
        <w:rPr>
          <w:rFonts w:eastAsia="Arial" w:cs="Arial" w:ascii="Arial" w:hAnsi="Arial"/>
          <w:b/>
          <w:bCs/>
          <w:color w:val="0000FF"/>
          <w:sz w:val="36"/>
          <w:szCs w:val="36"/>
        </w:rPr>
        <w:t>11. Customer and Regulatory Notification</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Customer notifications are coordinated by the Information Security Lead with input from Engineering, Data Protection, and the Managing Director, and follow the timelines in customer contracts.</w:t>
      </w:r>
    </w:p>
    <w:p>
      <w:pPr>
        <w:pStyle w:val="ListParagraph"/>
        <w:numPr>
          <w:ilvl w:val="0"/>
          <w:numId w:val="1"/>
        </w:numPr>
        <w:spacing w:lineRule="exact" w:line="280" w:before="40" w:after="40"/>
        <w:rPr/>
      </w:pPr>
      <w:r>
        <w:rPr>
          <w:rFonts w:eastAsia="Arial" w:cs="Arial"/>
          <w:color w:val="1A1A1A"/>
          <w:sz w:val="22"/>
          <w:szCs w:val="22"/>
        </w:rPr>
        <w:t>Notifications use plain language, set out the facts known at the time, the actions taken, and the next steps; updates are issued as the picture develops.</w:t>
      </w:r>
    </w:p>
    <w:p>
      <w:pPr>
        <w:pStyle w:val="ListParagraph"/>
        <w:numPr>
          <w:ilvl w:val="0"/>
          <w:numId w:val="1"/>
        </w:numPr>
        <w:spacing w:lineRule="exact" w:line="280" w:before="40" w:after="40"/>
        <w:rPr/>
      </w:pPr>
      <w:r>
        <w:rPr>
          <w:rFonts w:eastAsia="Arial" w:cs="Arial"/>
          <w:color w:val="1A1A1A"/>
          <w:sz w:val="22"/>
          <w:szCs w:val="22"/>
        </w:rPr>
        <w:t>Regulatory notifications are made through the appropriate channels (e.g. ICO online breach reporting form for personal data breaches) and are documented.</w:t>
      </w:r>
    </w:p>
    <w:p>
      <w:pPr>
        <w:pStyle w:val="ListParagraph"/>
        <w:numPr>
          <w:ilvl w:val="0"/>
          <w:numId w:val="1"/>
        </w:numPr>
        <w:spacing w:lineRule="exact" w:line="280" w:before="40" w:after="40"/>
        <w:rPr/>
      </w:pPr>
      <w:r>
        <w:rPr>
          <w:rFonts w:eastAsia="Arial" w:cs="Arial"/>
          <w:color w:val="1A1A1A"/>
          <w:sz w:val="22"/>
          <w:szCs w:val="22"/>
        </w:rPr>
        <w:t>Where law enforcement or sectoral authorities are notified, advice is sought before issuing public communications that could prejudice an investigation.</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A.5.5 Contact with authorities; A.5.6 Contact with special interest groups; A.5.34</w:t>
      </w:r>
    </w:p>
    <w:p>
      <w:pPr>
        <w:pStyle w:val="Heading1"/>
        <w:spacing w:before="360" w:after="180"/>
        <w:rPr/>
      </w:pPr>
      <w:r>
        <w:rPr>
          <w:rFonts w:eastAsia="Arial" w:cs="Arial" w:ascii="Arial" w:hAnsi="Arial"/>
          <w:b/>
          <w:bCs/>
          <w:color w:val="0000FF"/>
          <w:sz w:val="36"/>
          <w:szCs w:val="36"/>
        </w:rPr>
        <w:t>12. Communication and Coordination</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Internal communications during a major incident use a dedicated channel and are led by the Incident Manager.</w:t>
      </w:r>
    </w:p>
    <w:p>
      <w:pPr>
        <w:pStyle w:val="ListParagraph"/>
        <w:numPr>
          <w:ilvl w:val="0"/>
          <w:numId w:val="1"/>
        </w:numPr>
        <w:spacing w:lineRule="exact" w:line="280" w:before="40" w:after="40"/>
        <w:rPr/>
      </w:pPr>
      <w:r>
        <w:rPr>
          <w:rFonts w:eastAsia="Arial" w:cs="Arial"/>
          <w:color w:val="1A1A1A"/>
          <w:sz w:val="22"/>
          <w:szCs w:val="22"/>
        </w:rPr>
        <w:t>External communications are approved by the Managing Director or designated authority.</w:t>
      </w:r>
    </w:p>
    <w:p>
      <w:pPr>
        <w:pStyle w:val="ListParagraph"/>
        <w:numPr>
          <w:ilvl w:val="0"/>
          <w:numId w:val="1"/>
        </w:numPr>
        <w:spacing w:lineRule="exact" w:line="280" w:before="40" w:after="40"/>
        <w:rPr/>
      </w:pPr>
      <w:r>
        <w:rPr>
          <w:rFonts w:eastAsia="Arial" w:cs="Arial"/>
          <w:color w:val="1A1A1A"/>
          <w:sz w:val="22"/>
          <w:szCs w:val="22"/>
        </w:rPr>
        <w:t>Personnel must not discuss live incidents externally, on social media, or with parties outside the response, except as authorised.</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A.5.5 Contact with authorities; Cl. 7.4 Communication</w:t>
      </w:r>
    </w:p>
    <w:p>
      <w:pPr>
        <w:pStyle w:val="Heading1"/>
        <w:spacing w:before="360" w:after="180"/>
        <w:rPr/>
      </w:pPr>
      <w:r>
        <w:rPr>
          <w:rFonts w:eastAsia="Arial" w:cs="Arial" w:ascii="Arial" w:hAnsi="Arial"/>
          <w:b/>
          <w:bCs/>
          <w:color w:val="0000FF"/>
          <w:sz w:val="36"/>
          <w:szCs w:val="36"/>
        </w:rPr>
        <w:t>13. Forensics and Evidence Preservation</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Where an incident may involve criminal activity, regulatory action, or significant legal exposure, evidence is preserved in line with the Forensics and Evidence Procedure (ISMS-PRC-016).</w:t>
      </w:r>
    </w:p>
    <w:p>
      <w:pPr>
        <w:pStyle w:val="ListParagraph"/>
        <w:numPr>
          <w:ilvl w:val="0"/>
          <w:numId w:val="1"/>
        </w:numPr>
        <w:spacing w:lineRule="exact" w:line="280" w:before="40" w:after="40"/>
        <w:rPr/>
      </w:pPr>
      <w:r>
        <w:rPr>
          <w:rFonts w:eastAsia="Arial" w:cs="Arial"/>
          <w:color w:val="1A1A1A"/>
          <w:sz w:val="22"/>
          <w:szCs w:val="22"/>
        </w:rPr>
        <w:t>Where in-house forensics capability is insufficient, an approved external incident response provider may be engaged.</w:t>
      </w:r>
    </w:p>
    <w:p>
      <w:pPr>
        <w:pStyle w:val="ListParagraph"/>
        <w:numPr>
          <w:ilvl w:val="0"/>
          <w:numId w:val="1"/>
        </w:numPr>
        <w:spacing w:lineRule="exact" w:line="280" w:before="40" w:after="40"/>
        <w:rPr/>
      </w:pPr>
      <w:r>
        <w:rPr>
          <w:rFonts w:eastAsia="Arial" w:cs="Arial"/>
          <w:color w:val="1A1A1A"/>
          <w:sz w:val="22"/>
          <w:szCs w:val="22"/>
        </w:rPr>
        <w:t>Chain of custody is maintained for any evidence collected; logs and artefacts are preserved before any remediation that would alter them.</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A.5.28 Collection of evidence</w:t>
      </w:r>
    </w:p>
    <w:p>
      <w:pPr>
        <w:pStyle w:val="Heading1"/>
        <w:spacing w:before="360" w:after="180"/>
        <w:rPr/>
      </w:pPr>
      <w:r>
        <w:rPr>
          <w:rFonts w:eastAsia="Arial" w:cs="Arial" w:ascii="Arial" w:hAnsi="Arial"/>
          <w:b/>
          <w:bCs/>
          <w:color w:val="0000FF"/>
          <w:sz w:val="36"/>
          <w:szCs w:val="36"/>
        </w:rPr>
        <w:t>14. Post-Incident Review and Learning</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Every Severity 1 and 2 incident, and a sample of others, is followed by a blameless post-incident review.</w:t>
      </w:r>
    </w:p>
    <w:p>
      <w:pPr>
        <w:pStyle w:val="ListParagraph"/>
        <w:numPr>
          <w:ilvl w:val="0"/>
          <w:numId w:val="1"/>
        </w:numPr>
        <w:spacing w:lineRule="exact" w:line="280" w:before="40" w:after="40"/>
        <w:rPr/>
      </w:pPr>
      <w:r>
        <w:rPr>
          <w:rFonts w:eastAsia="Arial" w:cs="Arial"/>
          <w:color w:val="1A1A1A"/>
          <w:sz w:val="22"/>
          <w:szCs w:val="22"/>
        </w:rPr>
        <w:t>The review identifies what happened, what went well, what didn’t, contributing factors, and concrete improvements.</w:t>
      </w:r>
    </w:p>
    <w:p>
      <w:pPr>
        <w:pStyle w:val="ListParagraph"/>
        <w:numPr>
          <w:ilvl w:val="0"/>
          <w:numId w:val="1"/>
        </w:numPr>
        <w:spacing w:lineRule="exact" w:line="280" w:before="40" w:after="40"/>
        <w:rPr/>
      </w:pPr>
      <w:r>
        <w:rPr>
          <w:rFonts w:eastAsia="Arial" w:cs="Arial"/>
          <w:color w:val="1A1A1A"/>
          <w:sz w:val="22"/>
          <w:szCs w:val="22"/>
        </w:rPr>
        <w:t>Improvement actions are tracked to closure through the Non-Conformity and Corrective Action Procedure (ISMS-PRC-011).</w:t>
      </w:r>
    </w:p>
    <w:p>
      <w:pPr>
        <w:pStyle w:val="ListParagraph"/>
        <w:numPr>
          <w:ilvl w:val="0"/>
          <w:numId w:val="1"/>
        </w:numPr>
        <w:spacing w:lineRule="exact" w:line="280" w:before="40" w:after="40"/>
        <w:rPr/>
      </w:pPr>
      <w:r>
        <w:rPr>
          <w:rFonts w:eastAsia="Arial" w:cs="Arial"/>
          <w:color w:val="1A1A1A"/>
          <w:sz w:val="22"/>
          <w:szCs w:val="22"/>
        </w:rPr>
        <w:t>Lessons learned are shared internally and, where appropriate, externally.</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A.5.27 Learning from information security incidents; Cl. 10.1 Continual improvement; Cl. 10.2 Nonconformity and corrective action</w:t>
      </w:r>
    </w:p>
    <w:p>
      <w:pPr>
        <w:pStyle w:val="Heading1"/>
        <w:spacing w:before="360" w:after="180"/>
        <w:rPr/>
      </w:pPr>
      <w:r>
        <w:rPr>
          <w:rFonts w:eastAsia="Arial" w:cs="Arial" w:ascii="Arial" w:hAnsi="Arial"/>
          <w:b/>
          <w:bCs/>
          <w:color w:val="0000FF"/>
          <w:sz w:val="36"/>
          <w:szCs w:val="36"/>
        </w:rPr>
        <w:t>15. Incident Records and Metrics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All incidents are recorded in the Information Security Incident Register (ISMS-REG-008).</w:t>
      </w:r>
    </w:p>
    <w:p>
      <w:pPr>
        <w:pStyle w:val="ListParagraph"/>
        <w:numPr>
          <w:ilvl w:val="0"/>
          <w:numId w:val="1"/>
        </w:numPr>
        <w:spacing w:lineRule="exact" w:line="280" w:before="40" w:after="40"/>
        <w:rPr/>
      </w:pPr>
      <w:r>
        <w:rPr>
          <w:rFonts w:eastAsia="Arial" w:cs="Arial"/>
          <w:color w:val="1A1A1A"/>
          <w:sz w:val="22"/>
          <w:szCs w:val="22"/>
        </w:rPr>
        <w:t>Records are retained in line with the Records Retention Schedule (ISMS-REG-010).</w:t>
      </w:r>
    </w:p>
    <w:p>
      <w:pPr>
        <w:pStyle w:val="ListParagraph"/>
        <w:numPr>
          <w:ilvl w:val="0"/>
          <w:numId w:val="1"/>
        </w:numPr>
        <w:spacing w:lineRule="exact" w:line="280" w:before="40" w:after="40"/>
        <w:rPr/>
      </w:pPr>
      <w:r>
        <w:rPr>
          <w:rFonts w:eastAsia="Arial" w:cs="Arial"/>
          <w:color w:val="1A1A1A"/>
          <w:sz w:val="22"/>
          <w:szCs w:val="22"/>
        </w:rPr>
        <w:t>Metrics — including time-to-detect, time-to-respond, time-to-resolve, severity distribution, and recurrence — are reported to management review.</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A.5.24, A.5.27; Cl. 9.1 Monitoring and measurement; Cl. 9.3 Management review</w:t>
      </w:r>
    </w:p>
    <w:p>
      <w:pPr>
        <w:pStyle w:val="Heading1"/>
        <w:spacing w:before="360" w:after="180"/>
        <w:rPr/>
      </w:pPr>
      <w:r>
        <w:rPr>
          <w:rFonts w:eastAsia="Arial" w:cs="Arial" w:ascii="Arial" w:hAnsi="Arial"/>
          <w:b/>
          <w:bCs/>
          <w:color w:val="0000FF"/>
          <w:sz w:val="36"/>
          <w:szCs w:val="36"/>
        </w:rPr>
        <w:t>16. Testing and Exercising</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Incident response is exercised at least annually, including a tabletop exercise and at least one technical scenario.</w:t>
      </w:r>
    </w:p>
    <w:p>
      <w:pPr>
        <w:pStyle w:val="ListParagraph"/>
        <w:numPr>
          <w:ilvl w:val="0"/>
          <w:numId w:val="1"/>
        </w:numPr>
        <w:spacing w:lineRule="exact" w:line="280" w:before="40" w:after="40"/>
        <w:rPr/>
      </w:pPr>
      <w:r>
        <w:rPr>
          <w:rFonts w:eastAsia="Arial" w:cs="Arial"/>
          <w:color w:val="1A1A1A"/>
          <w:sz w:val="22"/>
          <w:szCs w:val="22"/>
        </w:rPr>
        <w:t>Exercises cover security incidents, personal data breaches, supplier incidents, and business continuity scenarios.</w:t>
      </w:r>
    </w:p>
    <w:p>
      <w:pPr>
        <w:pStyle w:val="ListParagraph"/>
        <w:numPr>
          <w:ilvl w:val="0"/>
          <w:numId w:val="1"/>
        </w:numPr>
        <w:spacing w:lineRule="exact" w:line="280" w:before="40" w:after="40"/>
        <w:rPr/>
      </w:pPr>
      <w:r>
        <w:rPr>
          <w:rFonts w:eastAsia="Arial" w:cs="Arial"/>
          <w:color w:val="1A1A1A"/>
          <w:sz w:val="22"/>
          <w:szCs w:val="22"/>
        </w:rPr>
        <w:t>Findings from exercises drive improvements to playbooks, tooling, and training.</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A.5.24, A.5.29 Information security during disruption; A.5.30 ICT readiness for business continuity</w:t>
      </w:r>
    </w:p>
    <w:p>
      <w:pPr>
        <w:pStyle w:val="Heading1"/>
        <w:spacing w:before="360" w:after="180"/>
        <w:rPr/>
      </w:pPr>
      <w:r>
        <w:rPr>
          <w:rFonts w:eastAsia="Arial" w:cs="Arial" w:ascii="Arial" w:hAnsi="Arial"/>
          <w:b/>
          <w:bCs/>
          <w:color w:val="0000FF"/>
          <w:sz w:val="36"/>
          <w:szCs w:val="36"/>
        </w:rPr>
        <w:t>17. Confidentiality and Whistleblowing</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Reports of information security events and concerns are handled with appropriate confidentiality. Personnel reporting in good faith are protected from retaliation, in line with Cloudax’s wider whistleblowing arrangements.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A.6.8; A.5.4</w:t>
      </w:r>
    </w:p>
    <w:p>
      <w:pPr>
        <w:pStyle w:val="Heading1"/>
        <w:spacing w:before="360" w:after="180"/>
        <w:rPr/>
      </w:pPr>
      <w:r>
        <w:rPr>
          <w:rFonts w:eastAsia="Arial" w:cs="Arial" w:ascii="Arial" w:hAnsi="Arial"/>
          <w:b/>
          <w:bCs/>
          <w:color w:val="0000FF"/>
          <w:sz w:val="36"/>
          <w:szCs w:val="36"/>
        </w:rPr>
        <w:t>18. Review and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is reviewed at least annually and on material change. Material changes are approved by the Managing Director and recorded in Annex B.</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Cl. 7.5, 9.3; A.5.1</w:t>
      </w:r>
    </w:p>
    <w:p>
      <w:pPr>
        <w:pStyle w:val="Heading1"/>
        <w:spacing w:before="360" w:after="180"/>
        <w:rPr/>
      </w:pPr>
      <w:r>
        <w:rPr>
          <w:rFonts w:eastAsia="Arial" w:cs="Arial" w:ascii="Arial" w:hAnsi="Arial"/>
          <w:b/>
          <w:bCs/>
          <w:color w:val="0000FF"/>
          <w:sz w:val="36"/>
          <w:szCs w:val="36"/>
        </w:rPr>
        <w:t>19. Acknowledgement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personnel are required to acknowledge this Policy on commencement, on material change, and on request. Acknowledgements are retained as ISMS evidence.</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Mapping to ISO/IEC 27001:2022</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3000"/>
        <w:gridCol w:w="6025"/>
      </w:tblGrid>
      <w:tr>
        <w:trPr>
          <w:tblHeader w:val="true"/>
        </w:trPr>
        <w:tc>
          <w:tcPr>
            <w:tcW w:w="30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POLICY SECTION</w:t>
            </w:r>
          </w:p>
        </w:tc>
        <w:tc>
          <w:tcPr>
            <w:tcW w:w="6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ISO 27001:2022 REFERENCES</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 Purpose</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A.5.1, A.5.24</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2. Scope</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A.5.24</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4. Principles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A.5.24, A.5.27</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5. Roles</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A.5.2, A.5.24</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6. Severity Framework</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A.5.25</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7. Reporting</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A.6.8</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8. Triage</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A.5.25</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9. Containment / Recovery</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A.5.26, A.8.13, A.8.14</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10. Personal Data Breach</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A.5.34, A.5.26</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11. Customer and Regulatory Notification</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A.5.5, A.5.6, A.5.34</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12. Communication</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A.5.5; Cl. 7.4</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13. Forensics</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A.5.28</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14. Post-Incident Review</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A.5.27, Cl. 10.1, 10.2</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15. Records and Metrics</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A.5.24, A.5.27; Cl. 9.1, 9.3</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16. Testing</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A.5.24, A.5.29, A.5.30</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17. Confidentiality / Whistleblowing</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A.6.8, A.5.4</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18. Review</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Cl. 7.5, 9.3; A.5.1</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19. Acknowledgement</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A.6.2, A.6.3, A.5.36</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Lead</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27001:2022 and the UK GDPR.</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ISMS-POL-007 Incident Management Policy  •  Internal  </w:t>
      <w:tab/>
      <w:t>v1.0  •  April 2026</w:t>
      <w:tab/>
      <w:t xml:space="preserve">Page </w:t>
    </w:r>
    <w:r>
      <w:rPr/>
      <w:fldChar w:fldCharType="begin"/>
    </w:r>
    <w:r>
      <w:rPr/>
      <w:instrText xml:space="preserve"> PAGE </w:instrText>
    </w:r>
    <w:r>
      <w:rPr/>
      <w:fldChar w:fldCharType="separate"/>
    </w:r>
    <w:r>
      <w:rPr/>
      <w:t>10</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ISMS-POL-007 Incident Management Policy  •  Internal  </w:t>
      <w:tab/>
      <w:t>v1.0  •  April 2026</w:t>
      <w:tab/>
      <w:t xml:space="preserve">Page </w:t>
    </w:r>
    <w:r>
      <w:rPr/>
      <w:fldChar w:fldCharType="begin"/>
    </w:r>
    <w:r>
      <w:rPr/>
      <w:instrText xml:space="preserve"> PAGE </w:instrText>
    </w:r>
    <w:r>
      <w:rPr/>
      <w:fldChar w:fldCharType="separate"/>
    </w:r>
    <w:r>
      <w:rPr/>
      <w:t>10</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2026-04-29T16:17:52Z</dcterms:created>
  <dc:creator>David Stokes</dc:creator>
  <dc:description/>
  <dc:language>en-US</dc:language>
  <cp:lastModifiedBy>David Stokes</cp:lastModifiedBy>
  <dcterms:modified xsi:type="dcterms:W3CDTF">2026-04-29T17:04:52Z</dcterms:modified>
  <cp:revision>1</cp:revision>
  <dc:subject/>
  <dc:title>Cloudax Incident Management Policy</dc:title>
</cp:coreProperties>
</file>