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42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AI Policy</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AI-POL-001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Statement from the Chief Executive Officer</w:t>
      </w:r>
    </w:p>
    <w:p>
      <w:pPr>
        <w:pStyle w:val="Normal"/>
        <w:spacing w:before="40" w:after="40"/>
        <w:rPr/>
      </w:pPr>
      <w:r>
        <w:rPr>
          <w:rFonts w:eastAsia="Arial" w:cs="Arial"/>
          <w:color w:val="1A1A1A"/>
          <w:sz w:val="22"/>
          <w:szCs w:val="22"/>
        </w:rPr>
        <w:t>5. AI Principles</w:t>
      </w:r>
    </w:p>
    <w:p>
      <w:pPr>
        <w:pStyle w:val="Normal"/>
        <w:spacing w:before="40" w:after="40"/>
        <w:rPr/>
      </w:pPr>
      <w:r>
        <w:rPr>
          <w:rFonts w:eastAsia="Arial" w:cs="Arial"/>
          <w:color w:val="1A1A1A"/>
          <w:sz w:val="22"/>
          <w:szCs w:val="22"/>
        </w:rPr>
        <w:t xml:space="preserve">   </w:t>
      </w:r>
      <w:r>
        <w:rPr>
          <w:rFonts w:eastAsia="Arial" w:cs="Arial"/>
          <w:color w:val="1A1A1A"/>
          <w:sz w:val="22"/>
          <w:szCs w:val="22"/>
        </w:rPr>
        <w:t>5.1 Lawful and Ethical</w:t>
      </w:r>
    </w:p>
    <w:p>
      <w:pPr>
        <w:pStyle w:val="Normal"/>
        <w:spacing w:before="40" w:after="40"/>
        <w:rPr/>
      </w:pPr>
      <w:r>
        <w:rPr>
          <w:rFonts w:eastAsia="Arial" w:cs="Arial"/>
          <w:color w:val="1A1A1A"/>
          <w:sz w:val="22"/>
          <w:szCs w:val="22"/>
        </w:rPr>
        <w:t xml:space="preserve">   </w:t>
      </w:r>
      <w:r>
        <w:rPr>
          <w:rFonts w:eastAsia="Arial" w:cs="Arial"/>
          <w:color w:val="1A1A1A"/>
          <w:sz w:val="22"/>
          <w:szCs w:val="22"/>
        </w:rPr>
        <w:t>5.2 Risk-Based and Proportionate</w:t>
      </w:r>
    </w:p>
    <w:p>
      <w:pPr>
        <w:pStyle w:val="Normal"/>
        <w:spacing w:before="40" w:after="40"/>
        <w:rPr/>
      </w:pPr>
      <w:r>
        <w:rPr>
          <w:rFonts w:eastAsia="Arial" w:cs="Arial"/>
          <w:color w:val="1A1A1A"/>
          <w:sz w:val="22"/>
          <w:szCs w:val="22"/>
        </w:rPr>
        <w:t xml:space="preserve">   </w:t>
      </w:r>
      <w:r>
        <w:rPr>
          <w:rFonts w:eastAsia="Arial" w:cs="Arial"/>
          <w:color w:val="1A1A1A"/>
          <w:sz w:val="22"/>
          <w:szCs w:val="22"/>
        </w:rPr>
        <w:t>5.3 Transparent and Explainable</w:t>
      </w:r>
    </w:p>
    <w:p>
      <w:pPr>
        <w:pStyle w:val="Normal"/>
        <w:spacing w:before="40" w:after="40"/>
        <w:rPr/>
      </w:pPr>
      <w:r>
        <w:rPr>
          <w:rFonts w:eastAsia="Arial" w:cs="Arial"/>
          <w:color w:val="1A1A1A"/>
          <w:sz w:val="22"/>
          <w:szCs w:val="22"/>
        </w:rPr>
        <w:t xml:space="preserve">   </w:t>
      </w:r>
      <w:r>
        <w:rPr>
          <w:rFonts w:eastAsia="Arial" w:cs="Arial"/>
          <w:color w:val="1A1A1A"/>
          <w:sz w:val="22"/>
          <w:szCs w:val="22"/>
        </w:rPr>
        <w:t>5.4 Fair and Inclusive</w:t>
      </w:r>
    </w:p>
    <w:p>
      <w:pPr>
        <w:pStyle w:val="Normal"/>
        <w:spacing w:before="40" w:after="40"/>
        <w:rPr/>
      </w:pPr>
      <w:r>
        <w:rPr>
          <w:rFonts w:eastAsia="Arial" w:cs="Arial"/>
          <w:color w:val="1A1A1A"/>
          <w:sz w:val="22"/>
          <w:szCs w:val="22"/>
        </w:rPr>
        <w:t xml:space="preserve">   </w:t>
      </w:r>
      <w:r>
        <w:rPr>
          <w:rFonts w:eastAsia="Arial" w:cs="Arial"/>
          <w:color w:val="1A1A1A"/>
          <w:sz w:val="22"/>
          <w:szCs w:val="22"/>
        </w:rPr>
        <w:t>5.5 Privacy-Preserving</w:t>
      </w:r>
    </w:p>
    <w:p>
      <w:pPr>
        <w:pStyle w:val="Normal"/>
        <w:spacing w:before="40" w:after="40"/>
        <w:rPr/>
      </w:pPr>
      <w:r>
        <w:rPr>
          <w:rFonts w:eastAsia="Arial" w:cs="Arial"/>
          <w:color w:val="1A1A1A"/>
          <w:sz w:val="22"/>
          <w:szCs w:val="22"/>
        </w:rPr>
        <w:t xml:space="preserve">   </w:t>
      </w:r>
      <w:r>
        <w:rPr>
          <w:rFonts w:eastAsia="Arial" w:cs="Arial"/>
          <w:color w:val="1A1A1A"/>
          <w:sz w:val="22"/>
          <w:szCs w:val="22"/>
        </w:rPr>
        <w:t>5.6 Robust and Secure</w:t>
      </w:r>
    </w:p>
    <w:p>
      <w:pPr>
        <w:pStyle w:val="Normal"/>
        <w:spacing w:before="40" w:after="40"/>
        <w:rPr/>
      </w:pPr>
      <w:r>
        <w:rPr>
          <w:rFonts w:eastAsia="Arial" w:cs="Arial"/>
          <w:color w:val="1A1A1A"/>
          <w:sz w:val="22"/>
          <w:szCs w:val="22"/>
        </w:rPr>
        <w:t xml:space="preserve">   </w:t>
      </w:r>
      <w:r>
        <w:rPr>
          <w:rFonts w:eastAsia="Arial" w:cs="Arial"/>
          <w:color w:val="1A1A1A"/>
          <w:sz w:val="22"/>
          <w:szCs w:val="22"/>
        </w:rPr>
        <w:t>5.7 Human-Overseen and Accountable</w:t>
      </w:r>
    </w:p>
    <w:p>
      <w:pPr>
        <w:pStyle w:val="Normal"/>
        <w:spacing w:before="40" w:after="40"/>
        <w:rPr/>
      </w:pPr>
      <w:r>
        <w:rPr>
          <w:rFonts w:eastAsia="Arial" w:cs="Arial"/>
          <w:color w:val="1A1A1A"/>
          <w:sz w:val="22"/>
          <w:szCs w:val="22"/>
        </w:rPr>
        <w:t xml:space="preserve">   </w:t>
      </w:r>
      <w:r>
        <w:rPr>
          <w:rFonts w:eastAsia="Arial" w:cs="Arial"/>
          <w:color w:val="1A1A1A"/>
          <w:sz w:val="22"/>
          <w:szCs w:val="22"/>
        </w:rPr>
        <w:t>5.8 Sustainable</w:t>
      </w:r>
    </w:p>
    <w:p>
      <w:pPr>
        <w:pStyle w:val="Normal"/>
        <w:spacing w:before="40" w:after="40"/>
        <w:rPr/>
      </w:pPr>
      <w:r>
        <w:rPr>
          <w:rFonts w:eastAsia="Arial" w:cs="Arial"/>
          <w:color w:val="1A1A1A"/>
          <w:sz w:val="22"/>
          <w:szCs w:val="22"/>
        </w:rPr>
        <w:t>6. Roles and Responsibilities</w:t>
      </w:r>
    </w:p>
    <w:p>
      <w:pPr>
        <w:pStyle w:val="Normal"/>
        <w:spacing w:before="40" w:after="40"/>
        <w:rPr/>
      </w:pPr>
      <w:r>
        <w:rPr>
          <w:rFonts w:eastAsia="Arial" w:cs="Arial"/>
          <w:color w:val="1A1A1A"/>
          <w:sz w:val="22"/>
          <w:szCs w:val="22"/>
        </w:rPr>
        <w:t>7. AI Risk Management</w:t>
      </w:r>
    </w:p>
    <w:p>
      <w:pPr>
        <w:pStyle w:val="Normal"/>
        <w:spacing w:before="40" w:after="40"/>
        <w:rPr/>
      </w:pPr>
      <w:r>
        <w:rPr>
          <w:rFonts w:eastAsia="Arial" w:cs="Arial"/>
          <w:color w:val="1A1A1A"/>
          <w:sz w:val="22"/>
          <w:szCs w:val="22"/>
        </w:rPr>
        <w:t>8. AI Lifecycle Governance</w:t>
      </w:r>
    </w:p>
    <w:p>
      <w:pPr>
        <w:pStyle w:val="Normal"/>
        <w:spacing w:before="40" w:after="40"/>
        <w:rPr/>
      </w:pPr>
      <w:r>
        <w:rPr>
          <w:rFonts w:eastAsia="Arial" w:cs="Arial"/>
          <w:color w:val="1A1A1A"/>
          <w:sz w:val="22"/>
          <w:szCs w:val="22"/>
        </w:rPr>
        <w:t>9. Data for AI Systems</w:t>
      </w:r>
    </w:p>
    <w:p>
      <w:pPr>
        <w:pStyle w:val="Normal"/>
        <w:spacing w:before="40" w:after="40"/>
        <w:rPr/>
      </w:pPr>
      <w:r>
        <w:rPr>
          <w:rFonts w:eastAsia="Arial" w:cs="Arial"/>
          <w:color w:val="1A1A1A"/>
          <w:sz w:val="22"/>
          <w:szCs w:val="22"/>
        </w:rPr>
        <w:t>10. Transparency and Information Provision</w:t>
      </w:r>
    </w:p>
    <w:p>
      <w:pPr>
        <w:pStyle w:val="Normal"/>
        <w:spacing w:before="40" w:after="40"/>
        <w:rPr/>
      </w:pPr>
      <w:r>
        <w:rPr>
          <w:rFonts w:eastAsia="Arial" w:cs="Arial"/>
          <w:color w:val="1A1A1A"/>
          <w:sz w:val="22"/>
          <w:szCs w:val="22"/>
        </w:rPr>
        <w:t>11. Responsible Use of AI</w:t>
      </w:r>
    </w:p>
    <w:p>
      <w:pPr>
        <w:pStyle w:val="Normal"/>
        <w:spacing w:before="40" w:after="40"/>
        <w:rPr/>
      </w:pPr>
      <w:r>
        <w:rPr>
          <w:rFonts w:eastAsia="Arial" w:cs="Arial"/>
          <w:color w:val="1A1A1A"/>
          <w:sz w:val="22"/>
          <w:szCs w:val="22"/>
        </w:rPr>
        <w:t>12. Third-Party AI</w:t>
      </w:r>
    </w:p>
    <w:p>
      <w:pPr>
        <w:pStyle w:val="Normal"/>
        <w:spacing w:before="40" w:after="40"/>
        <w:rPr/>
      </w:pPr>
      <w:r>
        <w:rPr>
          <w:rFonts w:eastAsia="Arial" w:cs="Arial"/>
          <w:color w:val="1A1A1A"/>
          <w:sz w:val="22"/>
          <w:szCs w:val="22"/>
        </w:rPr>
        <w:t>13. AI Impact Assessment (AISIA)</w:t>
      </w:r>
    </w:p>
    <w:p>
      <w:pPr>
        <w:pStyle w:val="Normal"/>
        <w:spacing w:before="40" w:after="40"/>
        <w:rPr/>
      </w:pPr>
      <w:r>
        <w:rPr>
          <w:rFonts w:eastAsia="Arial" w:cs="Arial"/>
          <w:color w:val="1A1A1A"/>
          <w:sz w:val="22"/>
          <w:szCs w:val="22"/>
        </w:rPr>
        <w:t>14. Personnel and Competence</w:t>
      </w:r>
    </w:p>
    <w:p>
      <w:pPr>
        <w:pStyle w:val="Normal"/>
        <w:spacing w:before="40" w:after="40"/>
        <w:rPr/>
      </w:pPr>
      <w:r>
        <w:rPr>
          <w:rFonts w:eastAsia="Arial" w:cs="Arial"/>
          <w:color w:val="1A1A1A"/>
          <w:sz w:val="22"/>
          <w:szCs w:val="22"/>
        </w:rPr>
        <w:t>15. AI Incident Response</w:t>
      </w:r>
    </w:p>
    <w:p>
      <w:pPr>
        <w:pStyle w:val="Normal"/>
        <w:spacing w:before="40" w:after="40"/>
        <w:rPr/>
      </w:pPr>
      <w:r>
        <w:rPr>
          <w:rFonts w:eastAsia="Arial" w:cs="Arial"/>
          <w:color w:val="1A1A1A"/>
          <w:sz w:val="22"/>
          <w:szCs w:val="22"/>
        </w:rPr>
        <w:t>16. Compliance and Audit</w:t>
      </w:r>
    </w:p>
    <w:p>
      <w:pPr>
        <w:pStyle w:val="Normal"/>
        <w:spacing w:before="40" w:after="40"/>
        <w:rPr/>
      </w:pPr>
      <w:r>
        <w:rPr>
          <w:rFonts w:eastAsia="Arial" w:cs="Arial"/>
          <w:color w:val="1A1A1A"/>
          <w:sz w:val="22"/>
          <w:szCs w:val="22"/>
        </w:rPr>
        <w:t>17. Communication of this Policy</w:t>
      </w:r>
    </w:p>
    <w:p>
      <w:pPr>
        <w:pStyle w:val="Normal"/>
        <w:spacing w:before="40" w:after="40"/>
        <w:rPr/>
      </w:pPr>
      <w:r>
        <w:rPr>
          <w:rFonts w:eastAsia="Arial" w:cs="Arial"/>
          <w:color w:val="1A1A1A"/>
          <w:sz w:val="22"/>
          <w:szCs w:val="22"/>
        </w:rPr>
        <w:t>18. Review and Maintenance</w:t>
      </w:r>
    </w:p>
    <w:p>
      <w:pPr>
        <w:pStyle w:val="Normal"/>
        <w:spacing w:before="40" w:after="40"/>
        <w:rPr/>
      </w:pPr>
      <w:r>
        <w:rPr>
          <w:rFonts w:eastAsia="Arial" w:cs="Arial"/>
          <w:color w:val="1A1A1A"/>
          <w:sz w:val="22"/>
          <w:szCs w:val="22"/>
        </w:rPr>
        <w:t>19. Disciplinary Consequences</w:t>
      </w:r>
    </w:p>
    <w:p>
      <w:pPr>
        <w:pStyle w:val="Normal"/>
        <w:spacing w:before="40" w:after="40"/>
        <w:rPr/>
      </w:pPr>
      <w:r>
        <w:rPr>
          <w:rFonts w:eastAsia="Arial" w:cs="Arial"/>
          <w:color w:val="1A1A1A"/>
          <w:sz w:val="22"/>
          <w:szCs w:val="22"/>
        </w:rPr>
        <w:t>20. Acknowledgement</w:t>
      </w:r>
    </w:p>
    <w:p>
      <w:pPr>
        <w:pStyle w:val="Normal"/>
        <w:spacing w:before="40" w:after="40"/>
        <w:rPr/>
      </w:pPr>
      <w:r>
        <w:rPr>
          <w:rFonts w:eastAsia="Arial" w:cs="Arial"/>
          <w:color w:val="1A1A1A"/>
          <w:sz w:val="22"/>
          <w:szCs w:val="22"/>
        </w:rPr>
        <w:t>Annex A — ISO/IEC 42001:2023 Clause Mapping</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AI Policy (the “Policy”) is the apex policy of the Cloudax Ltd. AI Management System (AIMS). It sets out the principles, governance, and accountabilities that apply to every AI system that Cloudax develops, operates, supplies, or uses.</w:t>
      </w:r>
    </w:p>
    <w:p>
      <w:pPr>
        <w:pStyle w:val="Normal"/>
        <w:spacing w:lineRule="exact" w:line="300" w:before="80" w:after="120"/>
        <w:rPr/>
      </w:pPr>
      <w:r>
        <w:rPr>
          <w:rFonts w:eastAsia="Arial" w:cs="Arial"/>
          <w:color w:val="1A1A1A"/>
          <w:sz w:val="22"/>
          <w:szCs w:val="22"/>
        </w:rPr>
        <w:t>The Policy gives effect to ISO/IEC 42001:2023 Clauses 5.2 (AI policy) and supports the operation of the AIMS as a whole. It is approved by the Chief Executive Officer and is binding on every person engaged by Cloudax.</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Clause 5.1 Leadership and commitment; Clause 5.2 AI policy; A.2.2 AI policy; A.2.3 Alignment with other organizational policies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w:t>
      </w:r>
    </w:p>
    <w:p>
      <w:pPr>
        <w:pStyle w:val="ListParagraph"/>
        <w:numPr>
          <w:ilvl w:val="0"/>
          <w:numId w:val="3"/>
        </w:numPr>
        <w:spacing w:lineRule="exact" w:line="280" w:before="40" w:after="40"/>
        <w:rPr/>
      </w:pPr>
      <w:r>
        <w:rPr>
          <w:rFonts w:eastAsia="Arial" w:cs="Arial"/>
          <w:color w:val="1A1A1A"/>
          <w:sz w:val="22"/>
          <w:szCs w:val="22"/>
        </w:rPr>
        <w:t>All AI systems developed by Cloudax, including the conversational AI platform and any AI features within it.</w:t>
      </w:r>
    </w:p>
    <w:p>
      <w:pPr>
        <w:pStyle w:val="ListParagraph"/>
        <w:numPr>
          <w:ilvl w:val="0"/>
          <w:numId w:val="1"/>
        </w:numPr>
        <w:spacing w:lineRule="exact" w:line="280" w:before="40" w:after="40"/>
        <w:rPr/>
      </w:pPr>
      <w:r>
        <w:rPr>
          <w:rFonts w:eastAsia="Arial" w:cs="Arial"/>
          <w:color w:val="1A1A1A"/>
          <w:sz w:val="22"/>
          <w:szCs w:val="22"/>
        </w:rPr>
        <w:t>All AI capabilities operated by Cloudax in production on behalf of customers.</w:t>
      </w:r>
    </w:p>
    <w:p>
      <w:pPr>
        <w:pStyle w:val="ListParagraph"/>
        <w:numPr>
          <w:ilvl w:val="0"/>
          <w:numId w:val="1"/>
        </w:numPr>
        <w:spacing w:lineRule="exact" w:line="280" w:before="40" w:after="40"/>
        <w:rPr/>
      </w:pPr>
      <w:r>
        <w:rPr>
          <w:rFonts w:eastAsia="Arial" w:cs="Arial"/>
          <w:color w:val="1A1A1A"/>
          <w:sz w:val="22"/>
          <w:szCs w:val="22"/>
        </w:rPr>
        <w:t>All AI capabilities consumed by Cloudax from third-party providers (e.g. large s, automatic speech recognition, text-to-speech, foundation models).</w:t>
      </w:r>
    </w:p>
    <w:p>
      <w:pPr>
        <w:pStyle w:val="ListParagraph"/>
        <w:numPr>
          <w:ilvl w:val="0"/>
          <w:numId w:val="1"/>
        </w:numPr>
        <w:spacing w:lineRule="exact" w:line="280" w:before="40" w:after="40"/>
        <w:rPr/>
      </w:pPr>
      <w:r>
        <w:rPr>
          <w:rFonts w:eastAsia="Arial" w:cs="Arial"/>
          <w:color w:val="1A1A1A"/>
          <w:sz w:val="22"/>
          <w:szCs w:val="22"/>
        </w:rPr>
        <w:t>All use of AI tools by Cloudax personnel for internal work.</w:t>
      </w:r>
    </w:p>
    <w:p>
      <w:pPr>
        <w:pStyle w:val="ListParagraph"/>
        <w:numPr>
          <w:ilvl w:val="0"/>
          <w:numId w:val="1"/>
        </w:numPr>
        <w:spacing w:lineRule="exact" w:line="280" w:before="40" w:after="40"/>
        <w:rPr/>
      </w:pPr>
      <w:r>
        <w:rPr>
          <w:rFonts w:eastAsia="Arial" w:cs="Arial"/>
          <w:color w:val="1A1A1A"/>
          <w:sz w:val="22"/>
          <w:szCs w:val="22"/>
        </w:rPr>
        <w:t>All Cloudax personnel — directors, employees, contractors, consultants, agency workers — and all third parties acting on behalf of Cloudax.</w:t>
      </w:r>
    </w:p>
    <w:p>
      <w:pPr>
        <w:pStyle w:val="Normal"/>
        <w:spacing w:lineRule="exact" w:line="300" w:before="80" w:after="120"/>
        <w:rPr/>
      </w:pPr>
      <w:r>
        <w:rPr>
          <w:rFonts w:eastAsia="Arial" w:cs="Arial"/>
          <w:color w:val="1A1A1A"/>
          <w:sz w:val="22"/>
          <w:szCs w:val="22"/>
        </w:rPr>
        <w:t>This Policy operates alongside the Cloudax Information Security Policy (POL-001) and Privacy Policy (POL-010). Where a topic is governed by multiple policies, the more specific Policy applies; conflicts are escalated to the AI Governance Lead and Chief Executive Officer.</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AI system: </w:t>
      </w:r>
      <w:r>
        <w:rPr>
          <w:rFonts w:eastAsia="Arial" w:cs="Arial"/>
          <w:color w:val="1A1A1A"/>
          <w:sz w:val="22"/>
          <w:szCs w:val="22"/>
        </w:rPr>
        <w:t>a system that infers, from the input it receives, how to generate outputs such as predictions, content, recommendations, or decisions that can influence physical or virtual environments (per ISO/IEC 22989:2022).</w:t>
      </w:r>
    </w:p>
    <w:p>
      <w:pPr>
        <w:pStyle w:val="ListParagraph"/>
        <w:numPr>
          <w:ilvl w:val="0"/>
          <w:numId w:val="1"/>
        </w:numPr>
        <w:spacing w:lineRule="exact" w:line="280" w:before="40" w:after="40"/>
        <w:rPr/>
      </w:pPr>
      <w:r>
        <w:rPr>
          <w:rFonts w:eastAsia="Arial" w:cs="Arial"/>
          <w:b/>
          <w:bCs/>
          <w:color w:val="1A1A1A"/>
          <w:sz w:val="22"/>
          <w:szCs w:val="22"/>
        </w:rPr>
        <w:t xml:space="preserve">AIMS: </w:t>
      </w:r>
      <w:r>
        <w:rPr>
          <w:rFonts w:eastAsia="Arial" w:cs="Arial"/>
          <w:color w:val="1A1A1A"/>
          <w:sz w:val="22"/>
          <w:szCs w:val="22"/>
        </w:rPr>
        <w:t>AI Management System — the framework of policies, processes, and controls that Cloudax uses to manage AI risk and govern AI systems.</w:t>
      </w:r>
    </w:p>
    <w:p>
      <w:pPr>
        <w:pStyle w:val="ListParagraph"/>
        <w:numPr>
          <w:ilvl w:val="0"/>
          <w:numId w:val="1"/>
        </w:numPr>
        <w:spacing w:lineRule="exact" w:line="280" w:before="40" w:after="40"/>
        <w:rPr/>
      </w:pPr>
      <w:r>
        <w:rPr>
          <w:rFonts w:eastAsia="Arial" w:cs="Arial"/>
          <w:b/>
          <w:bCs/>
          <w:color w:val="1A1A1A"/>
          <w:sz w:val="22"/>
          <w:szCs w:val="22"/>
        </w:rPr>
        <w:t xml:space="preserve">AISIA: </w:t>
      </w:r>
      <w:r>
        <w:rPr>
          <w:rFonts w:eastAsia="Arial" w:cs="Arial"/>
          <w:color w:val="1A1A1A"/>
          <w:sz w:val="22"/>
          <w:szCs w:val="22"/>
        </w:rPr>
        <w:t>AI System Impact Assessment — the structured assessment of how an AI system may affect individuals, groups, and society.</w:t>
      </w:r>
    </w:p>
    <w:p>
      <w:pPr>
        <w:pStyle w:val="ListParagraph"/>
        <w:numPr>
          <w:ilvl w:val="0"/>
          <w:numId w:val="1"/>
        </w:numPr>
        <w:spacing w:lineRule="exact" w:line="280" w:before="40" w:after="40"/>
        <w:rPr/>
      </w:pPr>
      <w:r>
        <w:rPr>
          <w:rFonts w:eastAsia="Arial" w:cs="Arial"/>
          <w:b/>
          <w:bCs/>
          <w:color w:val="1A1A1A"/>
          <w:sz w:val="22"/>
          <w:szCs w:val="22"/>
        </w:rPr>
        <w:t xml:space="preserve">Foundation model: </w:t>
      </w:r>
      <w:r>
        <w:rPr>
          <w:rFonts w:eastAsia="Arial" w:cs="Arial"/>
          <w:color w:val="1A1A1A"/>
          <w:sz w:val="22"/>
          <w:szCs w:val="22"/>
        </w:rPr>
        <w:t>a large general-purpose AI model trained on broad data, typically capable of being adapted to a wide range of downstream tasks.</w:t>
      </w:r>
    </w:p>
    <w:p>
      <w:pPr>
        <w:pStyle w:val="ListParagraph"/>
        <w:numPr>
          <w:ilvl w:val="0"/>
          <w:numId w:val="1"/>
        </w:numPr>
        <w:spacing w:lineRule="exact" w:line="280" w:before="40" w:after="40"/>
        <w:rPr/>
      </w:pPr>
      <w:r>
        <w:rPr>
          <w:rFonts w:eastAsia="Arial" w:cs="Arial"/>
          <w:b/>
          <w:bCs/>
          <w:color w:val="1A1A1A"/>
          <w:sz w:val="22"/>
          <w:szCs w:val="22"/>
        </w:rPr>
        <w:t xml:space="preserve">Inference: </w:t>
      </w:r>
      <w:r>
        <w:rPr>
          <w:rFonts w:eastAsia="Arial" w:cs="Arial"/>
          <w:color w:val="1A1A1A"/>
          <w:sz w:val="22"/>
          <w:szCs w:val="22"/>
        </w:rPr>
        <w:t>the operation of an AI system to generate outputs from inputs in production use.</w:t>
      </w:r>
    </w:p>
    <w:p>
      <w:pPr>
        <w:pStyle w:val="Heading1"/>
        <w:spacing w:before="360" w:after="180"/>
        <w:rPr/>
      </w:pPr>
      <w:r>
        <w:rPr>
          <w:rFonts w:eastAsia="Arial" w:cs="Arial" w:ascii="Arial" w:hAnsi="Arial"/>
          <w:b/>
          <w:bCs/>
          <w:color w:val="0000FF"/>
          <w:sz w:val="36"/>
          <w:szCs w:val="36"/>
        </w:rPr>
        <w:t>4. Statement from the Chief Executive Officer</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exists to help our customers have better conversations with their own customers. AI sits at the centre of how we do that. With AI comes responsibility — to use it lawfully, to use it well, to be honest about what it can and cannot do, and to take seriously the consequences for the people on the other end of every conversation our platform mediates.</w:t>
      </w:r>
    </w:p>
    <w:p>
      <w:pPr>
        <w:pStyle w:val="Normal"/>
        <w:spacing w:lineRule="exact" w:line="300" w:before="80" w:after="120"/>
        <w:rPr/>
      </w:pPr>
      <w:r>
        <w:rPr>
          <w:rFonts w:eastAsia="Arial" w:cs="Arial"/>
          <w:color w:val="1A1A1A"/>
          <w:sz w:val="22"/>
          <w:szCs w:val="22"/>
        </w:rPr>
        <w:t>I personally sponsor this AI Policy, the AI Management System, and the objectives we set within it. I expect every member of the Cloudax team — and every partner working with us — to know what this Policy says and to act consistently with it. Where this Policy and commercial pressure pull in different directions, this Policy wins.</w:t>
      </w:r>
    </w:p>
    <w:p>
      <w:pPr>
        <w:pStyle w:val="Normal"/>
        <w:spacing w:lineRule="exact" w:line="300" w:before="80" w:after="120"/>
        <w:rPr/>
      </w:pPr>
      <w:r>
        <w:rPr>
          <w:rFonts w:eastAsia="Arial" w:cs="Arial"/>
          <w:color w:val="1A1A1A"/>
          <w:sz w:val="22"/>
          <w:szCs w:val="22"/>
        </w:rPr>
        <w:t>We are a small team building a serious product in a changing regulatory landscape. We will not always get every judgement right; we will have an honest conversation when we don’t, and we will improve. That is what responsible AI looks like in practice.</w:t>
      </w:r>
    </w:p>
    <w:p>
      <w:pPr>
        <w:pStyle w:val="Normal"/>
        <w:spacing w:before="60" w:after="60"/>
        <w:rPr/>
      </w:pPr>
      <w:r>
        <w:rPr/>
      </w:r>
    </w:p>
    <w:p>
      <w:pPr>
        <w:pStyle w:val="Normal"/>
        <w:spacing w:lineRule="exact" w:line="300" w:before="80" w:after="120"/>
        <w:rPr/>
      </w:pPr>
      <w:r>
        <w:rPr>
          <w:rFonts w:eastAsia="Arial" w:cs="Arial"/>
          <w:color w:val="1A1A1A"/>
          <w:sz w:val="22"/>
          <w:szCs w:val="22"/>
        </w:rPr>
        <w:t xml:space="preserve">— </w:t>
      </w:r>
      <w:r>
        <w:rPr>
          <w:rFonts w:eastAsia="Arial" w:cs="Arial"/>
          <w:color w:val="1A1A1A"/>
          <w:sz w:val="22"/>
          <w:szCs w:val="22"/>
        </w:rPr>
        <w:t>Chief Executive Officer, Cloudax Ltd.</w:t>
      </w:r>
    </w:p>
    <w:p>
      <w:pPr>
        <w:pStyle w:val="Heading1"/>
        <w:spacing w:before="360" w:after="180"/>
        <w:rPr/>
      </w:pPr>
      <w:r>
        <w:rPr>
          <w:rFonts w:eastAsia="Arial" w:cs="Arial" w:ascii="Arial" w:hAnsi="Arial"/>
          <w:b/>
          <w:bCs/>
          <w:color w:val="0000FF"/>
          <w:sz w:val="36"/>
          <w:szCs w:val="36"/>
        </w:rPr>
        <w:t>5. AI Principles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principles guide every decision Cloudax makes about AI. They are not abstract ideals — they shape concrete choices in design, development, deployment, monitoring, and decommissioning.</w:t>
      </w:r>
    </w:p>
    <w:p>
      <w:pPr>
        <w:pStyle w:val="Heading2"/>
        <w:spacing w:before="280" w:after="140"/>
        <w:rPr/>
      </w:pPr>
      <w:r>
        <w:rPr>
          <w:rFonts w:eastAsia="Arial" w:cs="Arial" w:ascii="Arial" w:hAnsi="Arial"/>
          <w:b/>
          <w:bCs/>
          <w:color w:val="0000FF"/>
          <w:sz w:val="28"/>
          <w:szCs w:val="28"/>
        </w:rPr>
        <w:t>5.1 Lawful and Ethical</w:t>
      </w:r>
    </w:p>
    <w:p>
      <w:pPr>
        <w:pStyle w:val="Normal"/>
        <w:spacing w:lineRule="exact" w:line="300" w:before="80" w:after="120"/>
        <w:rPr/>
      </w:pPr>
      <w:r>
        <w:rPr>
          <w:rFonts w:eastAsia="Arial" w:cs="Arial"/>
          <w:color w:val="1A1A1A"/>
          <w:sz w:val="22"/>
          <w:szCs w:val="22"/>
        </w:rPr>
        <w:t>Cloudax’s AI activity complies with all applicable law (UK GDPR, DPA 2018, equality and anti-discrimination law, sector-specific regulation, future AI regulation as it comes into effect) and with Cloudax’s ethical commitments. Where law is unclear or evolving, Cloudax errs on the side of caution and seeks specialist advice.</w:t>
      </w:r>
    </w:p>
    <w:p>
      <w:pPr>
        <w:pStyle w:val="Heading2"/>
        <w:spacing w:before="280" w:after="140"/>
        <w:rPr/>
      </w:pPr>
      <w:r>
        <w:rPr>
          <w:rFonts w:eastAsia="Arial" w:cs="Arial" w:ascii="Arial" w:hAnsi="Arial"/>
          <w:b/>
          <w:bCs/>
          <w:color w:val="0000FF"/>
          <w:sz w:val="28"/>
          <w:szCs w:val="28"/>
        </w:rPr>
        <w:t>5.2 Risk-Based and Proportionate</w:t>
      </w:r>
    </w:p>
    <w:p>
      <w:pPr>
        <w:pStyle w:val="Normal"/>
        <w:spacing w:lineRule="exact" w:line="300" w:before="80" w:after="120"/>
        <w:rPr/>
      </w:pPr>
      <w:r>
        <w:rPr>
          <w:rFonts w:eastAsia="Arial" w:cs="Arial"/>
          <w:color w:val="1A1A1A"/>
          <w:sz w:val="22"/>
          <w:szCs w:val="22"/>
        </w:rPr>
        <w:t>Investment in AI controls is proportionate to risk. Higher-impact AI systems receive more rigorous governance, more thorough testing, and more frequent monitoring. The AI Risk Assessment Methodology (AIMS-RA-001) provides the framework for this calibration.</w:t>
      </w:r>
    </w:p>
    <w:p>
      <w:pPr>
        <w:pStyle w:val="Heading2"/>
        <w:spacing w:before="280" w:after="140"/>
        <w:rPr/>
      </w:pPr>
      <w:r>
        <w:rPr>
          <w:rFonts w:eastAsia="Arial" w:cs="Arial" w:ascii="Arial" w:hAnsi="Arial"/>
          <w:b/>
          <w:bCs/>
          <w:color w:val="0000FF"/>
          <w:sz w:val="28"/>
          <w:szCs w:val="28"/>
        </w:rPr>
        <w:t>5.3 Transparent and Explainable</w:t>
      </w:r>
    </w:p>
    <w:p>
      <w:pPr>
        <w:pStyle w:val="Normal"/>
        <w:spacing w:lineRule="exact" w:line="300" w:before="80" w:after="120"/>
        <w:rPr/>
      </w:pPr>
      <w:r>
        <w:rPr>
          <w:rFonts w:eastAsia="Arial" w:cs="Arial"/>
          <w:color w:val="1A1A1A"/>
          <w:sz w:val="22"/>
          <w:szCs w:val="22"/>
        </w:rPr>
        <w:t>Cloudax is honest about what its AI systems do, what they do not do, where they may be wrong, and how decisions involving them can be questioned or appealed. Where explanations of model behaviour are technically difficult, Cloudax communicates that limitation rather than overstating capability.</w:t>
      </w:r>
    </w:p>
    <w:p>
      <w:pPr>
        <w:pStyle w:val="Heading2"/>
        <w:spacing w:before="280" w:after="140"/>
        <w:rPr/>
      </w:pPr>
      <w:r>
        <w:rPr>
          <w:rFonts w:eastAsia="Arial" w:cs="Arial" w:ascii="Arial" w:hAnsi="Arial"/>
          <w:b/>
          <w:bCs/>
          <w:color w:val="0000FF"/>
          <w:sz w:val="28"/>
          <w:szCs w:val="28"/>
        </w:rPr>
        <w:t>5.4 Fair and Inclusive</w:t>
      </w:r>
    </w:p>
    <w:p>
      <w:pPr>
        <w:pStyle w:val="Normal"/>
        <w:spacing w:lineRule="exact" w:line="300" w:before="80" w:after="120"/>
        <w:rPr/>
      </w:pPr>
      <w:r>
        <w:rPr>
          <w:rFonts w:eastAsia="Arial" w:cs="Arial"/>
          <w:color w:val="1A1A1A"/>
          <w:sz w:val="22"/>
          <w:szCs w:val="22"/>
        </w:rPr>
        <w:t>Cloudax actively considers fairness across the populations its AI systems may affect. This includes protected characteristics, accent and dialect variation in voice processing, and accessibility for users with disabilities. Bias is monitored, measured, and addressed through the AI System Lifecycle Policy (AI-POL-005).</w:t>
      </w:r>
    </w:p>
    <w:p>
      <w:pPr>
        <w:pStyle w:val="Heading2"/>
        <w:spacing w:before="280" w:after="140"/>
        <w:rPr/>
      </w:pPr>
      <w:r>
        <w:rPr>
          <w:rFonts w:eastAsia="Arial" w:cs="Arial" w:ascii="Arial" w:hAnsi="Arial"/>
          <w:b/>
          <w:bCs/>
          <w:color w:val="0000FF"/>
          <w:sz w:val="28"/>
          <w:szCs w:val="28"/>
        </w:rPr>
        <w:t>5.5 Privacy-Preserving</w:t>
      </w:r>
    </w:p>
    <w:p>
      <w:pPr>
        <w:pStyle w:val="Normal"/>
        <w:spacing w:lineRule="exact" w:line="300" w:before="80" w:after="120"/>
        <w:rPr/>
      </w:pPr>
      <w:r>
        <w:rPr>
          <w:rFonts w:eastAsia="Arial" w:cs="Arial"/>
          <w:color w:val="1A1A1A"/>
          <w:sz w:val="22"/>
          <w:szCs w:val="22"/>
        </w:rPr>
        <w:t>Personal data used in or  systems is processed lawfully, minimally, and securely under the Privacy Policy (POL-010) and the Data for AI Systems Policy (AI-POL-006). Customer voice and transcript data is treated as Restricted under the Information Classification Policy (POL-004).</w:t>
      </w:r>
    </w:p>
    <w:p>
      <w:pPr>
        <w:pStyle w:val="Heading2"/>
        <w:spacing w:before="280" w:after="140"/>
        <w:rPr/>
      </w:pPr>
      <w:r>
        <w:rPr>
          <w:rFonts w:eastAsia="Arial" w:cs="Arial" w:ascii="Arial" w:hAnsi="Arial"/>
          <w:b/>
          <w:bCs/>
          <w:color w:val="0000FF"/>
          <w:sz w:val="28"/>
          <w:szCs w:val="28"/>
        </w:rPr>
        <w:t>5.6 Robust and Secure</w:t>
      </w:r>
    </w:p>
    <w:p>
      <w:pPr>
        <w:pStyle w:val="Normal"/>
        <w:spacing w:lineRule="exact" w:line="300" w:before="80" w:after="120"/>
        <w:rPr/>
      </w:pPr>
      <w:r>
        <w:rPr>
          <w:rFonts w:eastAsia="Arial" w:cs="Arial"/>
          <w:color w:val="1A1A1A"/>
          <w:sz w:val="22"/>
          <w:szCs w:val="22"/>
        </w:rPr>
        <w:t>AI systems are designed to perform reliably in the conditions they are deployed in, including under unexpected inputs and adversarial conditions. AI security risks (model theft, prompt injection, data poisoning, jailbreaking) are managed under the AI System Lifecycle Policy and the existing security policies.</w:t>
      </w:r>
    </w:p>
    <w:p>
      <w:pPr>
        <w:pStyle w:val="Heading2"/>
        <w:spacing w:before="280" w:after="140"/>
        <w:rPr/>
      </w:pPr>
      <w:r>
        <w:rPr>
          <w:rFonts w:eastAsia="Arial" w:cs="Arial" w:ascii="Arial" w:hAnsi="Arial"/>
          <w:b/>
          <w:bCs/>
          <w:color w:val="0000FF"/>
          <w:sz w:val="28"/>
          <w:szCs w:val="28"/>
        </w:rPr>
        <w:t>5.7 Human-Overseen and Accountable</w:t>
      </w:r>
    </w:p>
    <w:p>
      <w:pPr>
        <w:pStyle w:val="Normal"/>
        <w:spacing w:lineRule="exact" w:line="300" w:before="80" w:after="120"/>
        <w:rPr/>
      </w:pPr>
      <w:r>
        <w:rPr>
          <w:rFonts w:eastAsia="Arial" w:cs="Arial"/>
          <w:color w:val="1A1A1A"/>
          <w:sz w:val="22"/>
          <w:szCs w:val="22"/>
        </w:rPr>
        <w:t>Material decisions involving AI remain subject to human oversight. Cloudax does not deploy fully automated decision-making in scenarios where human judgement is required by law or by ethics. Accountability for AI outcomes rests with named human roles — not with the AI.</w:t>
      </w:r>
    </w:p>
    <w:p>
      <w:pPr>
        <w:pStyle w:val="Heading2"/>
        <w:spacing w:before="280" w:after="140"/>
        <w:rPr/>
      </w:pPr>
      <w:r>
        <w:rPr>
          <w:rFonts w:eastAsia="Arial" w:cs="Arial" w:ascii="Arial" w:hAnsi="Arial"/>
          <w:b/>
          <w:bCs/>
          <w:color w:val="0000FF"/>
          <w:sz w:val="28"/>
          <w:szCs w:val="28"/>
        </w:rPr>
        <w:t>5.8 Sustainable</w:t>
      </w:r>
    </w:p>
    <w:p>
      <w:pPr>
        <w:pStyle w:val="Normal"/>
        <w:spacing w:lineRule="exact" w:line="300" w:before="80" w:after="120"/>
        <w:rPr/>
      </w:pPr>
      <w:r>
        <w:rPr>
          <w:rFonts w:eastAsia="Arial" w:cs="Arial"/>
          <w:color w:val="1A1A1A"/>
          <w:sz w:val="22"/>
          <w:szCs w:val="22"/>
        </w:rPr>
        <w:t>Cloudax considers the environmental and energy impact of its AI systems. Where reasonable choices exist between higher-cost and lower-cost (in compute, energy) approaches that achieve the same outcome, the lower-cost option is preferred.</w:t>
      </w:r>
    </w:p>
    <w:p>
      <w:pPr>
        <w:pStyle w:val="Heading1"/>
        <w:spacing w:before="360" w:after="180"/>
        <w:rPr/>
      </w:pPr>
      <w:r>
        <w:rPr>
          <w:rFonts w:eastAsia="Arial" w:cs="Arial" w:ascii="Arial" w:hAnsi="Arial"/>
          <w:b/>
          <w:bCs/>
          <w:color w:val="0000FF"/>
          <w:sz w:val="36"/>
          <w:szCs w:val="36"/>
        </w:rPr>
        <w:t>6.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Chief Executive Officer: </w:t>
      </w:r>
      <w:r>
        <w:rPr>
          <w:rFonts w:eastAsia="Arial" w:cs="Arial"/>
          <w:color w:val="1A1A1A"/>
          <w:sz w:val="22"/>
          <w:szCs w:val="22"/>
        </w:rPr>
        <w:t>ultimate accountability for the AIMS; approves this Policy and material AIMS documents; accepts critical residual AI risk.</w:t>
      </w:r>
    </w:p>
    <w:p>
      <w:pPr>
        <w:pStyle w:val="ListParagraph"/>
        <w:numPr>
          <w:ilvl w:val="0"/>
          <w:numId w:val="1"/>
        </w:numPr>
        <w:spacing w:lineRule="exact" w:line="280" w:before="40" w:after="40"/>
        <w:rPr/>
      </w:pPr>
      <w:r>
        <w:rPr>
          <w:rFonts w:eastAsia="Arial" w:cs="Arial"/>
          <w:b/>
          <w:bCs/>
          <w:color w:val="1A1A1A"/>
          <w:sz w:val="22"/>
          <w:szCs w:val="22"/>
        </w:rPr>
        <w:t xml:space="preserve">AI Governance Lead: </w:t>
      </w:r>
      <w:r>
        <w:rPr>
          <w:rFonts w:eastAsia="Arial" w:cs="Arial"/>
          <w:color w:val="1A1A1A"/>
          <w:sz w:val="22"/>
          <w:szCs w:val="22"/>
        </w:rPr>
        <w:t>day-to-day ownership of the AIMS, this Policy, the AI Risk Register, AISIA process, and reporting to management review. May be combined with the Information Security Manager role at Cloudax’s current size; the role is distinct in accountability.</w:t>
      </w:r>
    </w:p>
    <w:p>
      <w:pPr>
        <w:pStyle w:val="ListParagraph"/>
        <w:numPr>
          <w:ilvl w:val="0"/>
          <w:numId w:val="1"/>
        </w:numPr>
        <w:spacing w:lineRule="exact" w:line="280" w:before="40" w:after="40"/>
        <w:rPr/>
      </w:pPr>
      <w:r>
        <w:rPr>
          <w:rFonts w:eastAsia="Arial" w:cs="Arial"/>
          <w:b/>
          <w:bCs/>
          <w:color w:val="1A1A1A"/>
          <w:sz w:val="22"/>
          <w:szCs w:val="22"/>
        </w:rPr>
        <w:t xml:space="preserve">Chief Technology Officer: </w:t>
      </w:r>
      <w:r>
        <w:rPr>
          <w:rFonts w:eastAsia="Arial" w:cs="Arial"/>
          <w:color w:val="1A1A1A"/>
          <w:sz w:val="22"/>
          <w:szCs w:val="22"/>
        </w:rPr>
        <w:t>technical accountability for AI system design, development, deployment, and operation; owns the AI System Lifecycle Policy (AI-POL-005) and Data for AI Systems Policy (AI-POL-006).</w:t>
      </w:r>
    </w:p>
    <w:p>
      <w:pPr>
        <w:pStyle w:val="ListParagraph"/>
        <w:numPr>
          <w:ilvl w:val="0"/>
          <w:numId w:val="1"/>
        </w:numPr>
        <w:spacing w:lineRule="exact" w:line="280" w:before="40" w:after="40"/>
        <w:rPr/>
      </w:pPr>
      <w:r>
        <w:rPr>
          <w:rFonts w:eastAsia="Arial" w:cs="Arial"/>
          <w:b/>
          <w:bCs/>
          <w:color w:val="1A1A1A"/>
          <w:sz w:val="22"/>
          <w:szCs w:val="22"/>
        </w:rPr>
        <w:t xml:space="preserve">Privacy Lead: </w:t>
      </w:r>
      <w:r>
        <w:rPr>
          <w:rFonts w:eastAsia="Arial" w:cs="Arial"/>
          <w:color w:val="1A1A1A"/>
          <w:sz w:val="22"/>
          <w:szCs w:val="22"/>
        </w:rPr>
        <w:t>contributes to AISIA, especially data subject impact; coordinates AI privacy obligations with the existing Privacy Policy (POL-010).</w:t>
      </w:r>
    </w:p>
    <w:p>
      <w:pPr>
        <w:pStyle w:val="ListParagraph"/>
        <w:numPr>
          <w:ilvl w:val="0"/>
          <w:numId w:val="1"/>
        </w:numPr>
        <w:spacing w:lineRule="exact" w:line="280" w:before="40" w:after="40"/>
        <w:rPr/>
      </w:pPr>
      <w:r>
        <w:rPr>
          <w:rFonts w:eastAsia="Arial" w:cs="Arial"/>
          <w:b/>
          <w:bCs/>
          <w:color w:val="1A1A1A"/>
          <w:sz w:val="22"/>
          <w:szCs w:val="22"/>
        </w:rPr>
        <w:t xml:space="preserve">Engineering and product personnel: </w:t>
      </w:r>
      <w:r>
        <w:rPr>
          <w:rFonts w:eastAsia="Arial" w:cs="Arial"/>
          <w:color w:val="1A1A1A"/>
          <w:sz w:val="22"/>
          <w:szCs w:val="22"/>
        </w:rPr>
        <w:t>apply this Policy and supporting policies in their work; raise AI concerns through the channels in Section 6.</w:t>
      </w:r>
    </w:p>
    <w:p>
      <w:pPr>
        <w:pStyle w:val="ListParagraph"/>
        <w:numPr>
          <w:ilvl w:val="0"/>
          <w:numId w:val="1"/>
        </w:numPr>
        <w:spacing w:lineRule="exact" w:line="280" w:before="40" w:after="40"/>
        <w:rPr/>
      </w:pPr>
      <w:r>
        <w:rPr>
          <w:rFonts w:eastAsia="Arial" w:cs="Arial"/>
          <w:b/>
          <w:bCs/>
          <w:color w:val="1A1A1A"/>
          <w:sz w:val="22"/>
          <w:szCs w:val="22"/>
        </w:rPr>
        <w:t xml:space="preserve">All personnel: </w:t>
      </w:r>
      <w:r>
        <w:rPr>
          <w:rFonts w:eastAsia="Arial" w:cs="Arial"/>
          <w:color w:val="1A1A1A"/>
          <w:sz w:val="22"/>
          <w:szCs w:val="22"/>
        </w:rPr>
        <w:t>comply with this Policy; complete required AI training; raise concerns about AI use through PRO-027 (event reporting) or directly to the AI Governance Lead.</w:t>
      </w:r>
    </w:p>
    <w:p>
      <w:pPr>
        <w:pStyle w:val="Normal"/>
        <w:spacing w:lineRule="exact" w:line="300" w:before="80" w:after="120"/>
        <w:rPr/>
      </w:pPr>
      <w:r>
        <w:rPr>
          <w:rFonts w:eastAsia="Arial" w:cs="Arial"/>
          <w:color w:val="1A1A1A"/>
          <w:sz w:val="22"/>
          <w:szCs w:val="22"/>
        </w:rPr>
        <w:t>The AIMS RACI matrix (AI-MGT-RACI-001) records detailed accountabilities for AIMS activities.</w:t>
      </w:r>
    </w:p>
    <w:p>
      <w:pPr>
        <w:pStyle w:val="Heading1"/>
        <w:spacing w:before="360" w:after="180"/>
        <w:rPr/>
      </w:pPr>
      <w:r>
        <w:rPr>
          <w:rFonts w:eastAsia="Arial" w:cs="Arial" w:ascii="Arial" w:hAnsi="Arial"/>
          <w:b/>
          <w:bCs/>
          <w:color w:val="0000FF"/>
          <w:sz w:val="36"/>
          <w:szCs w:val="36"/>
        </w:rPr>
        <w:t>7. AI Risk Management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 risk is identified, assessed, and treated under the AI Risk Assessment Methodology (AIMS-RA-001).</w:t>
      </w:r>
    </w:p>
    <w:p>
      <w:pPr>
        <w:pStyle w:val="ListParagraph"/>
        <w:numPr>
          <w:ilvl w:val="0"/>
          <w:numId w:val="1"/>
        </w:numPr>
        <w:spacing w:lineRule="exact" w:line="280" w:before="40" w:after="40"/>
        <w:rPr/>
      </w:pPr>
      <w:r>
        <w:rPr>
          <w:rFonts w:eastAsia="Arial" w:cs="Arial"/>
          <w:color w:val="1A1A1A"/>
          <w:sz w:val="22"/>
          <w:szCs w:val="22"/>
        </w:rPr>
        <w:t>The AI Risk Register (AI-REG-RISK-001) is the authoritative record of identified AI risks and their treatment.</w:t>
      </w:r>
    </w:p>
    <w:p>
      <w:pPr>
        <w:pStyle w:val="ListParagraph"/>
        <w:numPr>
          <w:ilvl w:val="0"/>
          <w:numId w:val="1"/>
        </w:numPr>
        <w:spacing w:lineRule="exact" w:line="280" w:before="40" w:after="40"/>
        <w:rPr/>
      </w:pPr>
      <w:r>
        <w:rPr>
          <w:rFonts w:eastAsia="Arial" w:cs="Arial"/>
          <w:color w:val="1A1A1A"/>
          <w:sz w:val="22"/>
          <w:szCs w:val="22"/>
        </w:rPr>
        <w:t>Risk treatment is recorded in the AI Risk Treatment Plan (AIMS-RTP-001).</w:t>
      </w:r>
    </w:p>
    <w:p>
      <w:pPr>
        <w:pStyle w:val="ListParagraph"/>
        <w:numPr>
          <w:ilvl w:val="0"/>
          <w:numId w:val="1"/>
        </w:numPr>
        <w:spacing w:lineRule="exact" w:line="280" w:before="40" w:after="40"/>
        <w:rPr/>
      </w:pPr>
      <w:r>
        <w:rPr>
          <w:rFonts w:eastAsia="Arial" w:cs="Arial"/>
          <w:color w:val="1A1A1A"/>
          <w:sz w:val="22"/>
          <w:szCs w:val="22"/>
        </w:rPr>
        <w:t>AI risk is reviewed at least annually and on material change to AI systems, third-party AI providers, or the regulatory environment.</w:t>
      </w:r>
    </w:p>
    <w:p>
      <w:pPr>
        <w:pStyle w:val="Heading1"/>
        <w:spacing w:before="360" w:after="180"/>
        <w:rPr/>
      </w:pPr>
      <w:r>
        <w:rPr>
          <w:rFonts w:eastAsia="Arial" w:cs="Arial" w:ascii="Arial" w:hAnsi="Arial"/>
          <w:b/>
          <w:bCs/>
          <w:color w:val="0000FF"/>
          <w:sz w:val="36"/>
          <w:szCs w:val="36"/>
        </w:rPr>
        <w:t>8. AI Lifecycle Governance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Every AI system goes through a documented lifecycle from concept through decommissioning, governed by the AI System Lifecycle Policy (AI-POL-005) and the AI System Lifecycle Procedure (AI-PRO-001).</w:t>
      </w:r>
    </w:p>
    <w:p>
      <w:pPr>
        <w:pStyle w:val="ListParagraph"/>
        <w:numPr>
          <w:ilvl w:val="0"/>
          <w:numId w:val="1"/>
        </w:numPr>
        <w:spacing w:lineRule="exact" w:line="280" w:before="40" w:after="40"/>
        <w:rPr/>
      </w:pPr>
      <w:r>
        <w:rPr>
          <w:rFonts w:eastAsia="Arial" w:cs="Arial"/>
          <w:color w:val="1A1A1A"/>
          <w:sz w:val="22"/>
          <w:szCs w:val="22"/>
        </w:rPr>
        <w:t>New AI systems and material changes to existing ones are subject to AI System Impact Assessment (AISIA) under the AI System Impact Assessment Policy (AI-POL-004) and Procedure (AI-PRO-002).</w:t>
      </w:r>
    </w:p>
    <w:p>
      <w:pPr>
        <w:pStyle w:val="ListParagraph"/>
        <w:numPr>
          <w:ilvl w:val="0"/>
          <w:numId w:val="1"/>
        </w:numPr>
        <w:spacing w:lineRule="exact" w:line="280" w:before="40" w:after="40"/>
        <w:rPr/>
      </w:pPr>
      <w:r>
        <w:rPr>
          <w:rFonts w:eastAsia="Arial" w:cs="Arial"/>
          <w:color w:val="1A1A1A"/>
          <w:sz w:val="22"/>
          <w:szCs w:val="22"/>
        </w:rPr>
        <w:t>AI changes are managed through the existing Change Management Policy (POL-025) extended for AI-specific considerations under AI-PRO-005.</w:t>
      </w:r>
    </w:p>
    <w:p>
      <w:pPr>
        <w:pStyle w:val="ListParagraph"/>
        <w:numPr>
          <w:ilvl w:val="0"/>
          <w:numId w:val="1"/>
        </w:numPr>
        <w:spacing w:lineRule="exact" w:line="280" w:before="40" w:after="40"/>
        <w:rPr/>
      </w:pPr>
      <w:r>
        <w:rPr>
          <w:rFonts w:eastAsia="Arial" w:cs="Arial"/>
          <w:color w:val="1A1A1A"/>
          <w:sz w:val="22"/>
          <w:szCs w:val="22"/>
        </w:rPr>
        <w:t>Production AI systems are monitored for drift, performance degradation, bias indicators, and incident signals under the AI System Lifecycle Policy.</w:t>
      </w:r>
    </w:p>
    <w:p>
      <w:pPr>
        <w:pStyle w:val="Heading1"/>
        <w:spacing w:before="360" w:after="180"/>
        <w:rPr/>
      </w:pPr>
      <w:r>
        <w:rPr>
          <w:rFonts w:eastAsia="Arial" w:cs="Arial" w:ascii="Arial" w:hAnsi="Arial"/>
          <w:b/>
          <w:bCs/>
          <w:color w:val="0000FF"/>
          <w:sz w:val="36"/>
          <w:szCs w:val="36"/>
        </w:rPr>
        <w:t>9. Data for AI Systems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Data used in AI systems is governed by the Data for AI Systems Policy (AI-POL-006), the Data Management Procedure (AI-PRO-003), and the AI Data and Models Register (AI-REG-DATA-001).</w:t>
      </w:r>
    </w:p>
    <w:p>
      <w:pPr>
        <w:pStyle w:val="ListParagraph"/>
        <w:numPr>
          <w:ilvl w:val="0"/>
          <w:numId w:val="1"/>
        </w:numPr>
        <w:spacing w:lineRule="exact" w:line="280" w:before="40" w:after="40"/>
        <w:rPr/>
      </w:pPr>
      <w:r>
        <w:rPr>
          <w:rFonts w:eastAsia="Arial" w:cs="Arial"/>
          <w:color w:val="1A1A1A"/>
          <w:sz w:val="22"/>
          <w:szCs w:val="22"/>
        </w:rPr>
        <w:t>Customer voice and transcript data is processed under contract with the customer; usage for purposes beyond serving the customer (e.g. training general-purpose models) requires explicit customer permission.</w:t>
      </w:r>
    </w:p>
    <w:p>
      <w:pPr>
        <w:pStyle w:val="ListParagraph"/>
        <w:numPr>
          <w:ilvl w:val="0"/>
          <w:numId w:val="1"/>
        </w:numPr>
        <w:spacing w:lineRule="exact" w:line="280" w:before="40" w:after="40"/>
        <w:rPr/>
      </w:pPr>
      <w:r>
        <w:rPr>
          <w:rFonts w:eastAsia="Arial" w:cs="Arial"/>
          <w:color w:val="1A1A1A"/>
          <w:sz w:val="22"/>
          <w:szCs w:val="22"/>
        </w:rPr>
        <w:t>Training, evaluation, and fine-tuning data is documented as to source, quality, provenance, and preparation.</w:t>
      </w:r>
    </w:p>
    <w:p>
      <w:pPr>
        <w:pStyle w:val="ListParagraph"/>
        <w:numPr>
          <w:ilvl w:val="0"/>
          <w:numId w:val="1"/>
        </w:numPr>
        <w:spacing w:lineRule="exact" w:line="280" w:before="40" w:after="40"/>
        <w:rPr/>
      </w:pPr>
      <w:r>
        <w:rPr>
          <w:rFonts w:eastAsia="Arial" w:cs="Arial"/>
          <w:color w:val="1A1A1A"/>
          <w:sz w:val="22"/>
          <w:szCs w:val="22"/>
        </w:rPr>
        <w:t>Personal data in training and evaluation is processed under the Privacy Policy (POL-010), with minimisation and pseudonymisation applied wherever feasible.</w:t>
      </w:r>
    </w:p>
    <w:p>
      <w:pPr>
        <w:pStyle w:val="Heading1"/>
        <w:spacing w:before="360" w:after="180"/>
        <w:rPr/>
      </w:pPr>
      <w:r>
        <w:rPr>
          <w:rFonts w:eastAsia="Arial" w:cs="Arial" w:ascii="Arial" w:hAnsi="Arial"/>
          <w:b/>
          <w:bCs/>
          <w:color w:val="0000FF"/>
          <w:sz w:val="36"/>
          <w:szCs w:val="36"/>
        </w:rPr>
        <w:t>10. Transparency and Information Provision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Cloudax provides clear documentation of AI capabilities and limitations to customers, including a description of the AI components, their intended uses, and known constraints.</w:t>
      </w:r>
    </w:p>
    <w:p>
      <w:pPr>
        <w:pStyle w:val="ListParagraph"/>
        <w:numPr>
          <w:ilvl w:val="0"/>
          <w:numId w:val="1"/>
        </w:numPr>
        <w:spacing w:lineRule="exact" w:line="280" w:before="40" w:after="40"/>
        <w:rPr/>
      </w:pPr>
      <w:r>
        <w:rPr>
          <w:rFonts w:eastAsia="Arial" w:cs="Arial"/>
          <w:color w:val="1A1A1A"/>
          <w:sz w:val="22"/>
          <w:szCs w:val="22"/>
        </w:rPr>
        <w:t>Where appropriate, end-users (callers in customer conversations) are made aware they are interacting with an AI system, in accordance with regulatory expectations.</w:t>
      </w:r>
    </w:p>
    <w:p>
      <w:pPr>
        <w:pStyle w:val="ListParagraph"/>
        <w:numPr>
          <w:ilvl w:val="0"/>
          <w:numId w:val="1"/>
        </w:numPr>
        <w:spacing w:lineRule="exact" w:line="280" w:before="40" w:after="40"/>
        <w:rPr/>
      </w:pPr>
      <w:r>
        <w:rPr>
          <w:rFonts w:eastAsia="Arial" w:cs="Arial"/>
          <w:color w:val="1A1A1A"/>
          <w:sz w:val="22"/>
          <w:szCs w:val="22"/>
        </w:rPr>
        <w:t>AI incidents that affect customers, regulators, or interested parties are communicated under AI-PLAN-IRP-001 and AI-POL-007.</w:t>
      </w:r>
    </w:p>
    <w:p>
      <w:pPr>
        <w:pStyle w:val="ListParagraph"/>
        <w:numPr>
          <w:ilvl w:val="0"/>
          <w:numId w:val="1"/>
        </w:numPr>
        <w:spacing w:lineRule="exact" w:line="280" w:before="40" w:after="40"/>
        <w:rPr/>
      </w:pPr>
      <w:r>
        <w:rPr>
          <w:rFonts w:eastAsia="Arial" w:cs="Arial"/>
          <w:color w:val="1A1A1A"/>
          <w:sz w:val="22"/>
          <w:szCs w:val="22"/>
        </w:rPr>
        <w:t>Cloudax maintains external reporting channels (regulator contacts, customer-facing channels) under AI-POL-007 and REG-AUTH-001.</w:t>
      </w:r>
    </w:p>
    <w:p>
      <w:pPr>
        <w:pStyle w:val="Heading1"/>
        <w:spacing w:before="360" w:after="180"/>
        <w:rPr/>
      </w:pPr>
      <w:r>
        <w:rPr>
          <w:rFonts w:eastAsia="Arial" w:cs="Arial" w:ascii="Arial" w:hAnsi="Arial"/>
          <w:b/>
          <w:bCs/>
          <w:color w:val="0000FF"/>
          <w:sz w:val="36"/>
          <w:szCs w:val="36"/>
        </w:rPr>
        <w:t>11. Responsible Use of AI</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Cloudax’s use of AI — internal and customer-facing — is governed by the Responsible Use of AI Policy (AI-POL-008) and the existing Acceptable Use Policy (POL-003 §12).</w:t>
      </w:r>
    </w:p>
    <w:p>
      <w:pPr>
        <w:pStyle w:val="ListParagraph"/>
        <w:numPr>
          <w:ilvl w:val="0"/>
          <w:numId w:val="1"/>
        </w:numPr>
        <w:spacing w:lineRule="exact" w:line="280" w:before="40" w:after="40"/>
        <w:rPr/>
      </w:pPr>
      <w:r>
        <w:rPr>
          <w:rFonts w:eastAsia="Arial" w:cs="Arial"/>
          <w:color w:val="1A1A1A"/>
          <w:sz w:val="22"/>
          <w:szCs w:val="22"/>
        </w:rPr>
        <w:t>Use cases that fall outside the intended use of an AI system are identified and either prevented technically or addressed through guidance and contract.</w:t>
      </w:r>
    </w:p>
    <w:p>
      <w:pPr>
        <w:pStyle w:val="ListParagraph"/>
        <w:numPr>
          <w:ilvl w:val="0"/>
          <w:numId w:val="1"/>
        </w:numPr>
        <w:spacing w:lineRule="exact" w:line="280" w:before="40" w:after="40"/>
        <w:rPr/>
      </w:pPr>
      <w:r>
        <w:rPr>
          <w:rFonts w:eastAsia="Arial" w:cs="Arial"/>
          <w:color w:val="1A1A1A"/>
          <w:sz w:val="22"/>
          <w:szCs w:val="22"/>
        </w:rPr>
        <w:t>Personnel must not use generative AI tools to produce Cloudax content without the originator reviewing the output for accuracy, bias, and appropriateness.</w:t>
      </w:r>
    </w:p>
    <w:p>
      <w:pPr>
        <w:pStyle w:val="ListParagraph"/>
        <w:numPr>
          <w:ilvl w:val="0"/>
          <w:numId w:val="1"/>
        </w:numPr>
        <w:spacing w:lineRule="exact" w:line="280" w:before="40" w:after="40"/>
        <w:rPr/>
      </w:pPr>
      <w:r>
        <w:rPr>
          <w:rFonts w:eastAsia="Arial" w:cs="Arial"/>
          <w:color w:val="1A1A1A"/>
          <w:sz w:val="22"/>
          <w:szCs w:val="22"/>
        </w:rPr>
        <w:t>Personnel must not submit Cloudax confidential or restricted information to AI tools that lack approved data handling commitments (POL-003 §12).</w:t>
      </w:r>
    </w:p>
    <w:p>
      <w:pPr>
        <w:pStyle w:val="Heading1"/>
        <w:spacing w:before="360" w:after="180"/>
        <w:rPr/>
      </w:pPr>
      <w:r>
        <w:rPr>
          <w:rFonts w:eastAsia="Arial" w:cs="Arial" w:ascii="Arial" w:hAnsi="Arial"/>
          <w:b/>
          <w:bCs/>
          <w:color w:val="0000FF"/>
          <w:sz w:val="36"/>
          <w:szCs w:val="36"/>
        </w:rPr>
        <w:t>12. Third-Party AI</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Third-party AI providers (LLM providers, ASR/TTS providers, foundation model providers) are onboarded and monitored under the Third-Party AI Relationships Policy (AI-POL-009) and the existing Supplier Security Policy (POL-006).</w:t>
      </w:r>
    </w:p>
    <w:p>
      <w:pPr>
        <w:pStyle w:val="ListParagraph"/>
        <w:numPr>
          <w:ilvl w:val="0"/>
          <w:numId w:val="1"/>
        </w:numPr>
        <w:spacing w:lineRule="exact" w:line="280" w:before="40" w:after="40"/>
        <w:rPr/>
      </w:pPr>
      <w:r>
        <w:rPr>
          <w:rFonts w:eastAsia="Arial" w:cs="Arial"/>
          <w:color w:val="1A1A1A"/>
          <w:sz w:val="22"/>
          <w:szCs w:val="22"/>
        </w:rPr>
        <w:t>Each third-party AI provider is recorded in the Third-Party AI Provider Register (AI-REG-3P-001).</w:t>
      </w:r>
    </w:p>
    <w:p>
      <w:pPr>
        <w:pStyle w:val="ListParagraph"/>
        <w:numPr>
          <w:ilvl w:val="0"/>
          <w:numId w:val="1"/>
        </w:numPr>
        <w:spacing w:lineRule="exact" w:line="280" w:before="40" w:after="40"/>
        <w:rPr/>
      </w:pPr>
      <w:r>
        <w:rPr>
          <w:rFonts w:eastAsia="Arial" w:cs="Arial"/>
          <w:color w:val="1A1A1A"/>
          <w:sz w:val="22"/>
          <w:szCs w:val="22"/>
        </w:rPr>
        <w:t>Cloudax’s due diligence covers data handling commitments, model behaviour assurance, security posture, jurisdictional considerations, and exit / continuity arrangements.</w:t>
      </w:r>
    </w:p>
    <w:p>
      <w:pPr>
        <w:pStyle w:val="ListParagraph"/>
        <w:numPr>
          <w:ilvl w:val="0"/>
          <w:numId w:val="1"/>
        </w:numPr>
        <w:spacing w:lineRule="exact" w:line="280" w:before="40" w:after="40"/>
        <w:rPr/>
      </w:pPr>
      <w:r>
        <w:rPr>
          <w:rFonts w:eastAsia="Arial" w:cs="Arial"/>
          <w:color w:val="1A1A1A"/>
          <w:sz w:val="22"/>
          <w:szCs w:val="22"/>
        </w:rPr>
        <w:t>Cloudax customers are informed of material third-party AI providers as part of customer onboarding and through DPA / sub-processor disclosures.</w:t>
      </w:r>
    </w:p>
    <w:p>
      <w:pPr>
        <w:pStyle w:val="Heading1"/>
        <w:spacing w:before="360" w:after="180"/>
        <w:rPr/>
      </w:pPr>
      <w:r>
        <w:rPr>
          <w:rFonts w:eastAsia="Arial" w:cs="Arial" w:ascii="Arial" w:hAnsi="Arial"/>
          <w:b/>
          <w:bCs/>
          <w:color w:val="0000FF"/>
          <w:sz w:val="36"/>
          <w:szCs w:val="36"/>
        </w:rPr>
        <w:t>13. AI Impact Assessment (AISIA)</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Every new AI system, and every material change to an existing one, is subject to AISIA before deployment.</w:t>
      </w:r>
    </w:p>
    <w:p>
      <w:pPr>
        <w:pStyle w:val="ListParagraph"/>
        <w:numPr>
          <w:ilvl w:val="0"/>
          <w:numId w:val="1"/>
        </w:numPr>
        <w:spacing w:lineRule="exact" w:line="280" w:before="40" w:after="40"/>
        <w:rPr/>
      </w:pPr>
      <w:r>
        <w:rPr>
          <w:rFonts w:eastAsia="Arial" w:cs="Arial"/>
          <w:color w:val="1A1A1A"/>
          <w:sz w:val="22"/>
          <w:szCs w:val="22"/>
        </w:rPr>
        <w:t>AISIA assesses impacts on individuals, groups, and society, including risks of bias, exclusion, harm, and erosion of rights.</w:t>
      </w:r>
    </w:p>
    <w:p>
      <w:pPr>
        <w:pStyle w:val="ListParagraph"/>
        <w:numPr>
          <w:ilvl w:val="0"/>
          <w:numId w:val="1"/>
        </w:numPr>
        <w:spacing w:lineRule="exact" w:line="280" w:before="40" w:after="40"/>
        <w:rPr/>
      </w:pPr>
      <w:r>
        <w:rPr>
          <w:rFonts w:eastAsia="Arial" w:cs="Arial"/>
          <w:color w:val="1A1A1A"/>
          <w:sz w:val="22"/>
          <w:szCs w:val="22"/>
        </w:rPr>
        <w:t>AISIA is recorded in the AI System Impact Assessment Register (AI-REG-AISIA-001) and signed off by the AI Governance Lead.</w:t>
      </w:r>
    </w:p>
    <w:p>
      <w:pPr>
        <w:pStyle w:val="ListParagraph"/>
        <w:numPr>
          <w:ilvl w:val="0"/>
          <w:numId w:val="1"/>
        </w:numPr>
        <w:spacing w:lineRule="exact" w:line="280" w:before="40" w:after="40"/>
        <w:rPr/>
      </w:pPr>
      <w:r>
        <w:rPr>
          <w:rFonts w:eastAsia="Arial" w:cs="Arial"/>
          <w:color w:val="1A1A1A"/>
          <w:sz w:val="22"/>
          <w:szCs w:val="22"/>
        </w:rPr>
        <w:t>High-impact assessments may be reviewed with the Chief Executive Officer and may trigger additional consultation (e.g. with affected customers, with the ICO where data protection implications are material).</w:t>
      </w:r>
    </w:p>
    <w:p>
      <w:pPr>
        <w:pStyle w:val="ListParagraph"/>
        <w:numPr>
          <w:ilvl w:val="0"/>
          <w:numId w:val="1"/>
        </w:numPr>
        <w:spacing w:lineRule="exact" w:line="280" w:before="40" w:after="40"/>
        <w:rPr/>
      </w:pPr>
      <w:r>
        <w:rPr>
          <w:rFonts w:eastAsia="Arial" w:cs="Arial"/>
          <w:color w:val="1A1A1A"/>
          <w:sz w:val="22"/>
          <w:szCs w:val="22"/>
        </w:rPr>
        <w:t>AISIA is complementary to DPIA under the Privacy Policy (POL-010); the two are coordinated through the AI System Impact Assessment Procedure (AI-PRO-002).</w:t>
      </w:r>
    </w:p>
    <w:p>
      <w:pPr>
        <w:pStyle w:val="Heading1"/>
        <w:spacing w:before="360" w:after="180"/>
        <w:rPr/>
      </w:pPr>
      <w:r>
        <w:rPr>
          <w:rFonts w:eastAsia="Arial" w:cs="Arial" w:ascii="Arial" w:hAnsi="Arial"/>
          <w:b/>
          <w:bCs/>
          <w:color w:val="0000FF"/>
          <w:sz w:val="36"/>
          <w:szCs w:val="36"/>
        </w:rPr>
        <w:t>14. Personnel and Competence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Personnel involved in AI development, operation, or governance receive training appropriate to their role through the AI Awareness and Training Programme (AI-PROG-TRAIN-001).</w:t>
      </w:r>
    </w:p>
    <w:p>
      <w:pPr>
        <w:pStyle w:val="ListParagraph"/>
        <w:numPr>
          <w:ilvl w:val="0"/>
          <w:numId w:val="1"/>
        </w:numPr>
        <w:spacing w:lineRule="exact" w:line="280" w:before="40" w:after="40"/>
        <w:rPr/>
      </w:pPr>
      <w:r>
        <w:rPr>
          <w:rFonts w:eastAsia="Arial" w:cs="Arial"/>
          <w:color w:val="1A1A1A"/>
          <w:sz w:val="22"/>
          <w:szCs w:val="22"/>
        </w:rPr>
        <w:t>All personnel receive AI awareness training as part of induction, including responsible AI principles, bias awareness, prompt safety for generative AI tools, and how to report AI concerns.</w:t>
      </w:r>
    </w:p>
    <w:p>
      <w:pPr>
        <w:pStyle w:val="ListParagraph"/>
        <w:numPr>
          <w:ilvl w:val="0"/>
          <w:numId w:val="1"/>
        </w:numPr>
        <w:spacing w:lineRule="exact" w:line="280" w:before="40" w:after="40"/>
        <w:rPr/>
      </w:pPr>
      <w:r>
        <w:rPr>
          <w:rFonts w:eastAsia="Arial" w:cs="Arial"/>
          <w:color w:val="1A1A1A"/>
          <w:sz w:val="22"/>
          <w:szCs w:val="22"/>
        </w:rPr>
        <w:t>Where AI competence is critical to a role (e.g. AI Governance Lead, principal AI engineers), competence is documented and maintained through continuing development.</w:t>
      </w:r>
    </w:p>
    <w:p>
      <w:pPr>
        <w:pStyle w:val="Heading1"/>
        <w:spacing w:before="360" w:after="180"/>
        <w:rPr/>
      </w:pPr>
      <w:r>
        <w:rPr>
          <w:rFonts w:eastAsia="Arial" w:cs="Arial" w:ascii="Arial" w:hAnsi="Arial"/>
          <w:b/>
          <w:bCs/>
          <w:color w:val="0000FF"/>
          <w:sz w:val="36"/>
          <w:szCs w:val="36"/>
        </w:rPr>
        <w:t>15. AI Incident Response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 incidents — unexpected behaviour, harm, exfiltration of training data, model jailbreaking, biased decisions, accuracy degradation — are managed under the AI Incident Response Plan (AI-PLAN-IRP-001) and the AI Incident Procedure (AI-PRO-004).</w:t>
      </w:r>
    </w:p>
    <w:p>
      <w:pPr>
        <w:pStyle w:val="ListParagraph"/>
        <w:numPr>
          <w:ilvl w:val="0"/>
          <w:numId w:val="1"/>
        </w:numPr>
        <w:spacing w:lineRule="exact" w:line="280" w:before="40" w:after="40"/>
        <w:rPr/>
      </w:pPr>
      <w:r>
        <w:rPr>
          <w:rFonts w:eastAsia="Arial" w:cs="Arial"/>
          <w:color w:val="1A1A1A"/>
          <w:sz w:val="22"/>
          <w:szCs w:val="22"/>
        </w:rPr>
        <w:t>AI incident response coordinates with security incident response (PLAN-IRP-001) where a single incident has both AI and security dimensions.</w:t>
      </w:r>
    </w:p>
    <w:p>
      <w:pPr>
        <w:pStyle w:val="ListParagraph"/>
        <w:numPr>
          <w:ilvl w:val="0"/>
          <w:numId w:val="1"/>
        </w:numPr>
        <w:spacing w:lineRule="exact" w:line="280" w:before="40" w:after="40"/>
        <w:rPr/>
      </w:pPr>
      <w:r>
        <w:rPr>
          <w:rFonts w:eastAsia="Arial" w:cs="Arial"/>
          <w:color w:val="1A1A1A"/>
          <w:sz w:val="22"/>
          <w:szCs w:val="22"/>
        </w:rPr>
        <w:t>AI incidents are recorded in the AI Incident Register (AI-REG-INC-001).</w:t>
      </w:r>
    </w:p>
    <w:p>
      <w:pPr>
        <w:pStyle w:val="ListParagraph"/>
        <w:numPr>
          <w:ilvl w:val="0"/>
          <w:numId w:val="1"/>
        </w:numPr>
        <w:spacing w:lineRule="exact" w:line="280" w:before="40" w:after="40"/>
        <w:rPr/>
      </w:pPr>
      <w:r>
        <w:rPr>
          <w:rFonts w:eastAsia="Arial" w:cs="Arial"/>
          <w:color w:val="1A1A1A"/>
          <w:sz w:val="22"/>
          <w:szCs w:val="22"/>
        </w:rPr>
        <w:t>Where an AI incident is also a personal data breach, the Breach Notification Procedure (PRO-024) applies.</w:t>
      </w:r>
    </w:p>
    <w:p>
      <w:pPr>
        <w:pStyle w:val="Heading1"/>
        <w:spacing w:before="360" w:after="180"/>
        <w:rPr/>
      </w:pPr>
      <w:r>
        <w:rPr>
          <w:rFonts w:eastAsia="Arial" w:cs="Arial" w:ascii="Arial" w:hAnsi="Arial"/>
          <w:b/>
          <w:bCs/>
          <w:color w:val="0000FF"/>
          <w:sz w:val="36"/>
          <w:szCs w:val="36"/>
        </w:rPr>
        <w:t>16. Compliance and Audit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Compliance with this Policy and with the AIMS is monitored under the AIMS Compliance Monitoring Schedule (AI-PROG-COMP-001).</w:t>
      </w:r>
    </w:p>
    <w:p>
      <w:pPr>
        <w:pStyle w:val="ListParagraph"/>
        <w:numPr>
          <w:ilvl w:val="0"/>
          <w:numId w:val="1"/>
        </w:numPr>
        <w:spacing w:lineRule="exact" w:line="280" w:before="40" w:after="40"/>
        <w:rPr/>
      </w:pPr>
      <w:r>
        <w:rPr>
          <w:rFonts w:eastAsia="Arial" w:cs="Arial"/>
          <w:color w:val="1A1A1A"/>
          <w:sz w:val="22"/>
          <w:szCs w:val="22"/>
        </w:rPr>
        <w:t>Internal audit of the AIMS is performed under the AIMS Internal Audit Programme (AI-PROG-AUDIT-001).</w:t>
      </w:r>
    </w:p>
    <w:p>
      <w:pPr>
        <w:pStyle w:val="ListParagraph"/>
        <w:numPr>
          <w:ilvl w:val="0"/>
          <w:numId w:val="1"/>
        </w:numPr>
        <w:spacing w:lineRule="exact" w:line="280" w:before="40" w:after="40"/>
        <w:rPr/>
      </w:pPr>
      <w:r>
        <w:rPr>
          <w:rFonts w:eastAsia="Arial" w:cs="Arial"/>
          <w:color w:val="1A1A1A"/>
          <w:sz w:val="22"/>
          <w:szCs w:val="22"/>
        </w:rPr>
        <w:t>Findings are recorded in REG-CAR-001 (shared with the ISMS) and tracked to closure.</w:t>
      </w:r>
    </w:p>
    <w:p>
      <w:pPr>
        <w:pStyle w:val="ListParagraph"/>
        <w:numPr>
          <w:ilvl w:val="0"/>
          <w:numId w:val="1"/>
        </w:numPr>
        <w:spacing w:lineRule="exact" w:line="280" w:before="40" w:after="40"/>
        <w:rPr/>
      </w:pPr>
      <w:r>
        <w:rPr>
          <w:rFonts w:eastAsia="Arial" w:cs="Arial"/>
          <w:color w:val="1A1A1A"/>
          <w:sz w:val="22"/>
          <w:szCs w:val="22"/>
        </w:rPr>
        <w:t>Material findings are escalated to the Chief Executive Officer and reported to AIMS management review.</w:t>
      </w:r>
    </w:p>
    <w:p>
      <w:pPr>
        <w:pStyle w:val="Heading1"/>
        <w:spacing w:before="360" w:after="180"/>
        <w:rPr/>
      </w:pPr>
      <w:r>
        <w:rPr>
          <w:rFonts w:eastAsia="Arial" w:cs="Arial" w:ascii="Arial" w:hAnsi="Arial"/>
          <w:b/>
          <w:bCs/>
          <w:color w:val="0000FF"/>
          <w:sz w:val="36"/>
          <w:szCs w:val="36"/>
        </w:rPr>
        <w:t>17. Communication of this Policy</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Policy is communicated to all personnel on commencement and on material change.</w:t>
      </w:r>
    </w:p>
    <w:p>
      <w:pPr>
        <w:pStyle w:val="ListParagraph"/>
        <w:numPr>
          <w:ilvl w:val="0"/>
          <w:numId w:val="1"/>
        </w:numPr>
        <w:spacing w:lineRule="exact" w:line="280" w:before="40" w:after="40"/>
        <w:rPr/>
      </w:pPr>
      <w:r>
        <w:rPr>
          <w:rFonts w:eastAsia="Arial" w:cs="Arial"/>
          <w:color w:val="1A1A1A"/>
          <w:sz w:val="22"/>
          <w:szCs w:val="22"/>
        </w:rPr>
        <w:t>This Policy is published in the ISMS / AIMS document repository accessible to all personnel.</w:t>
      </w:r>
    </w:p>
    <w:p>
      <w:pPr>
        <w:pStyle w:val="ListParagraph"/>
        <w:numPr>
          <w:ilvl w:val="0"/>
          <w:numId w:val="1"/>
        </w:numPr>
        <w:spacing w:lineRule="exact" w:line="280" w:before="40" w:after="40"/>
        <w:rPr/>
      </w:pPr>
      <w:r>
        <w:rPr>
          <w:rFonts w:eastAsia="Arial" w:cs="Arial"/>
          <w:color w:val="1A1A1A"/>
          <w:sz w:val="22"/>
          <w:szCs w:val="22"/>
        </w:rPr>
        <w:t>Where appropriate, summary versions of this Policy are made available to customers, partners, and the public.</w:t>
      </w:r>
    </w:p>
    <w:p>
      <w:pPr>
        <w:pStyle w:val="Heading1"/>
        <w:spacing w:before="360" w:after="180"/>
        <w:rPr/>
      </w:pPr>
      <w:r>
        <w:rPr>
          <w:rFonts w:eastAsia="Arial" w:cs="Arial" w:ascii="Arial" w:hAnsi="Arial"/>
          <w:b/>
          <w:bCs/>
          <w:color w:val="0000FF"/>
          <w:sz w:val="36"/>
          <w:szCs w:val="36"/>
        </w:rPr>
        <w:t>18. Review and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Policy is reviewed at least annually.</w:t>
      </w:r>
    </w:p>
    <w:p>
      <w:pPr>
        <w:pStyle w:val="ListParagraph"/>
        <w:numPr>
          <w:ilvl w:val="0"/>
          <w:numId w:val="1"/>
        </w:numPr>
        <w:spacing w:lineRule="exact" w:line="280" w:before="40" w:after="40"/>
        <w:rPr/>
      </w:pPr>
      <w:r>
        <w:rPr>
          <w:rFonts w:eastAsia="Arial" w:cs="Arial"/>
          <w:color w:val="1A1A1A"/>
          <w:sz w:val="22"/>
          <w:szCs w:val="22"/>
        </w:rPr>
        <w:t>Out-of-cycle review is triggered by material change to the AI regulatory landscape, the Cloudax AI portfolio, the operating model, or by an AI incident with policy implications.</w:t>
      </w:r>
    </w:p>
    <w:p>
      <w:pPr>
        <w:pStyle w:val="ListParagraph"/>
        <w:numPr>
          <w:ilvl w:val="0"/>
          <w:numId w:val="1"/>
        </w:numPr>
        <w:spacing w:lineRule="exact" w:line="280" w:before="40" w:after="40"/>
        <w:rPr/>
      </w:pPr>
      <w:r>
        <w:rPr>
          <w:rFonts w:eastAsia="Arial" w:cs="Arial"/>
          <w:color w:val="1A1A1A"/>
          <w:sz w:val="22"/>
          <w:szCs w:val="22"/>
        </w:rPr>
        <w:t>Material changes are approved by the Chief Executive Officer and recorded in Annex B.</w:t>
      </w:r>
    </w:p>
    <w:p>
      <w:pPr>
        <w:pStyle w:val="Heading1"/>
        <w:spacing w:before="360" w:after="180"/>
        <w:rPr/>
      </w:pPr>
      <w:r>
        <w:rPr>
          <w:rFonts w:eastAsia="Arial" w:cs="Arial" w:ascii="Arial" w:hAnsi="Arial"/>
          <w:b/>
          <w:bCs/>
          <w:color w:val="0000FF"/>
          <w:sz w:val="36"/>
          <w:szCs w:val="36"/>
        </w:rPr>
        <w:t>19. Disciplinary Consequences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Breach of this Policy may result in disciplinary action under the existing Disciplinary Policy (POL-011), up to and including termination of engagement. Where a breach involves criminal conduct, the matter may be referred to law enforcement.</w:t>
      </w:r>
    </w:p>
    <w:p>
      <w:pPr>
        <w:pStyle w:val="Heading1"/>
        <w:spacing w:before="360" w:after="180"/>
        <w:rPr/>
      </w:pPr>
      <w:r>
        <w:rPr>
          <w:rFonts w:eastAsia="Arial" w:cs="Arial" w:ascii="Arial" w:hAnsi="Arial"/>
          <w:b/>
          <w:bCs/>
          <w:color w:val="0000FF"/>
          <w:sz w:val="36"/>
          <w:szCs w:val="36"/>
        </w:rPr>
        <w:t>20.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on material change, and on request. Acknowledgement is recorded in the training records under POL-009.</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42001:2023 Clause Mapping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clauses of ISO/IEC 42001:2023. The authoritative AIMS scope and Annex A control selection are recorded in the AIMS Statement of Applicability (AIMS-SOA-001 v1.0).</w:t>
      </w:r>
    </w:p>
    <w:tbl>
      <w:tblPr>
        <w:tblW w:w="9026" w:type="dxa"/>
        <w:jc w:val="start"/>
        <w:tblInd w:w="0" w:type="dxa"/>
        <w:tblLayout w:type="fixed"/>
        <w:tblCellMar>
          <w:top w:w="100" w:type="dxa"/>
          <w:start w:w="140" w:type="dxa"/>
          <w:bottom w:w="100" w:type="dxa"/>
          <w:end w:w="140" w:type="dxa"/>
        </w:tblCellMar>
      </w:tblPr>
      <w:tblGrid>
        <w:gridCol w:w="1299"/>
        <w:gridCol w:w="2400"/>
        <w:gridCol w:w="5327"/>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CLAUSE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TITLE</w:t>
            </w:r>
          </w:p>
        </w:tc>
        <w:tc>
          <w:tcPr>
            <w:tcW w:w="5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HOW THIS DOCUMENT GIVES EFFECT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5.1</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Leadership and commitment</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Sections 4 and 6 establish leadership accountability.</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5.2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policy</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This document is the AI policy required by Clause 5.2.</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5.3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Roles, responsibilities and authorities</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 6 assigns roles.</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6.1</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Actions to address risks and opportunities</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Section 7 establishes the risk management framework.</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6.1.4</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system impact assessment</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 13 establishes AISIA.</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6.2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objectives and planning to achieve them</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Cross-referenced to AIMS-OBJ-001.</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7.2</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Competence</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 14 establishes competence requirements.</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7.3</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Awareness</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Sections 14 and 17 establish awareness.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7.4</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Communication</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 17 establishes communication.</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8.1</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Operational planning and control</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Section 8 establishes lifecycle governance.</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8.4</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system impact assessment</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 13 references AISIA process.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42001:2023.</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AI-POL-001 AI Policy  •  Internal  </w:t>
      <w:tab/>
      <w:t>v1.0  •  April 2026</w:t>
      <w:tab/>
      <w:t xml:space="preserve">Page </w:t>
    </w:r>
    <w:r>
      <w:rPr/>
      <w:fldChar w:fldCharType="begin"/>
    </w:r>
    <w:r>
      <w:rPr/>
      <w:instrText xml:space="preserve"> PAGE </w:instrText>
    </w:r>
    <w:r>
      <w:rPr/>
      <w:fldChar w:fldCharType="separate"/>
    </w:r>
    <w:r>
      <w:rPr/>
      <w:t>12</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AI-POL-001 AI Policy  •  Internal  </w:t>
      <w:tab/>
      <w:t>v1.0  •  April 2026</w:t>
      <w:tab/>
      <w:t xml:space="preserve">Page </w:t>
    </w:r>
    <w:r>
      <w:rPr/>
      <w:fldChar w:fldCharType="begin"/>
    </w:r>
    <w:r>
      <w:rPr/>
      <w:instrText xml:space="preserve"> PAGE </w:instrText>
    </w:r>
    <w:r>
      <w:rPr/>
      <w:fldChar w:fldCharType="separate"/>
    </w:r>
    <w:r>
      <w:rPr/>
      <w:t>12</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2026-04-16T14:01:00Z</dcterms:created>
  <dc:creator>David Stokes</dc:creator>
  <dc:description/>
  <dc:language>en-US</dc:language>
  <cp:lastModifiedBy>David Stokes</cp:lastModifiedBy>
  <dcterms:modified xsi:type="dcterms:W3CDTF">2026-04-16T16:26:00Z</dcterms:modified>
  <cp:revision>1</cp:revision>
  <dc:subject/>
  <dc:title>Cloudax AI Policy</dc:title>
</cp:coreProperties>
</file>

<file path=docProps/custom.xml><?xml version="1.0" encoding="utf-8"?>
<Properties xmlns="http://schemas.openxmlformats.org/officeDocument/2006/custom-properties" xmlns:vt="http://schemas.openxmlformats.org/officeDocument/2006/docPropsVTypes"/>
</file>