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header3.xml.rels" ContentType="application/vnd.openxmlformats-package.relationships+xml"/>
  <Override PartName="/word/_rels/header2.xml.rels" ContentType="application/vnd.openxmlformats-package.relationships+xml"/>
  <Override PartName="/word/_rels/document.xml.rels" ContentType="application/vnd.openxmlformats-package.relationship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footer3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theme/theme1.xml" ContentType="application/vnd.openxmlformats-officedocument.theme+xml"/>
  <Override PartName="/word/header1.xml" ContentType="application/vnd.openxmlformats-officedocument.wordprocessingml.header+xml"/>
  <Override PartName="/word/media/image1.png" ContentType="image/png"/>
  <Override PartName="/word/media/image2.png" ContentType="image/png"/>
  <Override PartName="/word/styles.xml" ContentType="application/vnd.openxmlformats-officedocument.wordprocessingml.styles+xml"/>
  <Override PartName="/word/document.xml" ContentType="application/vnd.openxmlformats-officedocument.wordprocessingml.document.main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W w:w="9026" w:type="dxa"/>
        <w:jc w:val="start"/>
        <w:tblInd w:w="0" w:type="dxa"/>
        <w:tblLayout w:type="fixed"/>
        <w:tblCellMar>
          <w:top w:w="700" w:type="dxa"/>
          <w:start w:w="600" w:type="dxa"/>
          <w:bottom w:w="700" w:type="dxa"/>
          <w:end w:w="600" w:type="dxa"/>
        </w:tblCellMar>
      </w:tblPr>
      <w:tblGrid>
        <w:gridCol w:w="9026"/>
      </w:tblGrid>
      <w:tr>
        <w:trPr>
          <w:trHeight w:val="4200" w:hRule="atLeast"/>
        </w:trPr>
        <w:tc>
          <w:tcPr>
            <w:tcW w:w="9026" w:type="dxa"/>
            <w:tcBorders/>
            <w:shd w:fill="0000FF" w:val="clear"/>
          </w:tcPr>
          <w:p>
            <w:pPr>
              <w:pStyle w:val="Normal"/>
              <w:spacing w:before="0" w:after="300"/>
              <w:jc w:val="center"/>
              <w:rPr/>
            </w:pPr>
            <w:r>
              <w:rPr/>
              <w:drawing>
                <wp:inline distT="0" distB="0" distL="0" distR="0">
                  <wp:extent cx="1428750" cy="1085850"/>
                  <wp:effectExtent l="0" t="0" r="0" b="0"/>
                  <wp:docPr id="1" name="Image1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1" descr="" titl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28750" cy="10858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Normal"/>
              <w:spacing w:before="0" w:after="180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52"/>
                <w:szCs w:val="52"/>
              </w:rPr>
              <w:t>AI Objectives</w:t>
            </w:r>
          </w:p>
          <w:p>
            <w:pPr>
              <w:pStyle w:val="Normal"/>
              <w:spacing w:before="0" w:after="40"/>
              <w:jc w:val="center"/>
              <w:rPr/>
            </w:pPr>
            <w:r>
              <w:rPr>
                <w:rFonts w:eastAsia="Arial" w:cs="Arial"/>
                <w:color w:val="FFFFFF"/>
                <w:sz w:val="22"/>
                <w:szCs w:val="22"/>
              </w:rPr>
              <w:t>AI Management System</w:t>
            </w:r>
          </w:p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i/>
                <w:iCs/>
                <w:color w:val="FFFFFF"/>
                <w:sz w:val="22"/>
                <w:szCs w:val="22"/>
              </w:rPr>
              <w:t>Conversational AI. Always connected.</w:t>
            </w:r>
          </w:p>
        </w:tc>
      </w:tr>
    </w:tbl>
    <w:p>
      <w:pPr>
        <w:pStyle w:val="Normal"/>
        <w:spacing w:before="60" w:after="60"/>
        <w:rPr/>
      </w:pPr>
      <w:r>
        <w:rPr/>
      </w:r>
    </w:p>
    <w:tbl>
      <w:tblPr>
        <w:tblW w:w="9026" w:type="dxa"/>
        <w:jc w:val="start"/>
        <w:tblInd w:w="0" w:type="dxa"/>
        <w:tblLayout w:type="fixed"/>
        <w:tblCellMar>
          <w:top w:w="140" w:type="dxa"/>
          <w:start w:w="200" w:type="dxa"/>
          <w:bottom w:w="140" w:type="dxa"/>
          <w:end w:w="200" w:type="dxa"/>
        </w:tblCellMar>
      </w:tblPr>
      <w:tblGrid>
        <w:gridCol w:w="4513"/>
        <w:gridCol w:w="4512"/>
      </w:tblGrid>
      <w:tr>
        <w:trPr/>
        <w:tc>
          <w:tcPr>
            <w:tcW w:w="4513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0F2E5" w:val="clear"/>
          </w:tcPr>
          <w:p>
            <w:pPr>
              <w:pStyle w:val="Normal"/>
              <w:spacing w:before="0" w:after="60"/>
              <w:rPr/>
            </w:pPr>
            <w:r>
              <w:rPr>
                <w:rFonts w:eastAsia="Arial" w:cs="Arial"/>
                <w:b/>
                <w:bCs/>
                <w:color w:val="0000FF"/>
                <w:spacing w:val="40"/>
                <w:sz w:val="18"/>
                <w:szCs w:val="18"/>
              </w:rPr>
              <w:t>DOCUMENT ID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color w:val="1A1A1A"/>
                <w:sz w:val="22"/>
                <w:szCs w:val="22"/>
              </w:rPr>
              <w:t>AIMS-OBJ-001</w:t>
            </w:r>
          </w:p>
        </w:tc>
        <w:tc>
          <w:tcPr>
            <w:tcW w:w="4512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FFFFF" w:val="clear"/>
          </w:tcPr>
          <w:p>
            <w:pPr>
              <w:pStyle w:val="Normal"/>
              <w:spacing w:before="0" w:after="60"/>
              <w:rPr/>
            </w:pPr>
            <w:r>
              <w:rPr>
                <w:rFonts w:eastAsia="Arial" w:cs="Arial"/>
                <w:b/>
                <w:bCs/>
                <w:color w:val="0000FF"/>
                <w:spacing w:val="40"/>
                <w:sz w:val="18"/>
                <w:szCs w:val="18"/>
              </w:rPr>
              <w:t>VERSION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color w:val="1A1A1A"/>
                <w:sz w:val="22"/>
                <w:szCs w:val="22"/>
              </w:rPr>
              <w:t>1.0</w:t>
            </w:r>
          </w:p>
        </w:tc>
      </w:tr>
      <w:tr>
        <w:trPr/>
        <w:tc>
          <w:tcPr>
            <w:tcW w:w="4513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0F2E5" w:val="clear"/>
          </w:tcPr>
          <w:p>
            <w:pPr>
              <w:pStyle w:val="Normal"/>
              <w:spacing w:before="0" w:after="60"/>
              <w:rPr/>
            </w:pPr>
            <w:r>
              <w:rPr>
                <w:rFonts w:eastAsia="Arial" w:cs="Arial"/>
                <w:b/>
                <w:bCs/>
                <w:color w:val="0000FF"/>
                <w:spacing w:val="40"/>
                <w:sz w:val="18"/>
                <w:szCs w:val="18"/>
              </w:rPr>
              <w:t>DOCUMENT TITLE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color w:val="1A1A1A"/>
                <w:sz w:val="22"/>
                <w:szCs w:val="22"/>
              </w:rPr>
              <w:t>AI Objectives</w:t>
            </w:r>
          </w:p>
        </w:tc>
        <w:tc>
          <w:tcPr>
            <w:tcW w:w="4512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FFFFF" w:val="clear"/>
          </w:tcPr>
          <w:p>
            <w:pPr>
              <w:pStyle w:val="Normal"/>
              <w:spacing w:before="0" w:after="60"/>
              <w:rPr/>
            </w:pPr>
            <w:r>
              <w:rPr>
                <w:rFonts w:eastAsia="Arial" w:cs="Arial"/>
                <w:b/>
                <w:bCs/>
                <w:color w:val="0000FF"/>
                <w:spacing w:val="40"/>
                <w:sz w:val="18"/>
                <w:szCs w:val="18"/>
              </w:rPr>
              <w:t>STATUS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color w:val="1A1A1A"/>
                <w:sz w:val="22"/>
                <w:szCs w:val="22"/>
              </w:rPr>
              <w:t>Approved</w:t>
            </w:r>
          </w:p>
        </w:tc>
      </w:tr>
      <w:tr>
        <w:trPr/>
        <w:tc>
          <w:tcPr>
            <w:tcW w:w="4513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0F2E5" w:val="clear"/>
          </w:tcPr>
          <w:p>
            <w:pPr>
              <w:pStyle w:val="Normal"/>
              <w:spacing w:before="0" w:after="60"/>
              <w:rPr/>
            </w:pPr>
            <w:r>
              <w:rPr>
                <w:rFonts w:eastAsia="Arial" w:cs="Arial"/>
                <w:b/>
                <w:bCs/>
                <w:color w:val="0000FF"/>
                <w:spacing w:val="40"/>
                <w:sz w:val="18"/>
                <w:szCs w:val="18"/>
              </w:rPr>
              <w:t>OWNER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color w:val="1A1A1A"/>
                <w:sz w:val="22"/>
                <w:szCs w:val="22"/>
              </w:rPr>
              <w:t>AI Governance Lead</w:t>
            </w:r>
          </w:p>
        </w:tc>
        <w:tc>
          <w:tcPr>
            <w:tcW w:w="4512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FFFFF" w:val="clear"/>
          </w:tcPr>
          <w:p>
            <w:pPr>
              <w:pStyle w:val="Normal"/>
              <w:spacing w:before="0" w:after="60"/>
              <w:rPr/>
            </w:pPr>
            <w:r>
              <w:rPr>
                <w:rFonts w:eastAsia="Arial" w:cs="Arial"/>
                <w:b/>
                <w:bCs/>
                <w:color w:val="0000FF"/>
                <w:spacing w:val="40"/>
                <w:sz w:val="18"/>
                <w:szCs w:val="18"/>
              </w:rPr>
              <w:t>APPROVER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color w:val="1A1A1A"/>
                <w:sz w:val="22"/>
                <w:szCs w:val="22"/>
              </w:rPr>
              <w:t>Chief Executive Officer</w:t>
            </w:r>
          </w:p>
        </w:tc>
      </w:tr>
      <w:tr>
        <w:trPr/>
        <w:tc>
          <w:tcPr>
            <w:tcW w:w="4513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0F2E5" w:val="clear"/>
          </w:tcPr>
          <w:p>
            <w:pPr>
              <w:pStyle w:val="Normal"/>
              <w:spacing w:before="0" w:after="60"/>
              <w:rPr/>
            </w:pPr>
            <w:r>
              <w:rPr>
                <w:rFonts w:eastAsia="Arial" w:cs="Arial"/>
                <w:b/>
                <w:bCs/>
                <w:color w:val="0000FF"/>
                <w:spacing w:val="40"/>
                <w:sz w:val="18"/>
                <w:szCs w:val="18"/>
              </w:rPr>
              <w:t>ISSUE DATE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color w:val="1A1A1A"/>
                <w:sz w:val="22"/>
                <w:szCs w:val="22"/>
              </w:rPr>
              <w:t>April 2026</w:t>
            </w:r>
          </w:p>
        </w:tc>
        <w:tc>
          <w:tcPr>
            <w:tcW w:w="4512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FFFFF" w:val="clear"/>
          </w:tcPr>
          <w:p>
            <w:pPr>
              <w:pStyle w:val="Normal"/>
              <w:spacing w:before="0" w:after="60"/>
              <w:rPr/>
            </w:pPr>
            <w:r>
              <w:rPr>
                <w:rFonts w:eastAsia="Arial" w:cs="Arial"/>
                <w:b/>
                <w:bCs/>
                <w:color w:val="0000FF"/>
                <w:spacing w:val="40"/>
                <w:sz w:val="18"/>
                <w:szCs w:val="18"/>
              </w:rPr>
              <w:t>EFFECTIVE FROM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color w:val="1A1A1A"/>
                <w:sz w:val="22"/>
                <w:szCs w:val="22"/>
              </w:rPr>
              <w:t>April 2026</w:t>
            </w:r>
          </w:p>
        </w:tc>
      </w:tr>
      <w:tr>
        <w:trPr/>
        <w:tc>
          <w:tcPr>
            <w:tcW w:w="4513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0F2E5" w:val="clear"/>
          </w:tcPr>
          <w:p>
            <w:pPr>
              <w:pStyle w:val="Normal"/>
              <w:spacing w:before="0" w:after="60"/>
              <w:rPr/>
            </w:pPr>
            <w:r>
              <w:rPr>
                <w:rFonts w:eastAsia="Arial" w:cs="Arial"/>
                <w:b/>
                <w:bCs/>
                <w:color w:val="0000FF"/>
                <w:spacing w:val="40"/>
                <w:sz w:val="18"/>
                <w:szCs w:val="18"/>
              </w:rPr>
              <w:t>NEXT REVIEW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color w:val="1A1A1A"/>
                <w:sz w:val="22"/>
                <w:szCs w:val="22"/>
              </w:rPr>
              <w:t>April 2027</w:t>
            </w:r>
          </w:p>
        </w:tc>
        <w:tc>
          <w:tcPr>
            <w:tcW w:w="4512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FFFFF" w:val="clear"/>
          </w:tcPr>
          <w:p>
            <w:pPr>
              <w:pStyle w:val="Normal"/>
              <w:spacing w:before="0" w:after="60"/>
              <w:rPr/>
            </w:pPr>
            <w:r>
              <w:rPr>
                <w:rFonts w:eastAsia="Arial" w:cs="Arial"/>
                <w:b/>
                <w:bCs/>
                <w:color w:val="0000FF"/>
                <w:spacing w:val="40"/>
                <w:sz w:val="18"/>
                <w:szCs w:val="18"/>
              </w:rPr>
              <w:t>REVIEW CYCLE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color w:val="1A1A1A"/>
                <w:sz w:val="22"/>
                <w:szCs w:val="22"/>
              </w:rPr>
              <w:t>Annual or on material change</w:t>
            </w:r>
          </w:p>
        </w:tc>
      </w:tr>
      <w:tr>
        <w:trPr/>
        <w:tc>
          <w:tcPr>
            <w:tcW w:w="4513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0F2E5" w:val="clear"/>
          </w:tcPr>
          <w:p>
            <w:pPr>
              <w:pStyle w:val="Normal"/>
              <w:spacing w:before="0" w:after="60"/>
              <w:rPr/>
            </w:pPr>
            <w:r>
              <w:rPr>
                <w:rFonts w:eastAsia="Arial" w:cs="Arial"/>
                <w:b/>
                <w:bCs/>
                <w:color w:val="0000FF"/>
                <w:spacing w:val="40"/>
                <w:sz w:val="18"/>
                <w:szCs w:val="18"/>
              </w:rPr>
              <w:t>CLASSIFICATION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color w:val="1A1A1A"/>
                <w:sz w:val="22"/>
                <w:szCs w:val="22"/>
              </w:rPr>
              <w:t>Internal</w:t>
            </w:r>
          </w:p>
        </w:tc>
        <w:tc>
          <w:tcPr>
            <w:tcW w:w="4512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FFFFF" w:val="clear"/>
          </w:tcPr>
          <w:p>
            <w:pPr>
              <w:pStyle w:val="Normal"/>
              <w:spacing w:before="0" w:after="60"/>
              <w:rPr/>
            </w:pPr>
            <w:r>
              <w:rPr>
                <w:rFonts w:eastAsia="Arial" w:cs="Arial"/>
                <w:b/>
                <w:bCs/>
                <w:color w:val="0000FF"/>
                <w:spacing w:val="40"/>
                <w:sz w:val="18"/>
                <w:szCs w:val="18"/>
              </w:rPr>
              <w:t>DISTRIBUTION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color w:val="1A1A1A"/>
                <w:sz w:val="22"/>
                <w:szCs w:val="22"/>
              </w:rPr>
              <w:t>All personnel; third parties on request</w:t>
            </w:r>
          </w:p>
        </w:tc>
      </w:tr>
      <w:tr>
        <w:trPr/>
        <w:tc>
          <w:tcPr>
            <w:tcW w:w="4513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0F2E5" w:val="clear"/>
          </w:tcPr>
          <w:p>
            <w:pPr>
              <w:pStyle w:val="Normal"/>
              <w:spacing w:before="0" w:after="60"/>
              <w:rPr/>
            </w:pPr>
            <w:r>
              <w:rPr>
                <w:rFonts w:eastAsia="Arial" w:cs="Arial"/>
                <w:b/>
                <w:bCs/>
                <w:color w:val="0000FF"/>
                <w:spacing w:val="40"/>
                <w:sz w:val="18"/>
                <w:szCs w:val="18"/>
              </w:rPr>
              <w:t>AIMS SoA REFERENCE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color w:val="1A1A1A"/>
                <w:sz w:val="22"/>
                <w:szCs w:val="22"/>
              </w:rPr>
              <w:t>AIMS-SOA-001 v1.0</w:t>
            </w:r>
          </w:p>
        </w:tc>
        <w:tc>
          <w:tcPr>
            <w:tcW w:w="4512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FFFFF" w:val="clear"/>
          </w:tcPr>
          <w:p>
            <w:pPr>
              <w:pStyle w:val="Normal"/>
              <w:spacing w:before="0" w:after="60"/>
              <w:rPr/>
            </w:pPr>
            <w:r>
              <w:rPr>
                <w:rFonts w:eastAsia="Arial" w:cs="Arial"/>
                <w:b/>
                <w:bCs/>
                <w:color w:val="0000FF"/>
                <w:spacing w:val="40"/>
                <w:sz w:val="18"/>
                <w:szCs w:val="18"/>
              </w:rPr>
              <w:t>AIMS MAP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color w:val="1A1A1A"/>
                <w:sz w:val="22"/>
                <w:szCs w:val="22"/>
              </w:rPr>
              <w:t>AIMS-MAP-001 v1.0</w:t>
            </w:r>
          </w:p>
        </w:tc>
      </w:tr>
    </w:tbl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180"/>
        <w:rPr/>
      </w:pPr>
      <w:r>
        <w:rPr>
          <w:rFonts w:eastAsia="Arial" w:cs="Arial" w:ascii="Arial" w:hAnsi="Arial"/>
          <w:b/>
          <w:bCs/>
          <w:color w:val="0000FF"/>
          <w:sz w:val="36"/>
          <w:szCs w:val="36"/>
        </w:rPr>
        <w:t>Contents</w:t>
      </w:r>
    </w:p>
    <w:p>
      <w:pPr>
        <w:pStyle w:val="Normal"/>
        <w:pBdr>
          <w:bottom w:val="single" w:sz="12" w:space="1" w:color="0000FF"/>
        </w:pBdr>
        <w:spacing w:before="0" w:after="200"/>
        <w:rPr/>
      </w:pPr>
      <w:r>
        <w:rPr/>
      </w:r>
    </w:p>
    <w:p>
      <w:pPr>
        <w:pStyle w:val="Normal"/>
        <w:spacing w:before="40" w:after="40"/>
        <w:rPr/>
      </w:pPr>
      <w:r>
        <w:rPr>
          <w:rFonts w:eastAsia="Arial" w:cs="Arial"/>
          <w:color w:val="1A1A1A"/>
          <w:sz w:val="22"/>
          <w:szCs w:val="22"/>
        </w:rPr>
        <w:t>1. Purpose</w:t>
      </w:r>
    </w:p>
    <w:p>
      <w:pPr>
        <w:pStyle w:val="Normal"/>
        <w:spacing w:before="40" w:after="40"/>
        <w:rPr/>
      </w:pPr>
      <w:r>
        <w:rPr>
          <w:rFonts w:eastAsia="Arial" w:cs="Arial"/>
          <w:color w:val="1A1A1A"/>
          <w:sz w:val="22"/>
          <w:szCs w:val="22"/>
        </w:rPr>
        <w:t>2. Scope</w:t>
      </w:r>
    </w:p>
    <w:p>
      <w:pPr>
        <w:pStyle w:val="Normal"/>
        <w:spacing w:before="40" w:after="40"/>
        <w:rPr/>
      </w:pPr>
      <w:r>
        <w:rPr>
          <w:rFonts w:eastAsia="Arial" w:cs="Arial"/>
          <w:color w:val="1A1A1A"/>
          <w:sz w:val="22"/>
          <w:szCs w:val="22"/>
        </w:rPr>
        <w:t>3. Roles and Responsibilities</w:t>
      </w:r>
    </w:p>
    <w:p>
      <w:pPr>
        <w:pStyle w:val="Normal"/>
        <w:spacing w:before="40" w:after="40"/>
        <w:rPr/>
      </w:pPr>
      <w:r>
        <w:rPr>
          <w:rFonts w:eastAsia="Arial" w:cs="Arial"/>
          <w:color w:val="1A1A1A"/>
          <w:sz w:val="22"/>
          <w:szCs w:val="22"/>
        </w:rPr>
        <w:t>4. Standing AI Objectives</w:t>
      </w:r>
    </w:p>
    <w:p>
      <w:pPr>
        <w:pStyle w:val="Normal"/>
        <w:spacing w:before="40" w:after="40"/>
        <w:rPr/>
      </w:pPr>
      <w:r>
        <w:rPr>
          <w:rFonts w:eastAsia="Arial" w:cs="Arial"/>
          <w:color w:val="1A1A1A"/>
          <w:sz w:val="22"/>
          <w:szCs w:val="22"/>
        </w:rPr>
        <w:t>5. Annual KPIs</w:t>
      </w:r>
    </w:p>
    <w:p>
      <w:pPr>
        <w:pStyle w:val="Normal"/>
        <w:spacing w:before="40" w:after="40"/>
        <w:rPr/>
      </w:pPr>
      <w:r>
        <w:rPr>
          <w:rFonts w:eastAsia="Arial" w:cs="Arial"/>
          <w:color w:val="1A1A1A"/>
          <w:sz w:val="22"/>
          <w:szCs w:val="22"/>
        </w:rPr>
        <w:t>6. Methodology</w:t>
      </w:r>
    </w:p>
    <w:p>
      <w:pPr>
        <w:pStyle w:val="Normal"/>
        <w:spacing w:before="40" w:after="40"/>
        <w:rPr/>
      </w:pPr>
      <w:r>
        <w:rPr>
          <w:rFonts w:eastAsia="Arial" w:cs="Arial"/>
          <w:color w:val="1A1A1A"/>
          <w:sz w:val="22"/>
          <w:szCs w:val="22"/>
        </w:rPr>
        <w:t>7. Review and Reporting</w:t>
      </w:r>
    </w:p>
    <w:p>
      <w:pPr>
        <w:pStyle w:val="Normal"/>
        <w:spacing w:before="40" w:after="40"/>
        <w:rPr/>
      </w:pPr>
      <w:r>
        <w:rPr>
          <w:rFonts w:eastAsia="Arial" w:cs="Arial"/>
          <w:color w:val="1A1A1A"/>
          <w:sz w:val="22"/>
          <w:szCs w:val="22"/>
        </w:rPr>
        <w:t>8. Resource Allocation</w:t>
      </w:r>
    </w:p>
    <w:p>
      <w:pPr>
        <w:pStyle w:val="Normal"/>
        <w:spacing w:before="40" w:after="40"/>
        <w:rPr/>
      </w:pPr>
      <w:r>
        <w:rPr>
          <w:rFonts w:eastAsia="Arial" w:cs="Arial"/>
          <w:color w:val="1A1A1A"/>
          <w:sz w:val="22"/>
          <w:szCs w:val="22"/>
        </w:rPr>
        <w:t>9. Approval</w:t>
      </w:r>
    </w:p>
    <w:p>
      <w:pPr>
        <w:pStyle w:val="Normal"/>
        <w:spacing w:before="40" w:after="40"/>
        <w:rPr/>
      </w:pPr>
      <w:r>
        <w:rPr>
          <w:rFonts w:eastAsia="Arial" w:cs="Arial"/>
          <w:color w:val="1A1A1A"/>
          <w:sz w:val="22"/>
          <w:szCs w:val="22"/>
        </w:rPr>
        <w:t>10. Maintenance</w:t>
      </w:r>
    </w:p>
    <w:p>
      <w:pPr>
        <w:pStyle w:val="Normal"/>
        <w:spacing w:before="40" w:after="40"/>
        <w:rPr/>
      </w:pPr>
      <w:r>
        <w:rPr>
          <w:rFonts w:eastAsia="Arial" w:cs="Arial"/>
          <w:color w:val="1A1A1A"/>
          <w:sz w:val="22"/>
          <w:szCs w:val="22"/>
        </w:rPr>
        <w:t>Annex A — ISO/IEC 42001:2023 Clause Mapping</w:t>
      </w:r>
    </w:p>
    <w:p>
      <w:pPr>
        <w:pStyle w:val="Normal"/>
        <w:spacing w:before="40" w:after="40"/>
        <w:rPr/>
      </w:pPr>
      <w:r>
        <w:rPr>
          <w:rFonts w:eastAsia="Arial" w:cs="Arial"/>
          <w:color w:val="1A1A1A"/>
          <w:sz w:val="22"/>
          <w:szCs w:val="22"/>
        </w:rPr>
        <w:t>Annex B — Version History</w:t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180"/>
        <w:rPr/>
      </w:pPr>
      <w:r>
        <w:rPr>
          <w:rFonts w:eastAsia="Arial" w:cs="Arial" w:ascii="Arial" w:hAnsi="Arial"/>
          <w:b/>
          <w:bCs/>
          <w:color w:val="0000FF"/>
          <w:sz w:val="36"/>
          <w:szCs w:val="36"/>
        </w:rPr>
        <w:t>1. Purpose</w:t>
      </w:r>
    </w:p>
    <w:p>
      <w:pPr>
        <w:pStyle w:val="Normal"/>
        <w:pBdr>
          <w:bottom w:val="single" w:sz="12" w:space="1" w:color="0000FF"/>
        </w:pBdr>
        <w:spacing w:before="0" w:after="200"/>
        <w:rPr/>
      </w:pPr>
      <w:r>
        <w:rPr/>
      </w:r>
    </w:p>
    <w:p>
      <w:pPr>
        <w:pStyle w:val="Normal"/>
        <w:spacing w:lineRule="exact" w:line="300" w:before="80" w:after="120"/>
        <w:rPr/>
      </w:pPr>
      <w:r>
        <w:rPr>
          <w:rFonts w:eastAsia="Arial" w:cs="Arial"/>
          <w:color w:val="1A1A1A"/>
          <w:sz w:val="22"/>
          <w:szCs w:val="22"/>
        </w:rPr>
        <w:t>This document records the AI objectives Cloudax sets for its AI Management System, in accordance with Clause 6.2 of ISO/IEC 42001:2023. It establishes both standing objectives (which persist across cycles) and annual KPIs (which are reviewed and refreshed each year).</w:t>
      </w:r>
    </w:p>
    <w:p>
      <w:pPr>
        <w:pStyle w:val="Normal"/>
        <w:spacing w:before="40" w:after="120"/>
        <w:rPr/>
      </w:pPr>
      <w:r>
        <w:rPr>
          <w:rFonts w:eastAsia="Arial" w:cs="Arial"/>
          <w:b/>
          <w:bCs/>
          <w:color w:val="0000FF"/>
          <w:spacing w:val="20"/>
          <w:sz w:val="18"/>
          <w:szCs w:val="18"/>
        </w:rPr>
        <w:t xml:space="preserve">ISO 27001:2022 references: </w:t>
      </w:r>
      <w:r>
        <w:rPr>
          <w:rFonts w:eastAsia="Arial" w:cs="Arial"/>
          <w:color w:val="1A1A1A"/>
          <w:sz w:val="18"/>
          <w:szCs w:val="18"/>
        </w:rPr>
        <w:t>ISO 42001 reference: Clause 6.2 AI objectives and planning to achieve them</w:t>
      </w:r>
    </w:p>
    <w:p>
      <w:pPr>
        <w:pStyle w:val="Heading1"/>
        <w:spacing w:before="360" w:after="180"/>
        <w:rPr/>
      </w:pPr>
      <w:r>
        <w:rPr>
          <w:rFonts w:eastAsia="Arial" w:cs="Arial" w:ascii="Arial" w:hAnsi="Arial"/>
          <w:b/>
          <w:bCs/>
          <w:color w:val="0000FF"/>
          <w:sz w:val="36"/>
          <w:szCs w:val="36"/>
        </w:rPr>
        <w:t>2. Scope</w:t>
      </w:r>
    </w:p>
    <w:p>
      <w:pPr>
        <w:pStyle w:val="Normal"/>
        <w:pBdr>
          <w:bottom w:val="single" w:sz="12" w:space="1" w:color="0000FF"/>
        </w:pBdr>
        <w:spacing w:before="0" w:after="200"/>
        <w:rPr/>
      </w:pPr>
      <w:r>
        <w:rPr/>
      </w:r>
    </w:p>
    <w:p>
      <w:pPr>
        <w:pStyle w:val="Normal"/>
        <w:spacing w:lineRule="exact" w:line="300" w:before="80" w:after="120"/>
        <w:rPr/>
      </w:pPr>
      <w:r>
        <w:rPr>
          <w:rFonts w:eastAsia="Arial" w:cs="Arial"/>
          <w:color w:val="1A1A1A"/>
          <w:sz w:val="22"/>
          <w:szCs w:val="22"/>
        </w:rPr>
        <w:t>These objectives apply to the full AIMS scope as defined in AIMS-SCOPE-001. They are consistent with the AI Policy (AI-POL-001) and the AI Risk Treatment Plan (AIMS-RTP-001).</w:t>
      </w:r>
    </w:p>
    <w:p>
      <w:pPr>
        <w:pStyle w:val="Heading1"/>
        <w:spacing w:before="360" w:after="180"/>
        <w:rPr/>
      </w:pPr>
      <w:r>
        <w:rPr>
          <w:rFonts w:eastAsia="Arial" w:cs="Arial" w:ascii="Arial" w:hAnsi="Arial"/>
          <w:b/>
          <w:bCs/>
          <w:color w:val="0000FF"/>
          <w:sz w:val="36"/>
          <w:szCs w:val="36"/>
        </w:rPr>
        <w:t>3. Roles and Responsibilities</w:t>
      </w:r>
    </w:p>
    <w:p>
      <w:pPr>
        <w:pStyle w:val="Normal"/>
        <w:pBdr>
          <w:bottom w:val="single" w:sz="12" w:space="1" w:color="0000FF"/>
        </w:pBdr>
        <w:spacing w:before="0" w:after="200"/>
        <w:rPr/>
      </w:pPr>
      <w:r>
        <w:rPr/>
      </w:r>
    </w:p>
    <w:p>
      <w:pPr>
        <w:pStyle w:val="ListParagraph"/>
        <w:numPr>
          <w:ilvl w:val="0"/>
          <w:numId w:val="3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AI Governance Lead: owns this document; tracks objective achievement; reports to management review.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Chief Technology Officer: contributes to setting and achieving technical objectives.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Privacy Lead: contributes to privacy-related objectives.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Chief Executive Officer: approves objectives at issue and review.</w:t>
      </w:r>
    </w:p>
    <w:p>
      <w:pPr>
        <w:pStyle w:val="Heading1"/>
        <w:spacing w:before="360" w:after="180"/>
        <w:rPr/>
      </w:pPr>
      <w:r>
        <w:rPr>
          <w:rFonts w:eastAsia="Arial" w:cs="Arial" w:ascii="Arial" w:hAnsi="Arial"/>
          <w:b/>
          <w:bCs/>
          <w:color w:val="0000FF"/>
          <w:sz w:val="36"/>
          <w:szCs w:val="36"/>
        </w:rPr>
        <w:t>4. Standing AI Objectives</w:t>
      </w:r>
    </w:p>
    <w:p>
      <w:pPr>
        <w:pStyle w:val="Normal"/>
        <w:pBdr>
          <w:bottom w:val="single" w:sz="12" w:space="1" w:color="0000FF"/>
        </w:pBdr>
        <w:spacing w:before="0" w:after="200"/>
        <w:rPr/>
      </w:pPr>
      <w:r>
        <w:rPr/>
      </w:r>
    </w:p>
    <w:p>
      <w:pPr>
        <w:pStyle w:val="Normal"/>
        <w:spacing w:lineRule="exact" w:line="300" w:before="80" w:after="120"/>
        <w:rPr/>
      </w:pPr>
      <w:r>
        <w:rPr>
          <w:rFonts w:eastAsia="Arial" w:cs="Arial"/>
          <w:color w:val="1A1A1A"/>
          <w:sz w:val="22"/>
          <w:szCs w:val="22"/>
        </w:rPr>
        <w:t>The following objectives apply continuously and are not refreshed annually:</w:t>
      </w:r>
    </w:p>
    <w:p>
      <w:pPr>
        <w:pStyle w:val="Normal"/>
        <w:spacing w:before="60" w:after="60"/>
        <w:rPr/>
      </w:pPr>
      <w:r>
        <w:rPr/>
      </w:r>
    </w:p>
    <w:tbl>
      <w:tblPr>
        <w:tblW w:w="9026" w:type="dxa"/>
        <w:jc w:val="start"/>
        <w:tblInd w:w="0" w:type="dxa"/>
        <w:tblLayout w:type="fixed"/>
        <w:tblCellMar>
          <w:top w:w="100" w:type="dxa"/>
          <w:start w:w="140" w:type="dxa"/>
          <w:bottom w:w="100" w:type="dxa"/>
          <w:end w:w="140" w:type="dxa"/>
        </w:tblCellMar>
      </w:tblPr>
      <w:tblGrid>
        <w:gridCol w:w="799"/>
        <w:gridCol w:w="5501"/>
        <w:gridCol w:w="2726"/>
      </w:tblGrid>
      <w:tr>
        <w:trPr>
          <w:tblHeader w:val="true"/>
        </w:trPr>
        <w:tc>
          <w:tcPr>
            <w:tcW w:w="799" w:type="dxa"/>
            <w:tcBorders>
              <w:top w:val="single" w:sz="4" w:space="0" w:color="0000FF"/>
              <w:start w:val="single" w:sz="4" w:space="0" w:color="0000FF"/>
              <w:bottom w:val="single" w:sz="4" w:space="0" w:color="0000FF"/>
              <w:end w:val="single" w:sz="4" w:space="0" w:color="0000FF"/>
            </w:tcBorders>
            <w:shd w:fill="0000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16"/>
                <w:szCs w:val="16"/>
              </w:rPr>
              <w:t>OBJ</w:t>
            </w:r>
          </w:p>
        </w:tc>
        <w:tc>
          <w:tcPr>
            <w:tcW w:w="5501" w:type="dxa"/>
            <w:tcBorders>
              <w:top w:val="single" w:sz="4" w:space="0" w:color="0000FF"/>
              <w:start w:val="single" w:sz="4" w:space="0" w:color="0000FF"/>
              <w:bottom w:val="single" w:sz="4" w:space="0" w:color="0000FF"/>
              <w:end w:val="single" w:sz="4" w:space="0" w:color="0000FF"/>
            </w:tcBorders>
            <w:shd w:fill="0000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16"/>
                <w:szCs w:val="16"/>
              </w:rPr>
              <w:t>OBJECTIVE</w:t>
            </w:r>
          </w:p>
        </w:tc>
        <w:tc>
          <w:tcPr>
            <w:tcW w:w="2726" w:type="dxa"/>
            <w:tcBorders>
              <w:top w:val="single" w:sz="4" w:space="0" w:color="0000FF"/>
              <w:start w:val="single" w:sz="4" w:space="0" w:color="0000FF"/>
              <w:bottom w:val="single" w:sz="4" w:space="0" w:color="0000FF"/>
              <w:end w:val="single" w:sz="4" w:space="0" w:color="0000FF"/>
            </w:tcBorders>
            <w:shd w:fill="0000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16"/>
                <w:szCs w:val="16"/>
              </w:rPr>
              <w:t>MEASURE</w:t>
            </w:r>
          </w:p>
        </w:tc>
      </w:tr>
      <w:tr>
        <w:trPr/>
        <w:tc>
          <w:tcPr>
            <w:tcW w:w="799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0F2E5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1A1A1A"/>
                <w:sz w:val="18"/>
                <w:szCs w:val="18"/>
              </w:rPr>
              <w:t>O-1</w:t>
            </w:r>
          </w:p>
        </w:tc>
        <w:tc>
          <w:tcPr>
            <w:tcW w:w="5501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0F2E5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18"/>
                <w:szCs w:val="18"/>
              </w:rPr>
              <w:t>Every Cloudax AI system has a documented AISIA before deployment.</w:t>
            </w:r>
          </w:p>
        </w:tc>
        <w:tc>
          <w:tcPr>
            <w:tcW w:w="2726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0F2E5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18"/>
                <w:szCs w:val="18"/>
              </w:rPr>
              <w:t>100% of in-scope systems with AISIA on AI-REG-AISIA-001.</w:t>
            </w:r>
          </w:p>
        </w:tc>
      </w:tr>
      <w:tr>
        <w:trPr/>
        <w:tc>
          <w:tcPr>
            <w:tcW w:w="799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1A1A1A"/>
                <w:sz w:val="18"/>
                <w:szCs w:val="18"/>
              </w:rPr>
              <w:t>O-2</w:t>
            </w:r>
          </w:p>
        </w:tc>
        <w:tc>
          <w:tcPr>
            <w:tcW w:w="5501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18"/>
                <w:szCs w:val="18"/>
              </w:rPr>
              <w:t>Every AI system in production is monitored for accuracy, drift, bias indicators, and incident signals.</w:t>
            </w:r>
          </w:p>
        </w:tc>
        <w:tc>
          <w:tcPr>
            <w:tcW w:w="2726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18"/>
                <w:szCs w:val="18"/>
              </w:rPr>
              <w:t>100% of in-scope systems with active monitoring.</w:t>
            </w:r>
          </w:p>
        </w:tc>
      </w:tr>
      <w:tr>
        <w:trPr/>
        <w:tc>
          <w:tcPr>
            <w:tcW w:w="799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0F2E5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1A1A1A"/>
                <w:sz w:val="18"/>
                <w:szCs w:val="18"/>
              </w:rPr>
              <w:t>O-3</w:t>
            </w:r>
          </w:p>
        </w:tc>
        <w:tc>
          <w:tcPr>
            <w:tcW w:w="5501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0F2E5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18"/>
                <w:szCs w:val="18"/>
              </w:rPr>
              <w:t>Every third-party AI provider is recorded, assessed, and monitored.</w:t>
            </w:r>
          </w:p>
        </w:tc>
        <w:tc>
          <w:tcPr>
            <w:tcW w:w="2726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0F2E5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18"/>
                <w:szCs w:val="18"/>
              </w:rPr>
              <w:t>100% of in-scope providers on AI-REG-3P-001 with current assessment.</w:t>
            </w:r>
          </w:p>
        </w:tc>
      </w:tr>
      <w:tr>
        <w:trPr/>
        <w:tc>
          <w:tcPr>
            <w:tcW w:w="799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1A1A1A"/>
                <w:sz w:val="18"/>
                <w:szCs w:val="18"/>
              </w:rPr>
              <w:t>O-4</w:t>
            </w:r>
          </w:p>
        </w:tc>
        <w:tc>
          <w:tcPr>
            <w:tcW w:w="5501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18"/>
                <w:szCs w:val="18"/>
              </w:rPr>
              <w:t>Every Cloudax personnel completes AI awareness training within 30 days of induction and annually thereafter.</w:t>
            </w:r>
          </w:p>
        </w:tc>
        <w:tc>
          <w:tcPr>
            <w:tcW w:w="2726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18"/>
                <w:szCs w:val="18"/>
              </w:rPr>
              <w:t>100% completion within deadline.</w:t>
            </w:r>
          </w:p>
        </w:tc>
      </w:tr>
      <w:tr>
        <w:trPr/>
        <w:tc>
          <w:tcPr>
            <w:tcW w:w="799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0F2E5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1A1A1A"/>
                <w:sz w:val="18"/>
                <w:szCs w:val="18"/>
              </w:rPr>
              <w:t>O-5</w:t>
            </w:r>
          </w:p>
        </w:tc>
        <w:tc>
          <w:tcPr>
            <w:tcW w:w="5501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0F2E5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18"/>
                <w:szCs w:val="18"/>
              </w:rPr>
              <w:t>Every customer voice/transcript dataset used in development is documented for source, quality, and provenance.</w:t>
            </w:r>
          </w:p>
        </w:tc>
        <w:tc>
          <w:tcPr>
            <w:tcW w:w="2726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0F2E5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18"/>
                <w:szCs w:val="18"/>
              </w:rPr>
              <w:t>100% of datasets recorded in AI-REG-DATA-001.</w:t>
            </w:r>
          </w:p>
        </w:tc>
      </w:tr>
      <w:tr>
        <w:trPr/>
        <w:tc>
          <w:tcPr>
            <w:tcW w:w="799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1A1A1A"/>
                <w:sz w:val="18"/>
                <w:szCs w:val="18"/>
              </w:rPr>
              <w:t>O-6</w:t>
            </w:r>
          </w:p>
        </w:tc>
        <w:tc>
          <w:tcPr>
            <w:tcW w:w="5501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18"/>
                <w:szCs w:val="18"/>
              </w:rPr>
              <w:t>Every AI incident is recorded, triaged, and lessons-learned outputs feed continual improvement.</w:t>
            </w:r>
          </w:p>
        </w:tc>
        <w:tc>
          <w:tcPr>
            <w:tcW w:w="2726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18"/>
                <w:szCs w:val="18"/>
              </w:rPr>
              <w:t>100% of AI incidents in AI-REG-INC-001 with closed-loop lessons.</w:t>
            </w:r>
          </w:p>
        </w:tc>
      </w:tr>
    </w:tbl>
    <w:p>
      <w:pPr>
        <w:pStyle w:val="Heading1"/>
        <w:spacing w:before="360" w:after="180"/>
        <w:rPr/>
      </w:pPr>
      <w:r>
        <w:rPr>
          <w:rFonts w:eastAsia="Arial" w:cs="Arial" w:ascii="Arial" w:hAnsi="Arial"/>
          <w:b/>
          <w:bCs/>
          <w:color w:val="0000FF"/>
          <w:sz w:val="36"/>
          <w:szCs w:val="36"/>
        </w:rPr>
        <w:t>5. Annual KPIs</w:t>
      </w:r>
    </w:p>
    <w:p>
      <w:pPr>
        <w:pStyle w:val="Normal"/>
        <w:pBdr>
          <w:bottom w:val="single" w:sz="12" w:space="1" w:color="0000FF"/>
        </w:pBdr>
        <w:spacing w:before="0" w:after="200"/>
        <w:rPr/>
      </w:pPr>
      <w:r>
        <w:rPr/>
      </w:r>
    </w:p>
    <w:p>
      <w:pPr>
        <w:pStyle w:val="Normal"/>
        <w:spacing w:lineRule="exact" w:line="300" w:before="80" w:after="120"/>
        <w:rPr/>
      </w:pPr>
      <w:r>
        <w:rPr>
          <w:rFonts w:eastAsia="Arial" w:cs="Arial"/>
          <w:color w:val="1A1A1A"/>
          <w:sz w:val="22"/>
          <w:szCs w:val="22"/>
        </w:rPr>
        <w:t>The following KPIs are set for the current cycle (April 2026 – April 2027). They are reviewed and refreshed annually:</w:t>
      </w:r>
    </w:p>
    <w:p>
      <w:pPr>
        <w:pStyle w:val="Normal"/>
        <w:spacing w:before="60" w:after="60"/>
        <w:rPr/>
      </w:pPr>
      <w:r>
        <w:rPr/>
      </w:r>
    </w:p>
    <w:tbl>
      <w:tblPr>
        <w:tblW w:w="9026" w:type="dxa"/>
        <w:jc w:val="start"/>
        <w:tblInd w:w="0" w:type="dxa"/>
        <w:tblLayout w:type="fixed"/>
        <w:tblCellMar>
          <w:top w:w="100" w:type="dxa"/>
          <w:start w:w="140" w:type="dxa"/>
          <w:bottom w:w="100" w:type="dxa"/>
          <w:end w:w="140" w:type="dxa"/>
        </w:tblCellMar>
      </w:tblPr>
      <w:tblGrid>
        <w:gridCol w:w="1799"/>
        <w:gridCol w:w="4501"/>
        <w:gridCol w:w="2726"/>
      </w:tblGrid>
      <w:tr>
        <w:trPr>
          <w:tblHeader w:val="true"/>
        </w:trPr>
        <w:tc>
          <w:tcPr>
            <w:tcW w:w="1799" w:type="dxa"/>
            <w:tcBorders>
              <w:top w:val="single" w:sz="4" w:space="0" w:color="0000FF"/>
              <w:start w:val="single" w:sz="4" w:space="0" w:color="0000FF"/>
              <w:bottom w:val="single" w:sz="4" w:space="0" w:color="0000FF"/>
              <w:end w:val="single" w:sz="4" w:space="0" w:color="0000FF"/>
            </w:tcBorders>
            <w:shd w:fill="0000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16"/>
                <w:szCs w:val="16"/>
              </w:rPr>
              <w:t>KPI</w:t>
            </w:r>
          </w:p>
        </w:tc>
        <w:tc>
          <w:tcPr>
            <w:tcW w:w="4501" w:type="dxa"/>
            <w:tcBorders>
              <w:top w:val="single" w:sz="4" w:space="0" w:color="0000FF"/>
              <w:start w:val="single" w:sz="4" w:space="0" w:color="0000FF"/>
              <w:bottom w:val="single" w:sz="4" w:space="0" w:color="0000FF"/>
              <w:end w:val="single" w:sz="4" w:space="0" w:color="0000FF"/>
            </w:tcBorders>
            <w:shd w:fill="0000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16"/>
                <w:szCs w:val="16"/>
              </w:rPr>
              <w:t>TARGET</w:t>
            </w:r>
          </w:p>
        </w:tc>
        <w:tc>
          <w:tcPr>
            <w:tcW w:w="2726" w:type="dxa"/>
            <w:tcBorders>
              <w:top w:val="single" w:sz="4" w:space="0" w:color="0000FF"/>
              <w:start w:val="single" w:sz="4" w:space="0" w:color="0000FF"/>
              <w:bottom w:val="single" w:sz="4" w:space="0" w:color="0000FF"/>
              <w:end w:val="single" w:sz="4" w:space="0" w:color="0000FF"/>
            </w:tcBorders>
            <w:shd w:fill="0000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16"/>
                <w:szCs w:val="16"/>
              </w:rPr>
              <w:t>MEASURE</w:t>
            </w:r>
          </w:p>
        </w:tc>
      </w:tr>
      <w:tr>
        <w:trPr/>
        <w:tc>
          <w:tcPr>
            <w:tcW w:w="1799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0F2E5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1A1A1A"/>
                <w:sz w:val="18"/>
                <w:szCs w:val="18"/>
              </w:rPr>
              <w:t>K-1: AISIA cycle time</w:t>
            </w:r>
          </w:p>
        </w:tc>
        <w:tc>
          <w:tcPr>
            <w:tcW w:w="4501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0F2E5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18"/>
                <w:szCs w:val="18"/>
              </w:rPr>
              <w:t>AISIA completed within 10 business days of trigger</w:t>
            </w:r>
          </w:p>
        </w:tc>
        <w:tc>
          <w:tcPr>
            <w:tcW w:w="2726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0F2E5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18"/>
                <w:szCs w:val="18"/>
              </w:rPr>
              <w:t>Median cycle time across the year</w:t>
            </w:r>
          </w:p>
        </w:tc>
      </w:tr>
      <w:tr>
        <w:trPr/>
        <w:tc>
          <w:tcPr>
            <w:tcW w:w="1799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1A1A1A"/>
                <w:sz w:val="18"/>
                <w:szCs w:val="18"/>
              </w:rPr>
              <w:t>K-2: Production model bias indicator review</w:t>
            </w:r>
          </w:p>
        </w:tc>
        <w:tc>
          <w:tcPr>
            <w:tcW w:w="4501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18"/>
                <w:szCs w:val="18"/>
              </w:rPr>
              <w:t>Quarterly review for each production AI system</w:t>
            </w:r>
          </w:p>
        </w:tc>
        <w:tc>
          <w:tcPr>
            <w:tcW w:w="2726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18"/>
                <w:szCs w:val="18"/>
              </w:rPr>
              <w:t>% of production systems with quarterly review on time</w:t>
            </w:r>
          </w:p>
        </w:tc>
      </w:tr>
      <w:tr>
        <w:trPr/>
        <w:tc>
          <w:tcPr>
            <w:tcW w:w="1799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0F2E5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1A1A1A"/>
                <w:sz w:val="18"/>
                <w:szCs w:val="18"/>
              </w:rPr>
              <w:t>K-3: AI training completion</w:t>
            </w:r>
          </w:p>
        </w:tc>
        <w:tc>
          <w:tcPr>
            <w:tcW w:w="4501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0F2E5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18"/>
                <w:szCs w:val="18"/>
              </w:rPr>
              <w:t>100% within 30 days of due date</w:t>
            </w:r>
          </w:p>
        </w:tc>
        <w:tc>
          <w:tcPr>
            <w:tcW w:w="2726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0F2E5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18"/>
                <w:szCs w:val="18"/>
              </w:rPr>
              <w:t>Completion rate at year end</w:t>
            </w:r>
          </w:p>
        </w:tc>
      </w:tr>
      <w:tr>
        <w:trPr/>
        <w:tc>
          <w:tcPr>
            <w:tcW w:w="1799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1A1A1A"/>
                <w:sz w:val="18"/>
                <w:szCs w:val="18"/>
              </w:rPr>
              <w:t>K-4: AI incidents closed within target</w:t>
            </w:r>
          </w:p>
        </w:tc>
        <w:tc>
          <w:tcPr>
            <w:tcW w:w="4501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18"/>
                <w:szCs w:val="18"/>
              </w:rPr>
              <w:t>Major within 30 days; Moderate within 60 days</w:t>
            </w:r>
          </w:p>
        </w:tc>
        <w:tc>
          <w:tcPr>
            <w:tcW w:w="2726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18"/>
                <w:szCs w:val="18"/>
              </w:rPr>
              <w:t>% closed within target</w:t>
            </w:r>
          </w:p>
        </w:tc>
      </w:tr>
      <w:tr>
        <w:trPr/>
        <w:tc>
          <w:tcPr>
            <w:tcW w:w="1799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0F2E5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1A1A1A"/>
                <w:sz w:val="18"/>
                <w:szCs w:val="18"/>
              </w:rPr>
              <w:t>K-5: Internal audit closure rate</w:t>
            </w:r>
          </w:p>
        </w:tc>
        <w:tc>
          <w:tcPr>
            <w:tcW w:w="4501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0F2E5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18"/>
                <w:szCs w:val="18"/>
              </w:rPr>
              <w:t>100% of AIMS internal audit findings closed within 90 days</w:t>
            </w:r>
          </w:p>
        </w:tc>
        <w:tc>
          <w:tcPr>
            <w:tcW w:w="2726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0F2E5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18"/>
                <w:szCs w:val="18"/>
              </w:rPr>
              <w:t>% closed within target</w:t>
            </w:r>
          </w:p>
        </w:tc>
      </w:tr>
      <w:tr>
        <w:trPr/>
        <w:tc>
          <w:tcPr>
            <w:tcW w:w="1799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1A1A1A"/>
                <w:sz w:val="18"/>
                <w:szCs w:val="18"/>
              </w:rPr>
              <w:t>K-6: Customer-facing AI documentation</w:t>
            </w:r>
          </w:p>
        </w:tc>
        <w:tc>
          <w:tcPr>
            <w:tcW w:w="4501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18"/>
                <w:szCs w:val="18"/>
              </w:rPr>
              <w:t>100% of new AI features documented for customers before release</w:t>
            </w:r>
          </w:p>
        </w:tc>
        <w:tc>
          <w:tcPr>
            <w:tcW w:w="2726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18"/>
                <w:szCs w:val="18"/>
              </w:rPr>
              <w:t>% of releases with on-time documentation</w:t>
            </w:r>
          </w:p>
        </w:tc>
      </w:tr>
      <w:tr>
        <w:trPr/>
        <w:tc>
          <w:tcPr>
            <w:tcW w:w="1799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0F2E5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1A1A1A"/>
                <w:sz w:val="18"/>
                <w:szCs w:val="18"/>
              </w:rPr>
              <w:t>K-7: Third-party AI provider review currency</w:t>
            </w:r>
          </w:p>
        </w:tc>
        <w:tc>
          <w:tcPr>
            <w:tcW w:w="4501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0F2E5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18"/>
                <w:szCs w:val="18"/>
              </w:rPr>
              <w:t>100% of Tier 1 providers reviewed annually</w:t>
            </w:r>
          </w:p>
        </w:tc>
        <w:tc>
          <w:tcPr>
            <w:tcW w:w="2726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0F2E5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18"/>
                <w:szCs w:val="18"/>
              </w:rPr>
              <w:t>% with current review</w:t>
            </w:r>
          </w:p>
        </w:tc>
      </w:tr>
      <w:tr>
        <w:trPr/>
        <w:tc>
          <w:tcPr>
            <w:tcW w:w="1799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1A1A1A"/>
                <w:sz w:val="18"/>
                <w:szCs w:val="18"/>
              </w:rPr>
              <w:t>K-8: Risk register currency</w:t>
            </w:r>
          </w:p>
        </w:tc>
        <w:tc>
          <w:tcPr>
            <w:tcW w:w="4501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18"/>
                <w:szCs w:val="18"/>
              </w:rPr>
              <w:t>100% of risks reviewed within their cadence (Critical quarterly, others annually)</w:t>
            </w:r>
          </w:p>
        </w:tc>
        <w:tc>
          <w:tcPr>
            <w:tcW w:w="2726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18"/>
                <w:szCs w:val="18"/>
              </w:rPr>
              <w:t>% reviewed on time</w:t>
            </w:r>
          </w:p>
        </w:tc>
      </w:tr>
    </w:tbl>
    <w:p>
      <w:pPr>
        <w:pStyle w:val="Heading1"/>
        <w:spacing w:before="360" w:after="180"/>
        <w:rPr/>
      </w:pPr>
      <w:r>
        <w:rPr>
          <w:rFonts w:eastAsia="Arial" w:cs="Arial" w:ascii="Arial" w:hAnsi="Arial"/>
          <w:b/>
          <w:bCs/>
          <w:color w:val="0000FF"/>
          <w:sz w:val="36"/>
          <w:szCs w:val="36"/>
        </w:rPr>
        <w:t>6. Methodology</w:t>
      </w:r>
    </w:p>
    <w:p>
      <w:pPr>
        <w:pStyle w:val="Normal"/>
        <w:pBdr>
          <w:bottom w:val="single" w:sz="12" w:space="1" w:color="0000FF"/>
        </w:pBdr>
        <w:spacing w:before="0" w:after="200"/>
        <w:rPr/>
      </w:pPr>
      <w:r>
        <w:rPr/>
      </w:r>
    </w:p>
    <w:p>
      <w:pPr>
        <w:pStyle w:val="Normal"/>
        <w:spacing w:lineRule="exact" w:line="300" w:before="80" w:after="120"/>
        <w:rPr/>
      </w:pPr>
      <w:r>
        <w:rPr>
          <w:rFonts w:eastAsia="Arial" w:cs="Arial"/>
          <w:color w:val="1A1A1A"/>
          <w:sz w:val="22"/>
          <w:szCs w:val="22"/>
        </w:rPr>
        <w:t>Objectives and KPIs are SMART (Specific, Measurable, Achievable, Relevant, Time-bound). Each is owned by a named role with a clear measure. Measurement evidence is collected as part of the AIMS Compliance Monitoring Schedule (AI-PROG-COMP-001).</w:t>
      </w:r>
    </w:p>
    <w:p>
      <w:pPr>
        <w:pStyle w:val="Heading1"/>
        <w:spacing w:before="360" w:after="180"/>
        <w:rPr/>
      </w:pPr>
      <w:r>
        <w:rPr>
          <w:rFonts w:eastAsia="Arial" w:cs="Arial" w:ascii="Arial" w:hAnsi="Arial"/>
          <w:b/>
          <w:bCs/>
          <w:color w:val="0000FF"/>
          <w:sz w:val="36"/>
          <w:szCs w:val="36"/>
        </w:rPr>
        <w:t>7. Review and Reporting</w:t>
      </w:r>
    </w:p>
    <w:p>
      <w:pPr>
        <w:pStyle w:val="Normal"/>
        <w:pBdr>
          <w:bottom w:val="single" w:sz="12" w:space="1" w:color="0000FF"/>
        </w:pBdr>
        <w:spacing w:before="0" w:after="200"/>
        <w:rPr/>
      </w:pPr>
      <w:r>
        <w:rPr/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Standing objectives are reviewed at least annually for continued relevance.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Annual KPIs are reviewed at least every six months and refreshed annually.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Objective and KPI status is reported to AIMS management review.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Material under-performance triggers a corrective action under REG-CAR-001.</w:t>
      </w:r>
    </w:p>
    <w:p>
      <w:pPr>
        <w:pStyle w:val="Heading1"/>
        <w:spacing w:before="360" w:after="180"/>
        <w:rPr/>
      </w:pPr>
      <w:r>
        <w:rPr>
          <w:rFonts w:eastAsia="Arial" w:cs="Arial" w:ascii="Arial" w:hAnsi="Arial"/>
          <w:b/>
          <w:bCs/>
          <w:color w:val="0000FF"/>
          <w:sz w:val="36"/>
          <w:szCs w:val="36"/>
        </w:rPr>
        <w:t>8. Resource Allocation</w:t>
      </w:r>
    </w:p>
    <w:p>
      <w:pPr>
        <w:pStyle w:val="Normal"/>
        <w:pBdr>
          <w:bottom w:val="single" w:sz="12" w:space="1" w:color="0000FF"/>
        </w:pBdr>
        <w:spacing w:before="0" w:after="200"/>
        <w:rPr/>
      </w:pPr>
      <w:r>
        <w:rPr/>
      </w:r>
    </w:p>
    <w:p>
      <w:pPr>
        <w:pStyle w:val="Normal"/>
        <w:spacing w:lineRule="exact" w:line="300" w:before="80" w:after="120"/>
        <w:rPr/>
      </w:pPr>
      <w:r>
        <w:rPr>
          <w:rFonts w:eastAsia="Arial" w:cs="Arial"/>
          <w:color w:val="1A1A1A"/>
          <w:sz w:val="22"/>
          <w:szCs w:val="22"/>
        </w:rPr>
        <w:t>Resources required to achieve these objectives — personnel time, tooling, training budget, third-party assessment costs — are determined annually and approved by the Chief Executive Officer as part of the AIMS budget cycle.</w:t>
      </w:r>
    </w:p>
    <w:p>
      <w:pPr>
        <w:pStyle w:val="Heading1"/>
        <w:spacing w:before="360" w:after="180"/>
        <w:rPr/>
      </w:pPr>
      <w:r>
        <w:rPr>
          <w:rFonts w:eastAsia="Arial" w:cs="Arial" w:ascii="Arial" w:hAnsi="Arial"/>
          <w:b/>
          <w:bCs/>
          <w:color w:val="0000FF"/>
          <w:sz w:val="36"/>
          <w:szCs w:val="36"/>
        </w:rPr>
        <w:t>9. Approval</w:t>
      </w:r>
    </w:p>
    <w:p>
      <w:pPr>
        <w:pStyle w:val="Normal"/>
        <w:pBdr>
          <w:bottom w:val="single" w:sz="12" w:space="1" w:color="0000FF"/>
        </w:pBdr>
        <w:spacing w:before="0" w:after="200"/>
        <w:rPr/>
      </w:pPr>
      <w:r>
        <w:rPr/>
      </w:r>
    </w:p>
    <w:p>
      <w:pPr>
        <w:pStyle w:val="Normal"/>
        <w:spacing w:lineRule="exact" w:line="300" w:before="80" w:after="120"/>
        <w:rPr/>
      </w:pPr>
      <w:r>
        <w:rPr>
          <w:rFonts w:eastAsia="Arial" w:cs="Arial"/>
          <w:color w:val="1A1A1A"/>
          <w:sz w:val="22"/>
          <w:szCs w:val="22"/>
        </w:rPr>
        <w:t>These objectives are approved by the Chief Executive Officer at issue and at every annual refresh.</w:t>
      </w:r>
    </w:p>
    <w:p>
      <w:pPr>
        <w:pStyle w:val="Heading1"/>
        <w:spacing w:before="360" w:after="180"/>
        <w:rPr/>
      </w:pPr>
      <w:r>
        <w:rPr>
          <w:rFonts w:eastAsia="Arial" w:cs="Arial" w:ascii="Arial" w:hAnsi="Arial"/>
          <w:b/>
          <w:bCs/>
          <w:color w:val="0000FF"/>
          <w:sz w:val="36"/>
          <w:szCs w:val="36"/>
        </w:rPr>
        <w:t>10. Maintenance</w:t>
      </w:r>
    </w:p>
    <w:p>
      <w:pPr>
        <w:pStyle w:val="Normal"/>
        <w:pBdr>
          <w:bottom w:val="single" w:sz="12" w:space="1" w:color="0000FF"/>
        </w:pBdr>
        <w:spacing w:before="0" w:after="200"/>
        <w:rPr/>
      </w:pPr>
      <w:r>
        <w:rPr/>
      </w:r>
    </w:p>
    <w:p>
      <w:pPr>
        <w:pStyle w:val="Normal"/>
        <w:spacing w:lineRule="exact" w:line="300" w:before="80" w:after="120"/>
        <w:rPr/>
      </w:pPr>
      <w:r>
        <w:rPr>
          <w:rFonts w:eastAsia="Arial" w:cs="Arial"/>
          <w:color w:val="1A1A1A"/>
          <w:sz w:val="22"/>
          <w:szCs w:val="22"/>
        </w:rPr>
        <w:t>This document is reviewed at least annually. Standing objectives change rarely; annual KPIs are refreshed each year.</w:t>
      </w:r>
    </w:p>
    <w:p>
      <w:pPr>
        <w:pStyle w:val="Normal"/>
        <w:spacing w:before="60" w:after="60"/>
        <w:rPr/>
      </w:pPr>
      <w:r>
        <w:rPr/>
      </w:r>
    </w:p>
    <w:tbl>
      <w:tblPr>
        <w:tblW w:w="9026" w:type="dxa"/>
        <w:jc w:val="start"/>
        <w:tblInd w:w="0" w:type="dxa"/>
        <w:tblLayout w:type="fixed"/>
        <w:tblCellMar>
          <w:top w:w="600" w:type="dxa"/>
          <w:start w:w="0" w:type="dxa"/>
          <w:bottom w:w="40" w:type="dxa"/>
          <w:end w:w="0" w:type="dxa"/>
        </w:tblCellMar>
      </w:tblPr>
      <w:tblGrid>
        <w:gridCol w:w="4513"/>
        <w:gridCol w:w="4512"/>
      </w:tblGrid>
      <w:tr>
        <w:trPr/>
        <w:tc>
          <w:tcPr>
            <w:tcW w:w="4513" w:type="dxa"/>
            <w:tcBorders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4512" w:type="dxa"/>
            <w:tcBorders/>
          </w:tcPr>
          <w:p>
            <w:pPr>
              <w:pStyle w:val="Normal"/>
              <w:rPr/>
            </w:pPr>
            <w:r>
              <w:rPr/>
            </w:r>
          </w:p>
        </w:tc>
      </w:tr>
      <w:tr>
        <w:trPr/>
        <w:tc>
          <w:tcPr>
            <w:tcW w:w="4513" w:type="dxa"/>
            <w:tcBorders>
              <w:top w:val="single" w:sz="4" w:space="0" w:color="1A1A1A"/>
            </w:tcBorders>
            <w:tcMar>
              <w:top w:w="300" w:type="dxa"/>
              <w:start w:w="200" w:type="dxa"/>
              <w:bottom w:w="300" w:type="dxa"/>
              <w:end w:w="20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pacing w:val="40"/>
                <w:sz w:val="20"/>
                <w:szCs w:val="20"/>
              </w:rPr>
              <w:t>NAME</w:t>
            </w:r>
          </w:p>
        </w:tc>
        <w:tc>
          <w:tcPr>
            <w:tcW w:w="4512" w:type="dxa"/>
            <w:tcBorders>
              <w:top w:val="single" w:sz="4" w:space="0" w:color="1A1A1A"/>
            </w:tcBorders>
            <w:tcMar>
              <w:top w:w="300" w:type="dxa"/>
              <w:start w:w="200" w:type="dxa"/>
              <w:bottom w:w="300" w:type="dxa"/>
              <w:end w:w="20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pacing w:val="40"/>
                <w:sz w:val="20"/>
                <w:szCs w:val="20"/>
              </w:rPr>
              <w:t>SIGNATURE</w:t>
            </w:r>
          </w:p>
        </w:tc>
      </w:tr>
      <w:tr>
        <w:trPr/>
        <w:tc>
          <w:tcPr>
            <w:tcW w:w="4513" w:type="dxa"/>
            <w:tcBorders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4512" w:type="dxa"/>
            <w:tcBorders/>
          </w:tcPr>
          <w:p>
            <w:pPr>
              <w:pStyle w:val="Normal"/>
              <w:rPr/>
            </w:pPr>
            <w:r>
              <w:rPr/>
            </w:r>
          </w:p>
        </w:tc>
      </w:tr>
      <w:tr>
        <w:trPr/>
        <w:tc>
          <w:tcPr>
            <w:tcW w:w="4513" w:type="dxa"/>
            <w:tcBorders>
              <w:top w:val="single" w:sz="4" w:space="0" w:color="1A1A1A"/>
            </w:tcBorders>
            <w:tcMar>
              <w:top w:w="300" w:type="dxa"/>
              <w:start w:w="200" w:type="dxa"/>
              <w:bottom w:w="300" w:type="dxa"/>
              <w:end w:w="20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pacing w:val="40"/>
                <w:sz w:val="20"/>
                <w:szCs w:val="20"/>
              </w:rPr>
              <w:t>ROLE</w:t>
            </w:r>
          </w:p>
        </w:tc>
        <w:tc>
          <w:tcPr>
            <w:tcW w:w="4512" w:type="dxa"/>
            <w:tcBorders>
              <w:top w:val="single" w:sz="4" w:space="0" w:color="1A1A1A"/>
            </w:tcBorders>
            <w:tcMar>
              <w:top w:w="300" w:type="dxa"/>
              <w:start w:w="200" w:type="dxa"/>
              <w:bottom w:w="300" w:type="dxa"/>
              <w:end w:w="20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pacing w:val="40"/>
                <w:sz w:val="20"/>
                <w:szCs w:val="20"/>
              </w:rPr>
              <w:t>DATE</w:t>
            </w:r>
          </w:p>
        </w:tc>
      </w:tr>
    </w:tbl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180"/>
        <w:rPr/>
      </w:pPr>
      <w:r>
        <w:rPr>
          <w:rFonts w:eastAsia="Arial" w:cs="Arial" w:ascii="Arial" w:hAnsi="Arial"/>
          <w:b/>
          <w:bCs/>
          <w:color w:val="0000FF"/>
          <w:sz w:val="36"/>
          <w:szCs w:val="36"/>
        </w:rPr>
        <w:t>Annex A — ISO/IEC 42001:2023 Clause Mapping</w:t>
      </w:r>
    </w:p>
    <w:p>
      <w:pPr>
        <w:pStyle w:val="Normal"/>
        <w:pBdr>
          <w:bottom w:val="single" w:sz="12" w:space="1" w:color="0000FF"/>
        </w:pBdr>
        <w:spacing w:before="0" w:after="200"/>
        <w:rPr/>
      </w:pPr>
      <w:r>
        <w:rPr/>
      </w:r>
    </w:p>
    <w:p>
      <w:pPr>
        <w:pStyle w:val="Normal"/>
        <w:spacing w:lineRule="exact" w:line="300" w:before="80" w:after="120"/>
        <w:rPr/>
      </w:pPr>
      <w:r>
        <w:rPr>
          <w:rFonts w:eastAsia="Arial" w:cs="Arial"/>
          <w:color w:val="1A1A1A"/>
          <w:sz w:val="22"/>
          <w:szCs w:val="22"/>
        </w:rPr>
        <w:t>This document gives effect to the following clauses of ISO/IEC 42001:2023. The authoritative AIMS scope and Annex A control selection are recorded in the AIMS Statement of Applicability (AIMS-SOA-001 v1.0).</w:t>
      </w:r>
    </w:p>
    <w:tbl>
      <w:tblPr>
        <w:tblW w:w="9026" w:type="dxa"/>
        <w:jc w:val="start"/>
        <w:tblInd w:w="0" w:type="dxa"/>
        <w:tblLayout w:type="fixed"/>
        <w:tblCellMar>
          <w:top w:w="100" w:type="dxa"/>
          <w:start w:w="140" w:type="dxa"/>
          <w:bottom w:w="100" w:type="dxa"/>
          <w:end w:w="140" w:type="dxa"/>
        </w:tblCellMar>
      </w:tblPr>
      <w:tblGrid>
        <w:gridCol w:w="1299"/>
        <w:gridCol w:w="2400"/>
        <w:gridCol w:w="5327"/>
      </w:tblGrid>
      <w:tr>
        <w:trPr>
          <w:tblHeader w:val="true"/>
        </w:trPr>
        <w:tc>
          <w:tcPr>
            <w:tcW w:w="1299" w:type="dxa"/>
            <w:tcBorders>
              <w:top w:val="single" w:sz="4" w:space="0" w:color="0000FF"/>
              <w:start w:val="single" w:sz="4" w:space="0" w:color="0000FF"/>
              <w:bottom w:val="single" w:sz="4" w:space="0" w:color="0000FF"/>
              <w:end w:val="single" w:sz="4" w:space="0" w:color="0000FF"/>
            </w:tcBorders>
            <w:shd w:fill="0000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16"/>
                <w:szCs w:val="16"/>
              </w:rPr>
              <w:t>CLAUSE</w:t>
            </w:r>
          </w:p>
        </w:tc>
        <w:tc>
          <w:tcPr>
            <w:tcW w:w="2400" w:type="dxa"/>
            <w:tcBorders>
              <w:top w:val="single" w:sz="4" w:space="0" w:color="0000FF"/>
              <w:start w:val="single" w:sz="4" w:space="0" w:color="0000FF"/>
              <w:bottom w:val="single" w:sz="4" w:space="0" w:color="0000FF"/>
              <w:end w:val="single" w:sz="4" w:space="0" w:color="0000FF"/>
            </w:tcBorders>
            <w:shd w:fill="0000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16"/>
                <w:szCs w:val="16"/>
              </w:rPr>
              <w:t>TITLE</w:t>
            </w:r>
          </w:p>
        </w:tc>
        <w:tc>
          <w:tcPr>
            <w:tcW w:w="5327" w:type="dxa"/>
            <w:tcBorders>
              <w:top w:val="single" w:sz="4" w:space="0" w:color="0000FF"/>
              <w:start w:val="single" w:sz="4" w:space="0" w:color="0000FF"/>
              <w:bottom w:val="single" w:sz="4" w:space="0" w:color="0000FF"/>
              <w:end w:val="single" w:sz="4" w:space="0" w:color="0000FF"/>
            </w:tcBorders>
            <w:shd w:fill="0000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16"/>
                <w:szCs w:val="16"/>
              </w:rPr>
              <w:t>HOW THIS DOCUMENT GIVES EFFECT</w:t>
            </w:r>
          </w:p>
        </w:tc>
      </w:tr>
      <w:tr>
        <w:trPr/>
        <w:tc>
          <w:tcPr>
            <w:tcW w:w="1299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0F2E5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1A1A1A"/>
                <w:sz w:val="18"/>
                <w:szCs w:val="18"/>
              </w:rPr>
              <w:t>6.2</w:t>
            </w:r>
          </w:p>
        </w:tc>
        <w:tc>
          <w:tcPr>
            <w:tcW w:w="2400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0F2E5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18"/>
                <w:szCs w:val="18"/>
              </w:rPr>
              <w:t>AI objectives and planning to achieve them</w:t>
            </w:r>
          </w:p>
        </w:tc>
        <w:tc>
          <w:tcPr>
            <w:tcW w:w="5327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0F2E5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18"/>
                <w:szCs w:val="18"/>
              </w:rPr>
              <w:t>Sections 4–6 establish AI objectives and KPIs.</w:t>
            </w:r>
          </w:p>
        </w:tc>
      </w:tr>
      <w:tr>
        <w:trPr/>
        <w:tc>
          <w:tcPr>
            <w:tcW w:w="1299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1A1A1A"/>
                <w:sz w:val="18"/>
                <w:szCs w:val="18"/>
              </w:rPr>
              <w:t>9.1</w:t>
            </w:r>
          </w:p>
        </w:tc>
        <w:tc>
          <w:tcPr>
            <w:tcW w:w="2400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18"/>
                <w:szCs w:val="18"/>
              </w:rPr>
              <w:t>Monitoring, measurement, analysis and evaluation</w:t>
            </w:r>
          </w:p>
        </w:tc>
        <w:tc>
          <w:tcPr>
            <w:tcW w:w="5327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18"/>
                <w:szCs w:val="18"/>
              </w:rPr>
              <w:t>Section 7 establishes review and reporting.</w:t>
            </w:r>
          </w:p>
        </w:tc>
      </w:tr>
      <w:tr>
        <w:trPr/>
        <w:tc>
          <w:tcPr>
            <w:tcW w:w="1299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0F2E5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1A1A1A"/>
                <w:sz w:val="18"/>
                <w:szCs w:val="18"/>
              </w:rPr>
              <w:t>9.3</w:t>
            </w:r>
          </w:p>
        </w:tc>
        <w:tc>
          <w:tcPr>
            <w:tcW w:w="2400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0F2E5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18"/>
                <w:szCs w:val="18"/>
              </w:rPr>
              <w:t>Management review</w:t>
            </w:r>
          </w:p>
        </w:tc>
        <w:tc>
          <w:tcPr>
            <w:tcW w:w="5327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0F2E5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18"/>
                <w:szCs w:val="18"/>
              </w:rPr>
              <w:t>Section 7 references reporting to management review.</w:t>
            </w:r>
          </w:p>
        </w:tc>
      </w:tr>
    </w:tbl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180"/>
        <w:rPr/>
      </w:pPr>
      <w:r>
        <w:rPr>
          <w:rFonts w:eastAsia="Arial" w:cs="Arial" w:ascii="Arial" w:hAnsi="Arial"/>
          <w:b/>
          <w:bCs/>
          <w:color w:val="0000FF"/>
          <w:sz w:val="36"/>
          <w:szCs w:val="36"/>
        </w:rPr>
        <w:t>Annex B — Version History</w:t>
      </w:r>
    </w:p>
    <w:p>
      <w:pPr>
        <w:pStyle w:val="Normal"/>
        <w:pBdr>
          <w:bottom w:val="single" w:sz="12" w:space="1" w:color="0000FF"/>
        </w:pBdr>
        <w:spacing w:before="0" w:after="200"/>
        <w:rPr/>
      </w:pPr>
      <w:r>
        <w:rPr/>
      </w:r>
    </w:p>
    <w:tbl>
      <w:tblPr>
        <w:tblW w:w="9026" w:type="dxa"/>
        <w:jc w:val="start"/>
        <w:tblInd w:w="0" w:type="dxa"/>
        <w:tblLayout w:type="fixed"/>
        <w:tblCellMar>
          <w:top w:w="120" w:type="dxa"/>
          <w:start w:w="160" w:type="dxa"/>
          <w:bottom w:w="120" w:type="dxa"/>
          <w:end w:w="160" w:type="dxa"/>
        </w:tblCellMar>
      </w:tblPr>
      <w:tblGrid>
        <w:gridCol w:w="1299"/>
        <w:gridCol w:w="1500"/>
        <w:gridCol w:w="2201"/>
        <w:gridCol w:w="4025"/>
      </w:tblGrid>
      <w:tr>
        <w:trPr>
          <w:tblHeader w:val="true"/>
        </w:trPr>
        <w:tc>
          <w:tcPr>
            <w:tcW w:w="1299" w:type="dxa"/>
            <w:tcBorders>
              <w:top w:val="single" w:sz="4" w:space="0" w:color="0000FF"/>
              <w:start w:val="single" w:sz="4" w:space="0" w:color="0000FF"/>
              <w:bottom w:val="single" w:sz="4" w:space="0" w:color="0000FF"/>
              <w:end w:val="single" w:sz="4" w:space="0" w:color="0000FF"/>
            </w:tcBorders>
            <w:shd w:fill="0000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VERSION</w:t>
            </w:r>
          </w:p>
        </w:tc>
        <w:tc>
          <w:tcPr>
            <w:tcW w:w="1500" w:type="dxa"/>
            <w:tcBorders>
              <w:top w:val="single" w:sz="4" w:space="0" w:color="0000FF"/>
              <w:start w:val="single" w:sz="4" w:space="0" w:color="0000FF"/>
              <w:bottom w:val="single" w:sz="4" w:space="0" w:color="0000FF"/>
              <w:end w:val="single" w:sz="4" w:space="0" w:color="0000FF"/>
            </w:tcBorders>
            <w:shd w:fill="0000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DATE</w:t>
            </w:r>
          </w:p>
        </w:tc>
        <w:tc>
          <w:tcPr>
            <w:tcW w:w="2201" w:type="dxa"/>
            <w:tcBorders>
              <w:top w:val="single" w:sz="4" w:space="0" w:color="0000FF"/>
              <w:start w:val="single" w:sz="4" w:space="0" w:color="0000FF"/>
              <w:bottom w:val="single" w:sz="4" w:space="0" w:color="0000FF"/>
              <w:end w:val="single" w:sz="4" w:space="0" w:color="0000FF"/>
            </w:tcBorders>
            <w:shd w:fill="0000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AUTHOR</w:t>
            </w:r>
          </w:p>
        </w:tc>
        <w:tc>
          <w:tcPr>
            <w:tcW w:w="4025" w:type="dxa"/>
            <w:tcBorders>
              <w:top w:val="single" w:sz="4" w:space="0" w:color="0000FF"/>
              <w:start w:val="single" w:sz="4" w:space="0" w:color="0000FF"/>
              <w:bottom w:val="single" w:sz="4" w:space="0" w:color="0000FF"/>
              <w:end w:val="single" w:sz="4" w:space="0" w:color="0000FF"/>
            </w:tcBorders>
            <w:shd w:fill="0000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SUMMARY OF CHANGES</w:t>
            </w:r>
          </w:p>
        </w:tc>
      </w:tr>
      <w:tr>
        <w:trPr/>
        <w:tc>
          <w:tcPr>
            <w:tcW w:w="1299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0F2E5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z w:val="20"/>
                <w:szCs w:val="20"/>
              </w:rPr>
              <w:t>1.0</w:t>
            </w:r>
          </w:p>
        </w:tc>
        <w:tc>
          <w:tcPr>
            <w:tcW w:w="1500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0F2E5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z w:val="20"/>
                <w:szCs w:val="20"/>
              </w:rPr>
              <w:t>April 2026</w:t>
            </w:r>
          </w:p>
        </w:tc>
        <w:tc>
          <w:tcPr>
            <w:tcW w:w="2201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0F2E5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z w:val="20"/>
                <w:szCs w:val="20"/>
              </w:rPr>
              <w:t>AI Governance Lead</w:t>
            </w:r>
          </w:p>
        </w:tc>
        <w:tc>
          <w:tcPr>
            <w:tcW w:w="4025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0F2E5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z w:val="20"/>
                <w:szCs w:val="20"/>
              </w:rPr>
              <w:t>Initial issue. Aligned to ISO/IEC 42001:2023.</w:t>
            </w:r>
          </w:p>
        </w:tc>
      </w:tr>
    </w:tbl>
    <w:sectPr>
      <w:headerReference w:type="even" r:id="rId3"/>
      <w:headerReference w:type="default" r:id="rId4"/>
      <w:headerReference w:type="first" r:id="rId5"/>
      <w:footerReference w:type="even" r:id="rId6"/>
      <w:footerReference w:type="default" r:id="rId7"/>
      <w:footerReference w:type="first" r:id="rId8"/>
      <w:type w:val="nextPage"/>
      <w:pgSz w:w="11906" w:h="16838"/>
      <w:pgMar w:left="1440" w:right="1440" w:gutter="0" w:header="708" w:top="1440" w:footer="708" w:bottom="144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Arial">
    <w:charset w:val="01" w:characterSet="utf-8"/>
    <w:family w:val="roman"/>
    <w:pitch w:val="variable"/>
  </w:font>
  <w:font w:name="Arial">
    <w:charset w:val="01" w:characterSet="utf-8"/>
    <w:family w:val="swiss"/>
    <w:pitch w:val="variable"/>
  </w:font>
  <w:font w:name="Liberation Sans">
    <w:altName w:val="Arial"/>
    <w:charset w:val="01" w:characterSet="utf-8"/>
    <w:family w:val="swiss"/>
    <w:pitch w:val="variable"/>
  </w:font>
  <w:font w:name="Arial">
    <w:charset w:val="01"/>
    <w:family w:val="swiss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pBdr>
        <w:top w:val="single" w:sz="6" w:space="4" w:color="0000FF"/>
      </w:pBdr>
      <w:tabs>
        <w:tab w:val="clear" w:pos="720"/>
        <w:tab w:val="center" w:pos="4513" w:leader="none"/>
        <w:tab w:val="right" w:pos="9026" w:leader="none"/>
      </w:tabs>
      <w:spacing w:before="0" w:after="0"/>
      <w:rPr/>
    </w:pPr>
    <w:r>
      <w:rPr>
        <w:rFonts w:eastAsia="Arial" w:cs="Arial"/>
        <w:color w:val="1A1A1A"/>
        <w:sz w:val="18"/>
        <w:szCs w:val="18"/>
      </w:rPr>
      <w:t xml:space="preserve">AIMS-OBJ-001 AI Objectives  •  Internal  </w:t>
      <w:tab/>
      <w:t>v1.0  •  April 2026</w:t>
      <w:tab/>
      <w:t xml:space="preserve">Page </w:t>
    </w: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7</w:t>
    </w:r>
    <w:r>
      <w:rPr/>
      <w:fldChar w:fldCharType="end"/>
    </w:r>
    <w:r>
      <w:rPr>
        <w:rFonts w:eastAsia="Arial" w:cs="Arial"/>
        <w:color w:val="1A1A1A"/>
        <w:sz w:val="18"/>
        <w:szCs w:val="18"/>
      </w:rPr>
      <w:t xml:space="preserve"> of </w:t>
    </w:r>
    <w:r>
      <w:rPr/>
      <w:fldChar w:fldCharType="begin"/>
    </w:r>
    <w:r>
      <w:rPr/>
      <w:instrText xml:space="preserve"> NUMPAGES </w:instrText>
    </w:r>
    <w:r>
      <w:rPr/>
      <w:fldChar w:fldCharType="separate"/>
    </w:r>
    <w:r>
      <w:rPr/>
      <w:t>7</w:t>
    </w:r>
    <w:r>
      <w:rPr/>
      <w:fldChar w:fldCharType="end"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pBdr>
        <w:top w:val="single" w:sz="6" w:space="4" w:color="0000FF"/>
      </w:pBdr>
      <w:tabs>
        <w:tab w:val="clear" w:pos="720"/>
        <w:tab w:val="center" w:pos="4513" w:leader="none"/>
        <w:tab w:val="right" w:pos="9026" w:leader="none"/>
      </w:tabs>
      <w:spacing w:before="0" w:after="0"/>
      <w:rPr/>
    </w:pPr>
    <w:r>
      <w:rPr>
        <w:rFonts w:eastAsia="Arial" w:cs="Arial"/>
        <w:color w:val="1A1A1A"/>
        <w:sz w:val="18"/>
        <w:szCs w:val="18"/>
      </w:rPr>
      <w:t xml:space="preserve">AIMS-OBJ-001 AI Objectives  •  Internal  </w:t>
      <w:tab/>
      <w:t>v1.0  •  April 2026</w:t>
      <w:tab/>
      <w:t xml:space="preserve">Page </w:t>
    </w: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7</w:t>
    </w:r>
    <w:r>
      <w:rPr/>
      <w:fldChar w:fldCharType="end"/>
    </w:r>
    <w:r>
      <w:rPr>
        <w:rFonts w:eastAsia="Arial" w:cs="Arial"/>
        <w:color w:val="1A1A1A"/>
        <w:sz w:val="18"/>
        <w:szCs w:val="18"/>
      </w:rPr>
      <w:t xml:space="preserve"> of </w:t>
    </w:r>
    <w:r>
      <w:rPr/>
      <w:fldChar w:fldCharType="begin"/>
    </w:r>
    <w:r>
      <w:rPr/>
      <w:instrText xml:space="preserve"> NUMPAGES </w:instrText>
    </w:r>
    <w:r>
      <w:rPr/>
      <w:fldChar w:fldCharType="separate"/>
    </w:r>
    <w:r>
      <w:rPr/>
      <w:t>7</w:t>
    </w:r>
    <w:r>
      <w:rPr/>
      <w:fldChar w:fldCharType="end"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pBdr>
        <w:bottom w:val="single" w:sz="6" w:space="4" w:color="0000FF"/>
      </w:pBdr>
      <w:spacing w:before="0" w:after="80"/>
      <w:jc w:val="end"/>
      <w:rPr/>
    </w:pPr>
    <w:r>
      <w:rPr/>
      <w:drawing>
        <wp:inline distT="0" distB="0" distL="0" distR="0">
          <wp:extent cx="857250" cy="171450"/>
          <wp:effectExtent l="0" t="0" r="0" b="0"/>
          <wp:docPr id="2" name="Image2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2" descr="" title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857250" cy="1714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pBdr>
        <w:bottom w:val="single" w:sz="6" w:space="4" w:color="0000FF"/>
      </w:pBdr>
      <w:spacing w:before="0" w:after="80"/>
      <w:jc w:val="end"/>
      <w:rPr/>
    </w:pPr>
    <w:r>
      <w:rPr/>
      <w:drawing>
        <wp:inline distT="0" distB="0" distL="0" distR="0">
          <wp:extent cx="857250" cy="171450"/>
          <wp:effectExtent l="0" t="0" r="0" b="0"/>
          <wp:docPr id="3" name="Image2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age2" descr="" title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857250" cy="1714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•"/>
      <w:lvlJc w:val="start"/>
      <w:pPr>
        <w:tabs>
          <w:tab w:val="num" w:pos="0"/>
        </w:tabs>
        <w:ind w:start="540" w:hanging="260"/>
      </w:pPr>
      <w:rPr>
        <w:rFonts w:ascii="Arial" w:hAnsi="Arial" w:cs="Arial" w:hint="default"/>
        <w:color w:val="0000FF"/>
      </w:rPr>
    </w:lvl>
    <w:lvl w:ilvl="1">
      <w:start w:val="1"/>
      <w:numFmt w:val="bullet"/>
      <w:lvlText w:val="◦"/>
      <w:lvlJc w:val="start"/>
      <w:pPr>
        <w:tabs>
          <w:tab w:val="num" w:pos="0"/>
        </w:tabs>
        <w:ind w:start="1080" w:hanging="260"/>
      </w:pPr>
      <w:rPr>
        <w:rFonts w:ascii="Arial" w:hAnsi="Arial" w:cs="Arial" w:hint="default"/>
        <w:color w:val="0000FF"/>
      </w:r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1"/>
    <w:lvlOverride w:ilvl="0">
      <w:startOverride w:val="1"/>
    </w:lvlOverride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color w:val="1A1A1A"/>
        <w:sz w:val="22"/>
        <w:szCs w:val="22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before="0" w:after="0"/>
      <w:jc w:val="start"/>
    </w:pPr>
    <w:rPr>
      <w:rFonts w:ascii="Arial" w:hAnsi="Arial" w:eastAsia="Arial" w:cs="Arial"/>
      <w:color w:val="1A1A1A"/>
      <w:kern w:val="0"/>
      <w:sz w:val="22"/>
      <w:szCs w:val="22"/>
      <w:lang w:val="en-US" w:eastAsia="zh-CN" w:bidi="hi-IN"/>
    </w:rPr>
  </w:style>
  <w:style w:type="paragraph" w:styleId="Heading1">
    <w:name w:val="Heading 1"/>
    <w:basedOn w:val="Heading"/>
    <w:qFormat/>
    <w:pPr>
      <w:spacing w:before="360" w:after="180"/>
      <w:outlineLvl w:val="0"/>
    </w:pPr>
    <w:rPr>
      <w:rFonts w:ascii="Arial" w:hAnsi="Arial" w:eastAsia="Arial" w:cs="Arial"/>
      <w:b/>
      <w:bCs/>
      <w:color w:val="0000FF"/>
      <w:sz w:val="36"/>
      <w:szCs w:val="36"/>
    </w:rPr>
  </w:style>
  <w:style w:type="paragraph" w:styleId="Heading2">
    <w:name w:val="Heading 2"/>
    <w:basedOn w:val="Heading"/>
    <w:qFormat/>
    <w:pPr>
      <w:spacing w:before="280" w:after="140"/>
      <w:outlineLvl w:val="1"/>
    </w:pPr>
    <w:rPr>
      <w:rFonts w:ascii="Arial" w:hAnsi="Arial" w:eastAsia="Arial" w:cs="Arial"/>
      <w:b/>
      <w:bCs/>
      <w:color w:val="0000FF"/>
      <w:sz w:val="28"/>
      <w:szCs w:val="28"/>
    </w:rPr>
  </w:style>
  <w:style w:type="paragraph" w:styleId="Heading3">
    <w:name w:val="Heading 3"/>
    <w:basedOn w:val="Heading"/>
    <w:qFormat/>
    <w:pPr>
      <w:spacing w:before="200" w:after="100"/>
      <w:outlineLvl w:val="2"/>
    </w:pPr>
    <w:rPr>
      <w:rFonts w:ascii="Arial" w:hAnsi="Arial" w:eastAsia="Arial" w:cs="Arial"/>
      <w:b/>
      <w:bCs/>
      <w:color w:val="1A1A1A"/>
      <w:sz w:val="24"/>
      <w:szCs w:val="24"/>
    </w:rPr>
  </w:style>
  <w:style w:type="paragraph" w:styleId="Heading4">
    <w:name w:val="Heading 4"/>
    <w:basedOn w:val="Heading"/>
    <w:qFormat/>
    <w:pPr/>
    <w:rPr>
      <w:i/>
      <w:iCs/>
      <w:color w:val="2E74B5"/>
    </w:rPr>
  </w:style>
  <w:style w:type="paragraph" w:styleId="Heading5">
    <w:name w:val="Heading 5"/>
    <w:basedOn w:val="Heading"/>
    <w:qFormat/>
    <w:pPr/>
    <w:rPr>
      <w:color w:val="2E74B5"/>
    </w:rPr>
  </w:style>
  <w:style w:type="paragraph" w:styleId="Heading6">
    <w:name w:val="Heading 6"/>
    <w:basedOn w:val="Heading"/>
    <w:qFormat/>
    <w:pPr/>
    <w:rPr>
      <w:color w:val="1F4D78"/>
    </w:rPr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Characters">
    <w:name w:val="Footnote Characters"/>
    <w:uiPriority w:val="99"/>
    <w:semiHidden/>
    <w:unhideWhenUsed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FootnoteTextChar">
    <w:name w:val="Footnote Text Char"/>
    <w:link w:val="FootnoteText"/>
    <w:uiPriority w:val="99"/>
    <w:semiHidden/>
    <w:unhideWhenUsed/>
    <w:qFormat/>
    <w:rPr>
      <w:sz w:val="20"/>
      <w:szCs w:val="20"/>
    </w:rPr>
  </w:style>
  <w:style w:type="character" w:styleId="EndnoteCharacters">
    <w:name w:val="Endnote Characters"/>
    <w:uiPriority w:val="99"/>
    <w:semiHidden/>
    <w:unhideWhenUsed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EndnoteTextChar">
    <w:name w:val="Endnote Text Char"/>
    <w:link w:val="EndnoteText"/>
    <w:uiPriority w:val="99"/>
    <w:semiHidden/>
    <w:unhideWhenUsed/>
    <w:qFormat/>
    <w:rPr>
      <w:sz w:val="20"/>
      <w:szCs w:val="20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Title">
    <w:name w:val="Title"/>
    <w:basedOn w:val="Heading"/>
    <w:qFormat/>
    <w:pPr/>
    <w:rPr>
      <w:sz w:val="56"/>
      <w:szCs w:val="56"/>
    </w:rPr>
  </w:style>
  <w:style w:type="paragraph" w:styleId="StrongEmphasis">
    <w:name w:val="Strong Emphasis"/>
    <w:qFormat/>
    <w:pPr>
      <w:widowControl/>
      <w:bidi w:val="0"/>
      <w:spacing w:before="0" w:after="0"/>
      <w:jc w:val="start"/>
    </w:pPr>
    <w:rPr>
      <w:rFonts w:ascii="Arial" w:hAnsi="Arial" w:eastAsia="Arial" w:cs="Arial"/>
      <w:b/>
      <w:bCs/>
      <w:color w:val="1A1A1A"/>
      <w:kern w:val="0"/>
      <w:sz w:val="22"/>
      <w:szCs w:val="22"/>
      <w:lang w:val="en-US" w:eastAsia="zh-CN" w:bidi="hi-IN"/>
    </w:rPr>
  </w:style>
  <w:style w:type="paragraph" w:styleId="ListParagraph">
    <w:name w:val="List Paragraph"/>
    <w:qFormat/>
    <w:pPr>
      <w:widowControl/>
      <w:bidi w:val="0"/>
      <w:spacing w:before="0" w:after="0"/>
      <w:jc w:val="start"/>
    </w:pPr>
    <w:rPr>
      <w:rFonts w:ascii="Arial" w:hAnsi="Arial" w:eastAsia="Arial" w:cs="Arial"/>
      <w:color w:val="1A1A1A"/>
      <w:kern w:val="0"/>
      <w:sz w:val="22"/>
      <w:szCs w:val="22"/>
      <w:lang w:val="en-US" w:eastAsia="zh-CN" w:bidi="hi-IN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HeaderandFooter"/>
    <w:pPr/>
    <w:rPr/>
  </w:style>
  <w:style w:type="paragraph" w:styleId="Footer">
    <w:name w:val="Footer"/>
    <w:basedOn w:val="HeaderandFooter"/>
    <w:pPr/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header" Target="header1.xml"/><Relationship Id="rId4" Type="http://schemas.openxmlformats.org/officeDocument/2006/relationships/header" Target="header2.xml"/><Relationship Id="rId5" Type="http://schemas.openxmlformats.org/officeDocument/2006/relationships/header" Target="header3.xml"/><Relationship Id="rId6" Type="http://schemas.openxmlformats.org/officeDocument/2006/relationships/footer" Target="footer1.xml"/><Relationship Id="rId7" Type="http://schemas.openxmlformats.org/officeDocument/2006/relationships/footer" Target="footer2.xml"/><Relationship Id="rId8" Type="http://schemas.openxmlformats.org/officeDocument/2006/relationships/footer" Target="footer3.xml"/><Relationship Id="rId9" Type="http://schemas.openxmlformats.org/officeDocument/2006/relationships/numbering" Target="numbering.xml"/><Relationship Id="rId10" Type="http://schemas.openxmlformats.org/officeDocument/2006/relationships/fontTable" Target="fontTable.xml"/><Relationship Id="rId11" Type="http://schemas.openxmlformats.org/officeDocument/2006/relationships/settings" Target="settings.xml"/><Relationship Id="rId12" Type="http://schemas.openxmlformats.org/officeDocument/2006/relationships/theme" Target="theme/theme1.xml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2.png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2.png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Microsoft Office Word</Application>
  <AppVersion>16.0000</AppVersion>
  <Company>Cloudax Ltd.</Company>
  <DocSecurity>0</DocSecurity>
  <ScaleCrop>false</ScaleCrop>
  <LinksUpToDate>false</LinksUpToDate>
  <SharedDoc>false</SharedDoc>
  <HyperlinksChanged>false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2026-04-10T15:31:42Z</dcterms:created>
  <dc:creator>David Stokes</dc:creator>
  <dc:description/>
  <dc:language>en-US</dc:language>
  <cp:lastModifiedBy>David Stokes</cp:lastModifiedBy>
  <dcterms:modified xsi:type="dcterms:W3CDTF">2026-04-10T17:58:42Z</dcterms:modified>
  <cp:revision>1</cp:revision>
  <dc:subject/>
  <dc:title>Cloudax AI Objectives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