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 Risk Treatment Plan</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AIMS-RTP-001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Risk Treatment Plan</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Treatment Approach by Risk Band</w:t>
      </w:r>
    </w:p>
    <w:p>
      <w:pPr>
        <w:pStyle w:val="Normal"/>
        <w:spacing w:before="40" w:after="40"/>
        <w:rPr/>
      </w:pPr>
      <w:r>
        <w:rPr>
          <w:rFonts w:eastAsia="Arial" w:cs="Arial"/>
          <w:color w:val="1A1A1A"/>
          <w:sz w:val="22"/>
          <w:szCs w:val="22"/>
        </w:rPr>
        <w:t>6. Treatment Options</w:t>
      </w:r>
    </w:p>
    <w:p>
      <w:pPr>
        <w:pStyle w:val="Normal"/>
        <w:spacing w:before="40" w:after="40"/>
        <w:rPr/>
      </w:pPr>
      <w:r>
        <w:rPr>
          <w:rFonts w:eastAsia="Arial" w:cs="Arial"/>
          <w:color w:val="1A1A1A"/>
          <w:sz w:val="22"/>
          <w:szCs w:val="22"/>
        </w:rPr>
        <w:t>7. Treatment Plan Structure</w:t>
      </w:r>
    </w:p>
    <w:p>
      <w:pPr>
        <w:pStyle w:val="Normal"/>
        <w:spacing w:before="40" w:after="40"/>
        <w:rPr/>
      </w:pPr>
      <w:r>
        <w:rPr>
          <w:rFonts w:eastAsia="Arial" w:cs="Arial"/>
          <w:color w:val="1A1A1A"/>
          <w:sz w:val="22"/>
          <w:szCs w:val="22"/>
        </w:rPr>
        <w:t>8. The Treatment Plan</w:t>
      </w:r>
    </w:p>
    <w:p>
      <w:pPr>
        <w:pStyle w:val="Normal"/>
        <w:spacing w:before="40" w:after="40"/>
        <w:rPr/>
      </w:pPr>
      <w:r>
        <w:rPr>
          <w:rFonts w:eastAsia="Arial" w:cs="Arial"/>
          <w:color w:val="1A1A1A"/>
          <w:sz w:val="22"/>
          <w:szCs w:val="22"/>
        </w:rPr>
        <w:t>9. Tracking, Review, and Closure</w:t>
      </w:r>
    </w:p>
    <w:p>
      <w:pPr>
        <w:pStyle w:val="Normal"/>
        <w:spacing w:before="40" w:after="40"/>
        <w:rPr/>
      </w:pPr>
      <w:r>
        <w:rPr>
          <w:rFonts w:eastAsia="Arial" w:cs="Arial"/>
          <w:color w:val="1A1A1A"/>
          <w:sz w:val="22"/>
          <w:szCs w:val="22"/>
        </w:rPr>
        <w:t>10. Approval</w:t>
      </w:r>
    </w:p>
    <w:p>
      <w:pPr>
        <w:pStyle w:val="Normal"/>
        <w:spacing w:before="40" w:after="40"/>
        <w:rPr/>
      </w:pPr>
      <w:r>
        <w:rPr>
          <w:rFonts w:eastAsia="Arial" w:cs="Arial"/>
          <w:color w:val="1A1A1A"/>
          <w:sz w:val="22"/>
          <w:szCs w:val="22"/>
        </w:rPr>
        <w:t>11. Maintenance</w:t>
      </w:r>
    </w:p>
    <w:p>
      <w:pPr>
        <w:pStyle w:val="Normal"/>
        <w:spacing w:before="40" w:after="40"/>
        <w:rPr/>
      </w:pPr>
      <w:r>
        <w:rPr>
          <w:rFonts w:eastAsia="Arial" w:cs="Arial"/>
          <w:color w:val="1A1A1A"/>
          <w:sz w:val="22"/>
          <w:szCs w:val="22"/>
        </w:rPr>
        <w:t>Annex A — ISO/IEC 42001:2023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AI Risk Treatment Plan records the treatment of AI risks identified in the AI Risk Register (AI-REG-RISK-001), in accordance with Clause 6.1.3 of ISO/IEC 42001:2023 and the methodology set out in AIMS-RA-001.</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Clause 6.1.3 AI risk treatment</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covers all AI risks identified in AI-REG-RISK-001 that are above the acceptance threshold (Moderate and above), and any Low risks that the AI Governance Lead determines warrant active treatment.</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Treatment: </w:t>
      </w:r>
      <w:r>
        <w:rPr>
          <w:rFonts w:eastAsia="Arial" w:cs="Arial"/>
          <w:color w:val="1A1A1A"/>
          <w:sz w:val="22"/>
          <w:szCs w:val="22"/>
        </w:rPr>
        <w:t>the action taken to modify a risk, including selection and implementation of controls.</w:t>
      </w:r>
    </w:p>
    <w:p>
      <w:pPr>
        <w:pStyle w:val="ListParagraph"/>
        <w:numPr>
          <w:ilvl w:val="0"/>
          <w:numId w:val="1"/>
        </w:numPr>
        <w:spacing w:lineRule="exact" w:line="280" w:before="40" w:after="40"/>
        <w:rPr/>
      </w:pPr>
      <w:r>
        <w:rPr>
          <w:rFonts w:eastAsia="Arial" w:cs="Arial"/>
          <w:b/>
          <w:bCs/>
          <w:color w:val="1A1A1A"/>
          <w:sz w:val="22"/>
          <w:szCs w:val="22"/>
        </w:rPr>
        <w:t xml:space="preserve">Residual risk: </w:t>
      </w:r>
      <w:r>
        <w:rPr>
          <w:rFonts w:eastAsia="Arial" w:cs="Arial"/>
          <w:color w:val="1A1A1A"/>
          <w:sz w:val="22"/>
          <w:szCs w:val="22"/>
        </w:rPr>
        <w:t>the risk remaining after treatment.</w:t>
      </w:r>
    </w:p>
    <w:p>
      <w:pPr>
        <w:pStyle w:val="ListParagraph"/>
        <w:numPr>
          <w:ilvl w:val="0"/>
          <w:numId w:val="1"/>
        </w:numPr>
        <w:spacing w:lineRule="exact" w:line="280" w:before="40" w:after="40"/>
        <w:rPr/>
      </w:pPr>
      <w:r>
        <w:rPr>
          <w:rFonts w:eastAsia="Arial" w:cs="Arial"/>
          <w:b/>
          <w:bCs/>
          <w:color w:val="1A1A1A"/>
          <w:sz w:val="22"/>
          <w:szCs w:val="22"/>
        </w:rPr>
        <w:t xml:space="preserve">Risk owner: </w:t>
      </w:r>
      <w:r>
        <w:rPr>
          <w:rFonts w:eastAsia="Arial" w:cs="Arial"/>
          <w:color w:val="1A1A1A"/>
          <w:sz w:val="22"/>
          <w:szCs w:val="22"/>
        </w:rPr>
        <w:t>the named individual accountable for the risk and its treatment.</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Governance Lead: owns this Plan; coordinates treatment activity; reports to management review.</w:t>
      </w:r>
    </w:p>
    <w:p>
      <w:pPr>
        <w:pStyle w:val="ListParagraph"/>
        <w:numPr>
          <w:ilvl w:val="0"/>
          <w:numId w:val="1"/>
        </w:numPr>
        <w:spacing w:lineRule="exact" w:line="280" w:before="40" w:after="40"/>
        <w:rPr/>
      </w:pPr>
      <w:r>
        <w:rPr>
          <w:rFonts w:eastAsia="Arial" w:cs="Arial"/>
          <w:color w:val="1A1A1A"/>
          <w:sz w:val="22"/>
          <w:szCs w:val="22"/>
        </w:rPr>
        <w:t>Risk owners: implement treatment for their assigned risks; report progress.</w:t>
      </w:r>
    </w:p>
    <w:p>
      <w:pPr>
        <w:pStyle w:val="ListParagraph"/>
        <w:numPr>
          <w:ilvl w:val="0"/>
          <w:numId w:val="1"/>
        </w:numPr>
        <w:spacing w:lineRule="exact" w:line="280" w:before="40" w:after="40"/>
        <w:rPr/>
      </w:pPr>
      <w:r>
        <w:rPr>
          <w:rFonts w:eastAsia="Arial" w:cs="Arial"/>
          <w:color w:val="1A1A1A"/>
          <w:sz w:val="22"/>
          <w:szCs w:val="22"/>
        </w:rPr>
        <w:t>Chief Technology Officer: accountable for technical treatment of AI-system risks.</w:t>
      </w:r>
    </w:p>
    <w:p>
      <w:pPr>
        <w:pStyle w:val="ListParagraph"/>
        <w:numPr>
          <w:ilvl w:val="0"/>
          <w:numId w:val="1"/>
        </w:numPr>
        <w:spacing w:lineRule="exact" w:line="280" w:before="40" w:after="40"/>
        <w:rPr/>
      </w:pPr>
      <w:r>
        <w:rPr>
          <w:rFonts w:eastAsia="Arial" w:cs="Arial"/>
          <w:color w:val="1A1A1A"/>
          <w:sz w:val="22"/>
          <w:szCs w:val="22"/>
        </w:rPr>
        <w:t>Chief Executive Officer: approves treatment of Critical risks; accepts Critical residual risk.</w:t>
      </w:r>
    </w:p>
    <w:p>
      <w:pPr>
        <w:pStyle w:val="Heading1"/>
        <w:spacing w:before="360" w:after="180"/>
        <w:rPr/>
      </w:pPr>
      <w:r>
        <w:rPr>
          <w:rFonts w:eastAsia="Arial" w:cs="Arial" w:ascii="Arial" w:hAnsi="Arial"/>
          <w:b/>
          <w:bCs/>
          <w:color w:val="0000FF"/>
          <w:sz w:val="36"/>
          <w:szCs w:val="36"/>
        </w:rPr>
        <w:t>5. Treatment Approach by Risk Band</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Low: typically retained, monitored periodically.</w:t>
      </w:r>
    </w:p>
    <w:p>
      <w:pPr>
        <w:pStyle w:val="ListParagraph"/>
        <w:numPr>
          <w:ilvl w:val="0"/>
          <w:numId w:val="1"/>
        </w:numPr>
        <w:spacing w:lineRule="exact" w:line="280" w:before="40" w:after="40"/>
        <w:rPr/>
      </w:pPr>
      <w:r>
        <w:rPr>
          <w:rFonts w:eastAsia="Arial" w:cs="Arial"/>
          <w:color w:val="1A1A1A"/>
          <w:sz w:val="22"/>
          <w:szCs w:val="22"/>
        </w:rPr>
        <w:t>Moderate: treatment plan documented; controls confirmed effective.</w:t>
      </w:r>
    </w:p>
    <w:p>
      <w:pPr>
        <w:pStyle w:val="ListParagraph"/>
        <w:numPr>
          <w:ilvl w:val="0"/>
          <w:numId w:val="1"/>
        </w:numPr>
        <w:spacing w:lineRule="exact" w:line="280" w:before="40" w:after="40"/>
        <w:rPr/>
      </w:pPr>
      <w:r>
        <w:rPr>
          <w:rFonts w:eastAsia="Arial" w:cs="Arial"/>
          <w:color w:val="1A1A1A"/>
          <w:sz w:val="22"/>
          <w:szCs w:val="22"/>
        </w:rPr>
        <w:t>High: treatment plan approved by AI Governance Lead; treated within an agreed timeframe; residual risk accepted by AI Governance Lead.</w:t>
      </w:r>
    </w:p>
    <w:p>
      <w:pPr>
        <w:pStyle w:val="ListParagraph"/>
        <w:numPr>
          <w:ilvl w:val="0"/>
          <w:numId w:val="1"/>
        </w:numPr>
        <w:spacing w:lineRule="exact" w:line="280" w:before="40" w:after="40"/>
        <w:rPr/>
      </w:pPr>
      <w:r>
        <w:rPr>
          <w:rFonts w:eastAsia="Arial" w:cs="Arial"/>
          <w:color w:val="1A1A1A"/>
          <w:sz w:val="22"/>
          <w:szCs w:val="22"/>
        </w:rPr>
        <w:t>Critical: treatment plan approved by Chief Executive Officer; treated as priority; residual risk accepted by Chief Executive Officer; reported to every management review.</w:t>
      </w:r>
    </w:p>
    <w:p>
      <w:pPr>
        <w:pStyle w:val="Heading1"/>
        <w:spacing w:before="360" w:after="180"/>
        <w:rPr/>
      </w:pPr>
      <w:r>
        <w:rPr>
          <w:rFonts w:eastAsia="Arial" w:cs="Arial" w:ascii="Arial" w:hAnsi="Arial"/>
          <w:b/>
          <w:bCs/>
          <w:color w:val="0000FF"/>
          <w:sz w:val="36"/>
          <w:szCs w:val="36"/>
        </w:rPr>
        <w:t>6. Treatment Options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Avoid: </w:t>
      </w:r>
      <w:r>
        <w:rPr>
          <w:rFonts w:eastAsia="Arial" w:cs="Arial"/>
          <w:color w:val="1A1A1A"/>
          <w:sz w:val="22"/>
          <w:szCs w:val="22"/>
        </w:rPr>
        <w:t>eliminate the risk source (e.g. discontinue a feature, exit a use case, change supplier).</w:t>
      </w:r>
    </w:p>
    <w:p>
      <w:pPr>
        <w:pStyle w:val="ListParagraph"/>
        <w:numPr>
          <w:ilvl w:val="0"/>
          <w:numId w:val="1"/>
        </w:numPr>
        <w:spacing w:lineRule="exact" w:line="280" w:before="40" w:after="40"/>
        <w:rPr/>
      </w:pPr>
      <w:r>
        <w:rPr>
          <w:rFonts w:eastAsia="Arial" w:cs="Arial"/>
          <w:b/>
          <w:bCs/>
          <w:color w:val="1A1A1A"/>
          <w:sz w:val="22"/>
          <w:szCs w:val="22"/>
        </w:rPr>
        <w:t xml:space="preserve">Modify: </w:t>
      </w:r>
      <w:r>
        <w:rPr>
          <w:rFonts w:eastAsia="Arial" w:cs="Arial"/>
          <w:color w:val="1A1A1A"/>
          <w:sz w:val="22"/>
          <w:szCs w:val="22"/>
        </w:rPr>
        <w:t>introduce, strengthen, or change controls to reduce likelihood or impact (e.g. add monitoring, enforce human-in-the-loop, redesign data pipeline).</w:t>
      </w:r>
    </w:p>
    <w:p>
      <w:pPr>
        <w:pStyle w:val="ListParagraph"/>
        <w:numPr>
          <w:ilvl w:val="0"/>
          <w:numId w:val="1"/>
        </w:numPr>
        <w:spacing w:lineRule="exact" w:line="280" w:before="40" w:after="40"/>
        <w:rPr/>
      </w:pPr>
      <w:r>
        <w:rPr>
          <w:rFonts w:eastAsia="Arial" w:cs="Arial"/>
          <w:b/>
          <w:bCs/>
          <w:color w:val="1A1A1A"/>
          <w:sz w:val="22"/>
          <w:szCs w:val="22"/>
        </w:rPr>
        <w:t xml:space="preserve">Share: </w:t>
      </w:r>
      <w:r>
        <w:rPr>
          <w:rFonts w:eastAsia="Arial" w:cs="Arial"/>
          <w:color w:val="1A1A1A"/>
          <w:sz w:val="22"/>
          <w:szCs w:val="22"/>
        </w:rPr>
        <w:t>transfer some or all of the risk to a third party (e.g. through contract, insurance).</w:t>
      </w:r>
    </w:p>
    <w:p>
      <w:pPr>
        <w:pStyle w:val="ListParagraph"/>
        <w:numPr>
          <w:ilvl w:val="0"/>
          <w:numId w:val="1"/>
        </w:numPr>
        <w:spacing w:lineRule="exact" w:line="280" w:before="40" w:after="40"/>
        <w:rPr/>
      </w:pPr>
      <w:r>
        <w:rPr>
          <w:rFonts w:eastAsia="Arial" w:cs="Arial"/>
          <w:b/>
          <w:bCs/>
          <w:color w:val="1A1A1A"/>
          <w:sz w:val="22"/>
          <w:szCs w:val="22"/>
        </w:rPr>
        <w:t xml:space="preserve">Retain: </w:t>
      </w:r>
      <w:r>
        <w:rPr>
          <w:rFonts w:eastAsia="Arial" w:cs="Arial"/>
          <w:color w:val="1A1A1A"/>
          <w:sz w:val="22"/>
          <w:szCs w:val="22"/>
        </w:rPr>
        <w:t>accept the risk and monitor it. Retention requires explicit acceptance at the appropriate authority level.</w:t>
      </w:r>
    </w:p>
    <w:p>
      <w:pPr>
        <w:pStyle w:val="Heading1"/>
        <w:spacing w:before="360" w:after="180"/>
        <w:rPr/>
      </w:pPr>
      <w:r>
        <w:rPr>
          <w:rFonts w:eastAsia="Arial" w:cs="Arial" w:ascii="Arial" w:hAnsi="Arial"/>
          <w:b/>
          <w:bCs/>
          <w:color w:val="0000FF"/>
          <w:sz w:val="36"/>
          <w:szCs w:val="36"/>
        </w:rPr>
        <w:t>7. Treatment Plan Structure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treatment plan entry contains:</w:t>
      </w:r>
    </w:p>
    <w:p>
      <w:pPr>
        <w:pStyle w:val="ListParagraph"/>
        <w:numPr>
          <w:ilvl w:val="0"/>
          <w:numId w:val="1"/>
        </w:numPr>
        <w:spacing w:lineRule="exact" w:line="280" w:before="40" w:after="40"/>
        <w:rPr/>
      </w:pPr>
      <w:r>
        <w:rPr>
          <w:rFonts w:eastAsia="Arial" w:cs="Arial"/>
          <w:color w:val="1A1A1A"/>
          <w:sz w:val="22"/>
          <w:szCs w:val="22"/>
        </w:rPr>
        <w:t>Risk reference (linked to AI-REG-RISK-001).</w:t>
      </w:r>
    </w:p>
    <w:p>
      <w:pPr>
        <w:pStyle w:val="ListParagraph"/>
        <w:numPr>
          <w:ilvl w:val="0"/>
          <w:numId w:val="1"/>
        </w:numPr>
        <w:spacing w:lineRule="exact" w:line="280" w:before="40" w:after="40"/>
        <w:rPr/>
      </w:pPr>
      <w:r>
        <w:rPr>
          <w:rFonts w:eastAsia="Arial" w:cs="Arial"/>
          <w:color w:val="1A1A1A"/>
          <w:sz w:val="22"/>
          <w:szCs w:val="22"/>
        </w:rPr>
        <w:t>Risk description summary.</w:t>
      </w:r>
    </w:p>
    <w:p>
      <w:pPr>
        <w:pStyle w:val="ListParagraph"/>
        <w:numPr>
          <w:ilvl w:val="0"/>
          <w:numId w:val="1"/>
        </w:numPr>
        <w:spacing w:lineRule="exact" w:line="280" w:before="40" w:after="40"/>
        <w:rPr/>
      </w:pPr>
      <w:r>
        <w:rPr>
          <w:rFonts w:eastAsia="Arial" w:cs="Arial"/>
          <w:color w:val="1A1A1A"/>
          <w:sz w:val="22"/>
          <w:szCs w:val="22"/>
        </w:rPr>
        <w:t>Selected treatment option.</w:t>
      </w:r>
    </w:p>
    <w:p>
      <w:pPr>
        <w:pStyle w:val="ListParagraph"/>
        <w:numPr>
          <w:ilvl w:val="0"/>
          <w:numId w:val="1"/>
        </w:numPr>
        <w:spacing w:lineRule="exact" w:line="280" w:before="40" w:after="40"/>
        <w:rPr/>
      </w:pPr>
      <w:r>
        <w:rPr>
          <w:rFonts w:eastAsia="Arial" w:cs="Arial"/>
          <w:color w:val="1A1A1A"/>
          <w:sz w:val="22"/>
          <w:szCs w:val="22"/>
        </w:rPr>
        <w:t>Selected controls (with cross-reference to AIMS-SOA-001 and the implementing document).</w:t>
      </w:r>
    </w:p>
    <w:p>
      <w:pPr>
        <w:pStyle w:val="ListParagraph"/>
        <w:numPr>
          <w:ilvl w:val="0"/>
          <w:numId w:val="1"/>
        </w:numPr>
        <w:spacing w:lineRule="exact" w:line="280" w:before="40" w:after="40"/>
        <w:rPr/>
      </w:pPr>
      <w:r>
        <w:rPr>
          <w:rFonts w:eastAsia="Arial" w:cs="Arial"/>
          <w:color w:val="1A1A1A"/>
          <w:sz w:val="22"/>
          <w:szCs w:val="22"/>
        </w:rPr>
        <w:t>Risk owner.</w:t>
      </w:r>
    </w:p>
    <w:p>
      <w:pPr>
        <w:pStyle w:val="ListParagraph"/>
        <w:numPr>
          <w:ilvl w:val="0"/>
          <w:numId w:val="1"/>
        </w:numPr>
        <w:spacing w:lineRule="exact" w:line="280" w:before="40" w:after="40"/>
        <w:rPr/>
      </w:pPr>
      <w:r>
        <w:rPr>
          <w:rFonts w:eastAsia="Arial" w:cs="Arial"/>
          <w:color w:val="1A1A1A"/>
          <w:sz w:val="22"/>
          <w:szCs w:val="22"/>
        </w:rPr>
        <w:t>Target completion date.</w:t>
      </w:r>
    </w:p>
    <w:p>
      <w:pPr>
        <w:pStyle w:val="ListParagraph"/>
        <w:numPr>
          <w:ilvl w:val="0"/>
          <w:numId w:val="1"/>
        </w:numPr>
        <w:spacing w:lineRule="exact" w:line="280" w:before="40" w:after="40"/>
        <w:rPr/>
      </w:pPr>
      <w:r>
        <w:rPr>
          <w:rFonts w:eastAsia="Arial" w:cs="Arial"/>
          <w:color w:val="1A1A1A"/>
          <w:sz w:val="22"/>
          <w:szCs w:val="22"/>
        </w:rPr>
        <w:t>Status.</w:t>
      </w:r>
    </w:p>
    <w:p>
      <w:pPr>
        <w:pStyle w:val="ListParagraph"/>
        <w:numPr>
          <w:ilvl w:val="0"/>
          <w:numId w:val="1"/>
        </w:numPr>
        <w:spacing w:lineRule="exact" w:line="280" w:before="40" w:after="40"/>
        <w:rPr/>
      </w:pPr>
      <w:r>
        <w:rPr>
          <w:rFonts w:eastAsia="Arial" w:cs="Arial"/>
          <w:color w:val="1A1A1A"/>
          <w:sz w:val="22"/>
          <w:szCs w:val="22"/>
        </w:rPr>
        <w:t>Residual risk (likelihood, impact, band) post-treatment.</w:t>
      </w:r>
    </w:p>
    <w:p>
      <w:pPr>
        <w:pStyle w:val="ListParagraph"/>
        <w:numPr>
          <w:ilvl w:val="0"/>
          <w:numId w:val="1"/>
        </w:numPr>
        <w:spacing w:lineRule="exact" w:line="280" w:before="40" w:after="40"/>
        <w:rPr/>
      </w:pPr>
      <w:r>
        <w:rPr>
          <w:rFonts w:eastAsia="Arial" w:cs="Arial"/>
          <w:color w:val="1A1A1A"/>
          <w:sz w:val="22"/>
          <w:szCs w:val="22"/>
        </w:rPr>
        <w:t>Acceptance authority and acceptance date.</w:t>
      </w:r>
    </w:p>
    <w:p>
      <w:pPr>
        <w:pStyle w:val="Heading1"/>
        <w:spacing w:before="360" w:after="180"/>
        <w:rPr/>
      </w:pPr>
      <w:r>
        <w:rPr>
          <w:rFonts w:eastAsia="Arial" w:cs="Arial" w:ascii="Arial" w:hAnsi="Arial"/>
          <w:b/>
          <w:bCs/>
          <w:color w:val="0000FF"/>
          <w:sz w:val="36"/>
          <w:szCs w:val="36"/>
        </w:rPr>
        <w:t>8. The Treatment Plan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is the framework. The live AI Risk Treatment Plan is operated against the AI Risk Register (AI-REG-RISK-001) entries; this section is the structure into which entries are populated.</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1299"/>
        <w:gridCol w:w="1701"/>
        <w:gridCol w:w="2199"/>
        <w:gridCol w:w="1101"/>
        <w:gridCol w:w="900"/>
        <w:gridCol w:w="1100"/>
        <w:gridCol w:w="7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RISK REF</w:t>
            </w:r>
          </w:p>
        </w:tc>
        <w:tc>
          <w:tcPr>
            <w:tcW w:w="1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TREATMENT</w:t>
            </w:r>
          </w:p>
        </w:tc>
        <w:tc>
          <w:tcPr>
            <w:tcW w:w="2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CONTROLS / DOC</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OWNER</w:t>
            </w:r>
          </w:p>
        </w:tc>
        <w:tc>
          <w:tcPr>
            <w:tcW w:w="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TARGET</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STATUS</w:t>
            </w:r>
          </w:p>
        </w:tc>
        <w:tc>
          <w:tcPr>
            <w:tcW w:w="7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RESIDUAL</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[AI-R-001]</w:t>
            </w:r>
          </w:p>
        </w:tc>
        <w:tc>
          <w:tcPr>
            <w:tcW w:w="1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[Modify / Avoid / Share / Retain]</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[Annex A control(s) and implementing document]</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[Owner]</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[Date]</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[Open / In progress / Treated / Accepted]</w:t>
            </w:r>
          </w:p>
        </w:tc>
        <w:tc>
          <w:tcPr>
            <w:tcW w:w="7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[Band]</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[AI-R-002]</w:t>
            </w:r>
          </w:p>
        </w:tc>
        <w:tc>
          <w:tcPr>
            <w:tcW w:w="1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w:t>
            </w:r>
          </w:p>
        </w:tc>
        <w:tc>
          <w:tcPr>
            <w:tcW w:w="7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[AI-R-NNN]</w:t>
            </w:r>
          </w:p>
        </w:tc>
        <w:tc>
          <w:tcPr>
            <w:tcW w:w="1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t>
            </w:r>
          </w:p>
        </w:tc>
        <w:tc>
          <w:tcPr>
            <w:tcW w:w="7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t>
            </w:r>
          </w:p>
        </w:tc>
      </w:tr>
    </w:tbl>
    <w:p>
      <w:pPr>
        <w:pStyle w:val="Normal"/>
        <w:spacing w:lineRule="exact" w:line="300" w:before="80" w:after="120"/>
        <w:rPr/>
      </w:pPr>
      <w:r>
        <w:rPr>
          <w:rFonts w:eastAsia="Arial" w:cs="Arial"/>
          <w:color w:val="1A1A1A"/>
          <w:sz w:val="22"/>
          <w:szCs w:val="22"/>
        </w:rPr>
        <w:t>Once the AI Risk Register is populated with real risks (AI-R-001, AI-R-002, etc.), each entry above this threshold gets a corresponding row in this table, replacing the placeholder rows.</w:t>
      </w:r>
    </w:p>
    <w:p>
      <w:pPr>
        <w:pStyle w:val="Heading1"/>
        <w:spacing w:before="360" w:after="180"/>
        <w:rPr/>
      </w:pPr>
      <w:r>
        <w:rPr>
          <w:rFonts w:eastAsia="Arial" w:cs="Arial" w:ascii="Arial" w:hAnsi="Arial"/>
          <w:b/>
          <w:bCs/>
          <w:color w:val="0000FF"/>
          <w:sz w:val="36"/>
          <w:szCs w:val="36"/>
        </w:rPr>
        <w:t>9. Tracking, Review, and Closure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Treatment progress is reviewed by the AI Governance Lead at least quarterly for High and Critical risks; annually for Moderate.</w:t>
      </w:r>
    </w:p>
    <w:p>
      <w:pPr>
        <w:pStyle w:val="ListParagraph"/>
        <w:numPr>
          <w:ilvl w:val="0"/>
          <w:numId w:val="1"/>
        </w:numPr>
        <w:spacing w:lineRule="exact" w:line="280" w:before="40" w:after="40"/>
        <w:rPr/>
      </w:pPr>
      <w:r>
        <w:rPr>
          <w:rFonts w:eastAsia="Arial" w:cs="Arial"/>
          <w:color w:val="1A1A1A"/>
          <w:sz w:val="22"/>
          <w:szCs w:val="22"/>
        </w:rPr>
        <w:t>On completion, the risk owner reports completion with evidence.</w:t>
      </w:r>
    </w:p>
    <w:p>
      <w:pPr>
        <w:pStyle w:val="ListParagraph"/>
        <w:numPr>
          <w:ilvl w:val="0"/>
          <w:numId w:val="1"/>
        </w:numPr>
        <w:spacing w:lineRule="exact" w:line="280" w:before="40" w:after="40"/>
        <w:rPr/>
      </w:pPr>
      <w:r>
        <w:rPr>
          <w:rFonts w:eastAsia="Arial" w:cs="Arial"/>
          <w:color w:val="1A1A1A"/>
          <w:sz w:val="22"/>
          <w:szCs w:val="22"/>
        </w:rPr>
        <w:t>The AI Governance Lead verifies treatment effectiveness before recording residual risk and obtaining acceptance.</w:t>
      </w:r>
    </w:p>
    <w:p>
      <w:pPr>
        <w:pStyle w:val="ListParagraph"/>
        <w:numPr>
          <w:ilvl w:val="0"/>
          <w:numId w:val="1"/>
        </w:numPr>
        <w:spacing w:lineRule="exact" w:line="280" w:before="40" w:after="40"/>
        <w:rPr/>
      </w:pPr>
      <w:r>
        <w:rPr>
          <w:rFonts w:eastAsia="Arial" w:cs="Arial"/>
          <w:color w:val="1A1A1A"/>
          <w:sz w:val="22"/>
          <w:szCs w:val="22"/>
        </w:rPr>
        <w:t>Where treatment proves ineffective, the risk is reopened and re-treated.</w:t>
      </w:r>
    </w:p>
    <w:p>
      <w:pPr>
        <w:pStyle w:val="Heading1"/>
        <w:spacing w:before="360" w:after="180"/>
        <w:rPr/>
      </w:pPr>
      <w:r>
        <w:rPr>
          <w:rFonts w:eastAsia="Arial" w:cs="Arial" w:ascii="Arial" w:hAnsi="Arial"/>
          <w:b/>
          <w:bCs/>
          <w:color w:val="0000FF"/>
          <w:sz w:val="36"/>
          <w:szCs w:val="36"/>
        </w:rPr>
        <w:t>10. Approval</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is approved by the Chief Executive Officer at issue and on material revision. Approval covers the framework and treatment approach. Individual treatment entries within the Plan are approved at the authority level appropriate to the risk band.</w:t>
      </w:r>
    </w:p>
    <w:p>
      <w:pPr>
        <w:pStyle w:val="Heading1"/>
        <w:spacing w:before="360" w:after="180"/>
        <w:rPr/>
      </w:pPr>
      <w:r>
        <w:rPr>
          <w:rFonts w:eastAsia="Arial" w:cs="Arial" w:ascii="Arial" w:hAnsi="Arial"/>
          <w:b/>
          <w:bCs/>
          <w:color w:val="0000FF"/>
          <w:sz w:val="36"/>
          <w:szCs w:val="36"/>
        </w:rPr>
        <w:t>11.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is reviewed at least annually and reconciled with the AI Risk Register at every review.</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42001:2023. The authoritative AIMS scope and Annex A control selection are recorded in the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6.1.3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risk treatment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Sections 5–9 establish the treatment process.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8.3</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risk treatment</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This Plan is the operational record of risk treatment.</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AIMS-RTP-001 AI Risk Treatment Plan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AIMS-RTP-001 AI Risk Treatment Plan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2026-04-20T10:57:18Z</dcterms:created>
  <dc:creator>David Stokes</dc:creator>
  <dc:description/>
  <dc:language>en-US</dc:language>
  <cp:lastModifiedBy>David Stokes</cp:lastModifiedBy>
  <dcterms:modified xsi:type="dcterms:W3CDTF">2026-04-20T13:11:18Z</dcterms:modified>
  <cp:revision>1</cp:revision>
  <dc:subject/>
  <dc:title>Cloudax AI Risk Treatment Plan</dc:title>
</cp:coreProperties>
</file>

<file path=docProps/custom.xml><?xml version="1.0" encoding="utf-8"?>
<Properties xmlns="http://schemas.openxmlformats.org/officeDocument/2006/custom-properties" xmlns:vt="http://schemas.openxmlformats.org/officeDocument/2006/docPropsVTypes"/>
</file>