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4400" w:type="dxa"/>
        <w:jc w:val="start"/>
        <w:tblInd w:w="0" w:type="dxa"/>
        <w:tblLayout w:type="fixed"/>
        <w:tblCellMar>
          <w:top w:w="700" w:type="dxa"/>
          <w:start w:w="600" w:type="dxa"/>
          <w:bottom w:w="700" w:type="dxa"/>
          <w:end w:w="600" w:type="dxa"/>
        </w:tblCellMar>
      </w:tblPr>
      <w:tblGrid>
        <w:gridCol w:w="14400"/>
      </w:tblGrid>
      <w:tr>
        <w:trPr>
          <w:trHeight w:val="3800" w:hRule="atLeast"/>
        </w:trPr>
        <w:tc>
          <w:tcPr>
            <w:tcW w:w="14400"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AIMS Document Map</w:t>
            </w:r>
          </w:p>
          <w:p>
            <w:pPr>
              <w:pStyle w:val="Normal"/>
              <w:spacing w:before="0" w:after="40"/>
              <w:jc w:val="center"/>
              <w:rPr/>
            </w:pPr>
            <w:r>
              <w:rPr>
                <w:rFonts w:eastAsia="Arial" w:cs="Arial"/>
                <w:color w:val="FFFFFF"/>
                <w:sz w:val="22"/>
                <w:szCs w:val="22"/>
              </w:rPr>
              <w:t>AI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14400" w:type="dxa"/>
        <w:jc w:val="start"/>
        <w:tblInd w:w="0" w:type="dxa"/>
        <w:tblLayout w:type="fixed"/>
        <w:tblCellMar>
          <w:top w:w="140" w:type="dxa"/>
          <w:start w:w="200" w:type="dxa"/>
          <w:bottom w:w="140" w:type="dxa"/>
          <w:end w:w="200" w:type="dxa"/>
        </w:tblCellMar>
      </w:tblPr>
      <w:tblGrid>
        <w:gridCol w:w="7200"/>
        <w:gridCol w:w="7199"/>
      </w:tblGrid>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AIMS-MAP-001</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AIMS Document Map</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AI Governance Lead</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7200"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AIMS SoA REFERENCE</w:t>
            </w:r>
          </w:p>
          <w:p>
            <w:pPr>
              <w:pStyle w:val="Normal"/>
              <w:spacing w:before="0" w:after="0"/>
              <w:rPr/>
            </w:pPr>
            <w:r>
              <w:rPr>
                <w:rFonts w:eastAsia="Arial" w:cs="Arial"/>
                <w:color w:val="1A1A1A"/>
                <w:sz w:val="22"/>
                <w:szCs w:val="22"/>
              </w:rPr>
              <w:t>AIMS-SOA-001 v1.0</w:t>
            </w:r>
          </w:p>
        </w:tc>
        <w:tc>
          <w:tcPr>
            <w:tcW w:w="7199"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AIMS MAP</w:t>
            </w:r>
          </w:p>
          <w:p>
            <w:pPr>
              <w:pStyle w:val="Normal"/>
              <w:spacing w:before="0" w:after="0"/>
              <w:rPr/>
            </w:pPr>
            <w:r>
              <w:rPr>
                <w:rFonts w:eastAsia="Arial" w:cs="Arial"/>
                <w:color w:val="1A1A1A"/>
                <w:sz w:val="22"/>
                <w:szCs w:val="22"/>
              </w:rPr>
              <w:t>AIMS-MAP-001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Document Numbering Convention</w:t>
      </w:r>
    </w:p>
    <w:p>
      <w:pPr>
        <w:pStyle w:val="Normal"/>
        <w:spacing w:before="40" w:after="40"/>
        <w:rPr/>
      </w:pPr>
      <w:r>
        <w:rPr>
          <w:rFonts w:eastAsia="Arial" w:cs="Arial"/>
          <w:color w:val="1A1A1A"/>
          <w:sz w:val="22"/>
          <w:szCs w:val="22"/>
        </w:rPr>
        <w:t>5. Tier Structure</w:t>
      </w:r>
    </w:p>
    <w:p>
      <w:pPr>
        <w:pStyle w:val="Normal"/>
        <w:spacing w:before="40" w:after="40"/>
        <w:rPr/>
      </w:pPr>
      <w:r>
        <w:rPr>
          <w:rFonts w:eastAsia="Arial" w:cs="Arial"/>
          <w:color w:val="1A1A1A"/>
          <w:sz w:val="22"/>
          <w:szCs w:val="22"/>
        </w:rPr>
        <w:t>6. The Map</w:t>
      </w:r>
    </w:p>
    <w:p>
      <w:pPr>
        <w:pStyle w:val="Normal"/>
        <w:spacing w:before="40" w:after="40"/>
        <w:rPr/>
      </w:pPr>
      <w:r>
        <w:rPr>
          <w:rFonts w:eastAsia="Arial" w:cs="Arial"/>
          <w:color w:val="1A1A1A"/>
          <w:sz w:val="22"/>
          <w:szCs w:val="22"/>
        </w:rPr>
        <w:t>7. Document Lifecycle</w:t>
      </w:r>
    </w:p>
    <w:p>
      <w:pPr>
        <w:pStyle w:val="Normal"/>
        <w:spacing w:before="40" w:after="40"/>
        <w:rPr/>
      </w:pPr>
      <w:r>
        <w:rPr>
          <w:rFonts w:eastAsia="Arial" w:cs="Arial"/>
          <w:color w:val="1A1A1A"/>
          <w:sz w:val="22"/>
          <w:szCs w:val="22"/>
        </w:rPr>
        <w:t>8. Relationship with the ISMS</w:t>
      </w:r>
    </w:p>
    <w:p>
      <w:pPr>
        <w:pStyle w:val="Normal"/>
        <w:spacing w:before="40" w:after="40"/>
        <w:rPr/>
      </w:pPr>
      <w:r>
        <w:rPr>
          <w:rFonts w:eastAsia="Arial" w:cs="Arial"/>
          <w:color w:val="1A1A1A"/>
          <w:sz w:val="22"/>
          <w:szCs w:val="22"/>
        </w:rPr>
        <w:t>9. Maintenance</w:t>
      </w:r>
    </w:p>
    <w:p>
      <w:pPr>
        <w:pStyle w:val="Normal"/>
        <w:spacing w:before="40" w:after="40"/>
        <w:rPr/>
      </w:pPr>
      <w:r>
        <w:rPr>
          <w:rFonts w:eastAsia="Arial" w:cs="Arial"/>
          <w:color w:val="1A1A1A"/>
          <w:sz w:val="22"/>
          <w:szCs w:val="22"/>
        </w:rPr>
        <w:t>Annex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is the map of the Cloudax AI Management System (AIMS). It defines the document hierarchy, numbering convention, and the relationships between documents in the AIMS. It is the architectural reference for the AIMS document set.</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ISO 42001 reference: Clause 7.5 Documented information</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Map covers all controlled documents within the Cloudax AIMS. It does not list operational records (e.g. individual AISIA documents, individual AI incident records); these are governed by their parent register or procedure.</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Tier: </w:t>
      </w:r>
      <w:r>
        <w:rPr>
          <w:rFonts w:eastAsia="Arial" w:cs="Arial"/>
          <w:color w:val="1A1A1A"/>
          <w:sz w:val="22"/>
          <w:szCs w:val="22"/>
        </w:rPr>
        <w:t>a level in the AIMS document hierarchy. The AIMS uses 5 tiers, mirroring the ISMS structure.</w:t>
      </w:r>
    </w:p>
    <w:p>
      <w:pPr>
        <w:pStyle w:val="ListParagraph"/>
        <w:numPr>
          <w:ilvl w:val="0"/>
          <w:numId w:val="1"/>
        </w:numPr>
        <w:spacing w:lineRule="exact" w:line="280" w:before="40" w:after="40"/>
        <w:rPr/>
      </w:pPr>
      <w:r>
        <w:rPr>
          <w:rFonts w:eastAsia="Arial" w:cs="Arial"/>
          <w:b/>
          <w:bCs/>
          <w:color w:val="1A1A1A"/>
          <w:sz w:val="22"/>
          <w:szCs w:val="22"/>
        </w:rPr>
        <w:t xml:space="preserve">Document type: </w:t>
      </w:r>
      <w:r>
        <w:rPr>
          <w:rFonts w:eastAsia="Arial" w:cs="Arial"/>
          <w:color w:val="1A1A1A"/>
          <w:sz w:val="22"/>
          <w:szCs w:val="22"/>
        </w:rPr>
        <w:t>the category of document, identified by the prefix in its Document ID.</w:t>
      </w:r>
    </w:p>
    <w:p>
      <w:pPr>
        <w:pStyle w:val="Heading1"/>
        <w:spacing w:before="360" w:after="180"/>
        <w:rPr/>
      </w:pPr>
      <w:r>
        <w:rPr>
          <w:rFonts w:eastAsia="Arial" w:cs="Arial" w:ascii="Arial" w:hAnsi="Arial"/>
          <w:b/>
          <w:bCs/>
          <w:color w:val="0000FF"/>
          <w:sz w:val="36"/>
          <w:szCs w:val="36"/>
        </w:rPr>
        <w:t>4. Document Numbering Convention</w:t>
      </w:r>
    </w:p>
    <w:p>
      <w:pPr>
        <w:pStyle w:val="Normal"/>
        <w:pBdr>
          <w:bottom w:val="single" w:sz="12" w:space="1" w:color="0000FF"/>
        </w:pBdr>
        <w:spacing w:before="0" w:after="200"/>
        <w:rPr/>
      </w:pPr>
      <w:r>
        <w:rPr/>
      </w:r>
    </w:p>
    <w:p>
      <w:pPr>
        <w:pStyle w:val="Normal"/>
        <w:spacing w:before="60" w:after="60"/>
        <w:rPr/>
      </w:pPr>
      <w:r>
        <w:rPr/>
      </w:r>
    </w:p>
    <w:tbl>
      <w:tblPr>
        <w:tblW w:w="14400" w:type="dxa"/>
        <w:jc w:val="start"/>
        <w:tblInd w:w="0" w:type="dxa"/>
        <w:tblLayout w:type="fixed"/>
        <w:tblCellMar>
          <w:top w:w="80" w:type="dxa"/>
          <w:start w:w="120" w:type="dxa"/>
          <w:bottom w:w="80" w:type="dxa"/>
          <w:end w:w="120" w:type="dxa"/>
        </w:tblCellMar>
      </w:tblPr>
      <w:tblGrid>
        <w:gridCol w:w="1500"/>
        <w:gridCol w:w="2399"/>
        <w:gridCol w:w="4500"/>
        <w:gridCol w:w="6000"/>
      </w:tblGrid>
      <w:tr>
        <w:trPr>
          <w:tblHeader w:val="true"/>
        </w:trPr>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PREFIX</w:t>
            </w:r>
          </w:p>
        </w:tc>
        <w:tc>
          <w:tcPr>
            <w:tcW w:w="23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TYPE</w:t>
            </w:r>
          </w:p>
        </w:tc>
        <w:tc>
          <w:tcPr>
            <w:tcW w:w="4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EXAMPLE</w:t>
            </w:r>
          </w:p>
        </w:tc>
        <w:tc>
          <w:tcPr>
            <w:tcW w:w="6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PURPOSE</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AI-POL</w:t>
            </w:r>
          </w:p>
        </w:tc>
        <w:tc>
          <w:tcPr>
            <w:tcW w:w="23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Policy (apex or subordinate)</w:t>
            </w:r>
          </w:p>
        </w:tc>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AI-POL-001 AI Policy</w:t>
            </w:r>
          </w:p>
        </w:tc>
        <w:tc>
          <w:tcPr>
            <w:tcW w:w="6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policies setting out rules</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AIMS</w:t>
            </w:r>
          </w:p>
        </w:tc>
        <w:tc>
          <w:tcPr>
            <w:tcW w:w="23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Core AIMS document</w:t>
            </w:r>
          </w:p>
        </w:tc>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AIMS-SOA-001 AI Statement of Applicability</w:t>
            </w:r>
          </w:p>
        </w:tc>
        <w:tc>
          <w:tcPr>
            <w:tcW w:w="6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Documents required by ISO 42001 clauses</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AI-PLAN</w:t>
            </w:r>
          </w:p>
        </w:tc>
        <w:tc>
          <w:tcPr>
            <w:tcW w:w="23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Plan</w:t>
            </w:r>
          </w:p>
        </w:tc>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AI-PLAN-IRP-001 AI Incident Response Plan</w:t>
            </w:r>
          </w:p>
        </w:tc>
        <w:tc>
          <w:tcPr>
            <w:tcW w:w="6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AI-specific operational plans</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AI-PROG</w:t>
            </w:r>
          </w:p>
        </w:tc>
        <w:tc>
          <w:tcPr>
            <w:tcW w:w="23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Programme</w:t>
            </w:r>
          </w:p>
        </w:tc>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AI-PROG-AUDIT-001 AIMS Internal Audit Programme</w:t>
            </w:r>
          </w:p>
        </w:tc>
        <w:tc>
          <w:tcPr>
            <w:tcW w:w="6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AI-specific recurring programmes</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AI-PRO</w:t>
            </w:r>
          </w:p>
        </w:tc>
        <w:tc>
          <w:tcPr>
            <w:tcW w:w="23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Procedure</w:t>
            </w:r>
          </w:p>
        </w:tc>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AI-PRO-002 AI System Impact Assessment Procedure</w:t>
            </w:r>
          </w:p>
        </w:tc>
        <w:tc>
          <w:tcPr>
            <w:tcW w:w="6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AI-specific how-to procedures</w:t>
            </w:r>
          </w:p>
        </w:tc>
      </w:tr>
      <w:tr>
        <w:trPr/>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AI-REG</w:t>
            </w:r>
          </w:p>
        </w:tc>
        <w:tc>
          <w:tcPr>
            <w:tcW w:w="23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 Register</w:t>
            </w:r>
          </w:p>
        </w:tc>
        <w:tc>
          <w:tcPr>
            <w:tcW w:w="4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AI-REG-INV-001 AI System Inventory</w:t>
            </w:r>
          </w:p>
        </w:tc>
        <w:tc>
          <w:tcPr>
            <w:tcW w:w="6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AI-specific living datasets</w:t>
            </w:r>
          </w:p>
        </w:tc>
      </w:tr>
      <w:tr>
        <w:trPr/>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AI-MGT</w:t>
            </w:r>
          </w:p>
        </w:tc>
        <w:tc>
          <w:tcPr>
            <w:tcW w:w="23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Management record</w:t>
            </w:r>
          </w:p>
        </w:tc>
        <w:tc>
          <w:tcPr>
            <w:tcW w:w="4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AI-MGT-MR-LOG AIMS Management Review Log</w:t>
            </w:r>
          </w:p>
        </w:tc>
        <w:tc>
          <w:tcPr>
            <w:tcW w:w="6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AI-specific management records</w:t>
            </w:r>
          </w:p>
        </w:tc>
      </w:tr>
    </w:tbl>
    <w:p>
      <w:pPr>
        <w:pStyle w:val="Heading1"/>
        <w:spacing w:before="360" w:after="180"/>
        <w:rPr/>
      </w:pPr>
      <w:r>
        <w:rPr>
          <w:rFonts w:eastAsia="Arial" w:cs="Arial" w:ascii="Arial" w:hAnsi="Arial"/>
          <w:b/>
          <w:bCs/>
          <w:color w:val="0000FF"/>
          <w:sz w:val="36"/>
          <w:szCs w:val="36"/>
        </w:rPr>
        <w:t>5. Tier Structure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AIMS uses a 5-tier document hierarchy mirroring the ISMS structure for consistency:</w:t>
      </w:r>
    </w:p>
    <w:p>
      <w:pPr>
        <w:pStyle w:val="Normal"/>
        <w:spacing w:before="60" w:after="60"/>
        <w:rPr/>
      </w:pPr>
      <w:r>
        <w:rPr/>
      </w:r>
    </w:p>
    <w:tbl>
      <w:tblPr>
        <w:tblW w:w="12400" w:type="dxa"/>
        <w:jc w:val="start"/>
        <w:tblInd w:w="0" w:type="dxa"/>
        <w:tblLayout w:type="fixed"/>
        <w:tblCellMar>
          <w:top w:w="80" w:type="dxa"/>
          <w:start w:w="120" w:type="dxa"/>
          <w:bottom w:w="80" w:type="dxa"/>
          <w:end w:w="120" w:type="dxa"/>
        </w:tblCellMar>
      </w:tblPr>
      <w:tblGrid>
        <w:gridCol w:w="1099"/>
        <w:gridCol w:w="2701"/>
        <w:gridCol w:w="5999"/>
        <w:gridCol w:w="2600"/>
      </w:tblGrid>
      <w:tr>
        <w:trPr>
          <w:tblHeader w:val="true"/>
        </w:trPr>
        <w:tc>
          <w:tcPr>
            <w:tcW w:w="10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TIER</w:t>
            </w:r>
          </w:p>
        </w:tc>
        <w:tc>
          <w:tcPr>
            <w:tcW w:w="27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DESCRIPTION</w:t>
            </w:r>
          </w:p>
        </w:tc>
        <w:tc>
          <w:tcPr>
            <w:tcW w:w="59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EXAMPLE</w:t>
            </w:r>
          </w:p>
        </w:tc>
        <w:tc>
          <w:tcPr>
            <w:tcW w:w="26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4"/>
                <w:szCs w:val="14"/>
              </w:rPr>
              <w:t>APPROVER</w:t>
            </w:r>
          </w:p>
        </w:tc>
      </w:tr>
      <w:tr>
        <w:trPr/>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Tier 1</w:t>
            </w:r>
          </w:p>
        </w:tc>
        <w:tc>
          <w:tcPr>
            <w:tcW w:w="2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Apex policy</w:t>
            </w:r>
          </w:p>
        </w:tc>
        <w:tc>
          <w:tcPr>
            <w:tcW w:w="5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AI-POL-001 AI Policy</w:t>
            </w:r>
          </w:p>
        </w:tc>
        <w:tc>
          <w:tcPr>
            <w:tcW w:w="2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Chief Executive Officer</w:t>
            </w:r>
          </w:p>
        </w:tc>
      </w:tr>
      <w:tr>
        <w:trPr/>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Tier 2</w:t>
            </w:r>
          </w:p>
        </w:tc>
        <w:tc>
          <w:tcPr>
            <w:tcW w:w="2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Core AIMS documents</w:t>
            </w:r>
          </w:p>
        </w:tc>
        <w:tc>
          <w:tcPr>
            <w:tcW w:w="5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AIMS-SOA-001, AIMS-SCOPE-001, AIMS-RA-001, AIMS-RTP-001, AIMS-OBJ-001, AI-REG-RISK-001, AIMS-MAP-001</w:t>
            </w:r>
          </w:p>
        </w:tc>
        <w:tc>
          <w:tcPr>
            <w:tcW w:w="26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Chief Executive Officer</w:t>
            </w:r>
          </w:p>
        </w:tc>
      </w:tr>
      <w:tr>
        <w:trPr/>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Tier 3</w:t>
            </w:r>
          </w:p>
        </w:tc>
        <w:tc>
          <w:tcPr>
            <w:tcW w:w="2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Plans and programmes</w:t>
            </w:r>
          </w:p>
        </w:tc>
        <w:tc>
          <w:tcPr>
            <w:tcW w:w="5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AI-PLAN-IRP-001, AI-PROG-AUDIT-001, AI-PROG-COMP-001, AI-PROG-TRAIN-001</w:t>
            </w:r>
          </w:p>
        </w:tc>
        <w:tc>
          <w:tcPr>
            <w:tcW w:w="2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Chief Executive Officer</w:t>
            </w:r>
          </w:p>
        </w:tc>
      </w:tr>
      <w:tr>
        <w:trPr/>
        <w:tc>
          <w:tcPr>
            <w:tcW w:w="10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4"/>
                <w:szCs w:val="14"/>
              </w:rPr>
              <w:t>Tier 4</w:t>
            </w:r>
          </w:p>
        </w:tc>
        <w:tc>
          <w:tcPr>
            <w:tcW w:w="27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Subordinate AI policies</w:t>
            </w:r>
          </w:p>
        </w:tc>
        <w:tc>
          <w:tcPr>
            <w:tcW w:w="59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AI-POL-002 to AI-POL-010 — one per Annex A objective plus ethics</w:t>
            </w:r>
          </w:p>
        </w:tc>
        <w:tc>
          <w:tcPr>
            <w:tcW w:w="26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4"/>
                <w:szCs w:val="14"/>
              </w:rPr>
              <w:t>Chief Executive Officer</w:t>
            </w:r>
          </w:p>
        </w:tc>
      </w:tr>
      <w:tr>
        <w:trPr/>
        <w:tc>
          <w:tcPr>
            <w:tcW w:w="10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4"/>
                <w:szCs w:val="14"/>
              </w:rPr>
              <w:t>Tier 5</w:t>
            </w:r>
          </w:p>
        </w:tc>
        <w:tc>
          <w:tcPr>
            <w:tcW w:w="27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Procedures, registers, and governance records</w:t>
            </w:r>
          </w:p>
        </w:tc>
        <w:tc>
          <w:tcPr>
            <w:tcW w:w="59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AI-PRO-xxx, AI-REG-xxx, AI-MGT-RACI-001, AI-MGT-MR-LOG</w:t>
            </w:r>
          </w:p>
        </w:tc>
        <w:tc>
          <w:tcPr>
            <w:tcW w:w="26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4"/>
                <w:szCs w:val="14"/>
              </w:rPr>
              <w:t>AI Governance Lead</w:t>
            </w:r>
          </w:p>
        </w:tc>
      </w:tr>
    </w:tbl>
    <w:p>
      <w:pPr>
        <w:pStyle w:val="Heading1"/>
        <w:spacing w:before="360" w:after="180"/>
        <w:rPr/>
      </w:pPr>
      <w:r>
        <w:rPr>
          <w:rFonts w:eastAsia="Arial" w:cs="Arial" w:ascii="Arial" w:hAnsi="Arial"/>
          <w:b/>
          <w:bCs/>
          <w:color w:val="0000FF"/>
          <w:sz w:val="36"/>
          <w:szCs w:val="36"/>
        </w:rPr>
        <w:t>6. The Map</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full AIMS document set is recorded in the AIMS Master Document List (AIMS-MASTER-001), which is the authoritative inventory. This Map describes the structure; the Master List records every document with version, status, and Annex A coverage.</w:t>
      </w:r>
    </w:p>
    <w:p>
      <w:pPr>
        <w:pStyle w:val="Heading1"/>
        <w:spacing w:before="360" w:after="180"/>
        <w:rPr/>
      </w:pPr>
      <w:r>
        <w:rPr>
          <w:rFonts w:eastAsia="Arial" w:cs="Arial" w:ascii="Arial" w:hAnsi="Arial"/>
          <w:b/>
          <w:bCs/>
          <w:color w:val="0000FF"/>
          <w:sz w:val="36"/>
          <w:szCs w:val="36"/>
        </w:rPr>
        <w:t>7. Document Lifecycle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Documents are created on issue, approved by the appropriate authority, and assigned version 1.0.</w:t>
      </w:r>
    </w:p>
    <w:p>
      <w:pPr>
        <w:pStyle w:val="ListParagraph"/>
        <w:numPr>
          <w:ilvl w:val="0"/>
          <w:numId w:val="1"/>
        </w:numPr>
        <w:spacing w:lineRule="exact" w:line="280" w:before="40" w:after="40"/>
        <w:rPr/>
      </w:pPr>
      <w:r>
        <w:rPr>
          <w:rFonts w:eastAsia="Arial" w:cs="Arial"/>
          <w:color w:val="1A1A1A"/>
          <w:sz w:val="22"/>
          <w:szCs w:val="22"/>
        </w:rPr>
        <w:t>Material changes increment the major version (1.0 → 2.0); minor editorial changes increment the minor version (1.0 → 1.1).</w:t>
      </w:r>
    </w:p>
    <w:p>
      <w:pPr>
        <w:pStyle w:val="ListParagraph"/>
        <w:numPr>
          <w:ilvl w:val="0"/>
          <w:numId w:val="1"/>
        </w:numPr>
        <w:spacing w:lineRule="exact" w:line="280" w:before="40" w:after="40"/>
        <w:rPr/>
      </w:pPr>
      <w:r>
        <w:rPr>
          <w:rFonts w:eastAsia="Arial" w:cs="Arial"/>
          <w:color w:val="1A1A1A"/>
          <w:sz w:val="22"/>
          <w:szCs w:val="22"/>
        </w:rPr>
        <w:t>Each document has a Next Review date; review at the date confirms continued applicability or triggers revision.</w:t>
      </w:r>
    </w:p>
    <w:p>
      <w:pPr>
        <w:pStyle w:val="ListParagraph"/>
        <w:numPr>
          <w:ilvl w:val="0"/>
          <w:numId w:val="1"/>
        </w:numPr>
        <w:spacing w:lineRule="exact" w:line="280" w:before="40" w:after="40"/>
        <w:rPr/>
      </w:pPr>
      <w:r>
        <w:rPr>
          <w:rFonts w:eastAsia="Arial" w:cs="Arial"/>
          <w:color w:val="1A1A1A"/>
          <w:sz w:val="22"/>
          <w:szCs w:val="22"/>
        </w:rPr>
        <w:t>Superseded documents are retained per POL-009 and are recorded in the Master List with a closure date.</w:t>
      </w:r>
    </w:p>
    <w:p>
      <w:pPr>
        <w:pStyle w:val="Heading1"/>
        <w:spacing w:before="360" w:after="180"/>
        <w:rPr/>
      </w:pPr>
      <w:r>
        <w:rPr>
          <w:rFonts w:eastAsia="Arial" w:cs="Arial" w:ascii="Arial" w:hAnsi="Arial"/>
          <w:b/>
          <w:bCs/>
          <w:color w:val="0000FF"/>
          <w:sz w:val="36"/>
          <w:szCs w:val="36"/>
        </w:rPr>
        <w:t>8. Relationship with the ISMS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AIMS operates in parallel with the Cloudax ISMS. The two are kept structurally aligned: same tier hierarchy, same document control conventions, same branding, same approver path. Cross-references between the two are explicit.</w:t>
      </w:r>
    </w:p>
    <w:p>
      <w:pPr>
        <w:pStyle w:val="Normal"/>
        <w:spacing w:lineRule="exact" w:line="300" w:before="80" w:after="120"/>
        <w:rPr/>
      </w:pPr>
      <w:r>
        <w:rPr>
          <w:rFonts w:eastAsia="Arial" w:cs="Arial"/>
          <w:color w:val="1A1A1A"/>
          <w:sz w:val="22"/>
          <w:szCs w:val="22"/>
        </w:rPr>
        <w:t>Where an ISMS document and an AIMS document address overlapping topics (e.g. supplier security, incident response, training), the AIMS document is authoritative for AI-specific aspects and references the ISMS document for the underlying security/governance discipline.</w:t>
      </w:r>
    </w:p>
    <w:p>
      <w:pPr>
        <w:pStyle w:val="Heading1"/>
        <w:spacing w:before="360" w:after="180"/>
        <w:rPr/>
      </w:pPr>
      <w:r>
        <w:rPr>
          <w:rFonts w:eastAsia="Arial" w:cs="Arial" w:ascii="Arial" w:hAnsi="Arial"/>
          <w:b/>
          <w:bCs/>
          <w:color w:val="0000FF"/>
          <w:sz w:val="36"/>
          <w:szCs w:val="36"/>
        </w:rPr>
        <w:t>9. Maintenance</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This Map is reviewed at least annually and on material structural change to the AIMS.</w:t>
      </w:r>
    </w:p>
    <w:p>
      <w:pPr>
        <w:pStyle w:val="ListParagraph"/>
        <w:numPr>
          <w:ilvl w:val="0"/>
          <w:numId w:val="1"/>
        </w:numPr>
        <w:spacing w:lineRule="exact" w:line="280" w:before="40" w:after="40"/>
        <w:rPr/>
      </w:pPr>
      <w:r>
        <w:rPr>
          <w:rFonts w:eastAsia="Arial" w:cs="Arial"/>
          <w:color w:val="1A1A1A"/>
          <w:sz w:val="22"/>
          <w:szCs w:val="22"/>
        </w:rPr>
        <w:t>Material structural change is approved by the Chief Executive Officer.</w:t>
      </w:r>
    </w:p>
    <w:p>
      <w:pPr>
        <w:pStyle w:val="ListParagraph"/>
        <w:numPr>
          <w:ilvl w:val="0"/>
          <w:numId w:val="1"/>
        </w:numPr>
        <w:spacing w:lineRule="exact" w:line="280" w:before="40" w:after="40"/>
        <w:rPr/>
      </w:pPr>
      <w:r>
        <w:rPr>
          <w:rFonts w:eastAsia="Arial" w:cs="Arial"/>
          <w:color w:val="1A1A1A"/>
          <w:sz w:val="22"/>
          <w:szCs w:val="22"/>
        </w:rPr>
        <w:t>The Map is reconciled with the AIMS Master Document List at every review.</w:t>
      </w:r>
    </w:p>
    <w:p>
      <w:pPr>
        <w:pStyle w:val="Normal"/>
        <w:spacing w:before="60" w:after="60"/>
        <w:rPr/>
      </w:pPr>
      <w:r>
        <w:rPr/>
      </w:r>
    </w:p>
    <w:p>
      <w:pPr>
        <w:pStyle w:val="Heading1"/>
        <w:spacing w:before="360" w:after="180"/>
        <w:rPr/>
      </w:pPr>
      <w:r>
        <w:rPr>
          <w:rFonts w:eastAsia="Arial" w:cs="Arial" w:ascii="Arial" w:hAnsi="Arial"/>
          <w:b/>
          <w:bCs/>
          <w:color w:val="0000FF"/>
          <w:sz w:val="36"/>
          <w:szCs w:val="36"/>
        </w:rPr>
        <w:t>Annex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AI Governance Lead</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5-tier document hierarchy parallel to the ISMS.</w:t>
            </w:r>
          </w:p>
        </w:tc>
      </w:tr>
    </w:tbl>
    <w:sectPr>
      <w:headerReference w:type="even" r:id="rId3"/>
      <w:headerReference w:type="default" r:id="rId4"/>
      <w:headerReference w:type="first" r:id="rId5"/>
      <w:footerReference w:type="even" r:id="rId6"/>
      <w:footerReference w:type="default" r:id="rId7"/>
      <w:footerReference w:type="first" r:id="rId8"/>
      <w:type w:val="nextPage"/>
      <w:pgSz w:orient="landscape" w:w="16838" w:h="11906"/>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7200" w:leader="none"/>
        <w:tab w:val="right" w:pos="14400" w:leader="none"/>
      </w:tabs>
      <w:spacing w:before="0" w:after="0"/>
      <w:rPr/>
    </w:pPr>
    <w:r>
      <w:rPr>
        <w:rFonts w:eastAsia="Arial" w:cs="Arial"/>
        <w:color w:val="1A1A1A"/>
        <w:sz w:val="18"/>
        <w:szCs w:val="18"/>
      </w:rPr>
      <w:t xml:space="preserve">AIMS-MAP-001 AIMS Document Map  •  Internal  </w:t>
      <w:tab/>
      <w:t>v1.0  •  April 2026</w:t>
      <w:tab/>
      <w:t xml:space="preserve">Page </w:t>
    </w:r>
    <w:r>
      <w:rPr/>
      <w:fldChar w:fldCharType="begin"/>
    </w:r>
    <w:r>
      <w:rPr/>
      <w:instrText xml:space="preserve"> PAGE </w:instrText>
    </w:r>
    <w:r>
      <w:rPr/>
      <w:fldChar w:fldCharType="separate"/>
    </w:r>
    <w:r>
      <w:rPr/>
      <w:t>6</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7200" w:leader="none"/>
        <w:tab w:val="right" w:pos="14400" w:leader="none"/>
      </w:tabs>
      <w:spacing w:before="0" w:after="0"/>
      <w:rPr/>
    </w:pPr>
    <w:r>
      <w:rPr>
        <w:rFonts w:eastAsia="Arial" w:cs="Arial"/>
        <w:color w:val="1A1A1A"/>
        <w:sz w:val="18"/>
        <w:szCs w:val="18"/>
      </w:rPr>
      <w:t xml:space="preserve">AIMS-MAP-001 AIMS Document Map  •  Internal  </w:t>
      <w:tab/>
      <w:t>v1.0  •  April 2026</w:t>
      <w:tab/>
      <w:t xml:space="preserve">Page </w:t>
    </w:r>
    <w:r>
      <w:rPr/>
      <w:fldChar w:fldCharType="begin"/>
    </w:r>
    <w:r>
      <w:rPr/>
      <w:instrText xml:space="preserve"> PAGE </w:instrText>
    </w:r>
    <w:r>
      <w:rPr/>
      <w:fldChar w:fldCharType="separate"/>
    </w:r>
    <w:r>
      <w:rPr/>
      <w:t>6</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2026-04-10T16:44:27Z</dcterms:created>
  <dc:creator>David Stokes</dc:creator>
  <dc:description/>
  <dc:language>en-US</dc:language>
  <cp:lastModifiedBy>David Stokes</cp:lastModifiedBy>
  <dcterms:modified xsi:type="dcterms:W3CDTF">2026-04-10T17:13:27Z</dcterms:modified>
  <cp:revision>1</cp:revision>
  <dc:subject/>
  <dc:title>Cloudax AIMS Document Map</dc:title>
</cp:coreProperties>
</file>

<file path=docProps/custom.xml><?xml version="1.0" encoding="utf-8"?>
<Properties xmlns="http://schemas.openxmlformats.org/officeDocument/2006/custom-properties" xmlns:vt="http://schemas.openxmlformats.org/officeDocument/2006/docPropsVTypes"/>
</file>