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AI Awareness and Training Programme</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AI-PROG-TRAIN-001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Awareness and Training Programme</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Programme Objectives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Audience and Cohorts</w:t>
      </w:r>
    </w:p>
    <w:p>
      <w:pPr>
        <w:pStyle w:val="Normal"/>
        <w:spacing w:before="40" w:after="40"/>
        <w:rPr/>
      </w:pPr>
      <w:r>
        <w:rPr>
          <w:rFonts w:eastAsia="Arial" w:cs="Arial"/>
          <w:color w:val="1A1A1A"/>
          <w:sz w:val="22"/>
          <w:szCs w:val="22"/>
        </w:rPr>
        <w:t>7. Curriculum</w:t>
      </w:r>
    </w:p>
    <w:p>
      <w:pPr>
        <w:pStyle w:val="Normal"/>
        <w:spacing w:before="40" w:after="40"/>
        <w:rPr/>
      </w:pPr>
      <w:r>
        <w:rPr>
          <w:rFonts w:eastAsia="Arial" w:cs="Arial"/>
          <w:color w:val="1A1A1A"/>
          <w:sz w:val="22"/>
          <w:szCs w:val="22"/>
        </w:rPr>
        <w:t xml:space="preserve">   </w:t>
      </w:r>
      <w:r>
        <w:rPr>
          <w:rFonts w:eastAsia="Arial" w:cs="Arial"/>
          <w:color w:val="1A1A1A"/>
          <w:sz w:val="22"/>
          <w:szCs w:val="22"/>
        </w:rPr>
        <w:t>7.1 All-Personnel Induction (AI Awareness)</w:t>
      </w:r>
    </w:p>
    <w:p>
      <w:pPr>
        <w:pStyle w:val="Normal"/>
        <w:spacing w:before="40" w:after="40"/>
        <w:rPr/>
      </w:pPr>
      <w:r>
        <w:rPr>
          <w:rFonts w:eastAsia="Arial" w:cs="Arial"/>
          <w:color w:val="1A1A1A"/>
          <w:sz w:val="22"/>
          <w:szCs w:val="22"/>
        </w:rPr>
        <w:t xml:space="preserve">   </w:t>
      </w:r>
      <w:r>
        <w:rPr>
          <w:rFonts w:eastAsia="Arial" w:cs="Arial"/>
          <w:color w:val="1A1A1A"/>
          <w:sz w:val="22"/>
          <w:szCs w:val="22"/>
        </w:rPr>
        <w:t>7.2 Annual Refresh</w:t>
      </w:r>
    </w:p>
    <w:p>
      <w:pPr>
        <w:pStyle w:val="Normal"/>
        <w:spacing w:before="40" w:after="40"/>
        <w:rPr/>
      </w:pPr>
      <w:r>
        <w:rPr>
          <w:rFonts w:eastAsia="Arial" w:cs="Arial"/>
          <w:color w:val="1A1A1A"/>
          <w:sz w:val="22"/>
          <w:szCs w:val="22"/>
        </w:rPr>
        <w:t xml:space="preserve">   </w:t>
      </w:r>
      <w:r>
        <w:rPr>
          <w:rFonts w:eastAsia="Arial" w:cs="Arial"/>
          <w:color w:val="1A1A1A"/>
          <w:sz w:val="22"/>
          <w:szCs w:val="22"/>
        </w:rPr>
        <w:t>7.3 Engineering / Product (AI Builders)</w:t>
      </w:r>
    </w:p>
    <w:p>
      <w:pPr>
        <w:pStyle w:val="Normal"/>
        <w:spacing w:before="40" w:after="40"/>
        <w:rPr/>
      </w:pPr>
      <w:r>
        <w:rPr>
          <w:rFonts w:eastAsia="Arial" w:cs="Arial"/>
          <w:color w:val="1A1A1A"/>
          <w:sz w:val="22"/>
          <w:szCs w:val="22"/>
        </w:rPr>
        <w:t xml:space="preserve">   </w:t>
      </w:r>
      <w:r>
        <w:rPr>
          <w:rFonts w:eastAsia="Arial" w:cs="Arial"/>
          <w:color w:val="1A1A1A"/>
          <w:sz w:val="22"/>
          <w:szCs w:val="22"/>
        </w:rPr>
        <w:t>7.4 AI Governance and Risk Leads</w:t>
      </w:r>
    </w:p>
    <w:p>
      <w:pPr>
        <w:pStyle w:val="Normal"/>
        <w:spacing w:before="40" w:after="40"/>
        <w:rPr/>
      </w:pPr>
      <w:r>
        <w:rPr>
          <w:rFonts w:eastAsia="Arial" w:cs="Arial"/>
          <w:color w:val="1A1A1A"/>
          <w:sz w:val="22"/>
          <w:szCs w:val="22"/>
        </w:rPr>
        <w:t xml:space="preserve">   </w:t>
      </w:r>
      <w:r>
        <w:rPr>
          <w:rFonts w:eastAsia="Arial" w:cs="Arial"/>
          <w:color w:val="1A1A1A"/>
          <w:sz w:val="22"/>
          <w:szCs w:val="22"/>
        </w:rPr>
        <w:t>7.5 Customer-Facing Personnel</w:t>
      </w:r>
    </w:p>
    <w:p>
      <w:pPr>
        <w:pStyle w:val="Normal"/>
        <w:spacing w:before="40" w:after="40"/>
        <w:rPr/>
      </w:pPr>
      <w:r>
        <w:rPr>
          <w:rFonts w:eastAsia="Arial" w:cs="Arial"/>
          <w:color w:val="1A1A1A"/>
          <w:sz w:val="22"/>
          <w:szCs w:val="22"/>
        </w:rPr>
        <w:t xml:space="preserve">   </w:t>
      </w:r>
      <w:r>
        <w:rPr>
          <w:rFonts w:eastAsia="Arial" w:cs="Arial"/>
          <w:color w:val="1A1A1A"/>
          <w:sz w:val="22"/>
          <w:szCs w:val="22"/>
        </w:rPr>
        <w:t>7.6 Leadership</w:t>
      </w:r>
    </w:p>
    <w:p>
      <w:pPr>
        <w:pStyle w:val="Normal"/>
        <w:spacing w:before="40" w:after="40"/>
        <w:rPr/>
      </w:pPr>
      <w:r>
        <w:rPr>
          <w:rFonts w:eastAsia="Arial" w:cs="Arial"/>
          <w:color w:val="1A1A1A"/>
          <w:sz w:val="22"/>
          <w:szCs w:val="22"/>
        </w:rPr>
        <w:t xml:space="preserve">   </w:t>
      </w:r>
      <w:r>
        <w:rPr>
          <w:rFonts w:eastAsia="Arial" w:cs="Arial"/>
          <w:color w:val="1A1A1A"/>
          <w:sz w:val="22"/>
          <w:szCs w:val="22"/>
        </w:rPr>
        <w:t>7.7 Just-in-Time</w:t>
      </w:r>
    </w:p>
    <w:p>
      <w:pPr>
        <w:pStyle w:val="Normal"/>
        <w:spacing w:before="40" w:after="40"/>
        <w:rPr/>
      </w:pPr>
      <w:r>
        <w:rPr>
          <w:rFonts w:eastAsia="Arial" w:cs="Arial"/>
          <w:color w:val="1A1A1A"/>
          <w:sz w:val="22"/>
          <w:szCs w:val="22"/>
        </w:rPr>
        <w:t>8. Delivery Mechanism</w:t>
      </w:r>
    </w:p>
    <w:p>
      <w:pPr>
        <w:pStyle w:val="Normal"/>
        <w:spacing w:before="40" w:after="40"/>
        <w:rPr/>
      </w:pPr>
      <w:r>
        <w:rPr>
          <w:rFonts w:eastAsia="Arial" w:cs="Arial"/>
          <w:color w:val="1A1A1A"/>
          <w:sz w:val="22"/>
          <w:szCs w:val="22"/>
        </w:rPr>
        <w:t>9. Records and Evidence</w:t>
      </w:r>
    </w:p>
    <w:p>
      <w:pPr>
        <w:pStyle w:val="Normal"/>
        <w:spacing w:before="40" w:after="40"/>
        <w:rPr/>
      </w:pPr>
      <w:r>
        <w:rPr>
          <w:rFonts w:eastAsia="Arial" w:cs="Arial"/>
          <w:color w:val="1A1A1A"/>
          <w:sz w:val="22"/>
          <w:szCs w:val="22"/>
        </w:rPr>
        <w:t>10. Effectiveness Measurement</w:t>
      </w:r>
    </w:p>
    <w:p>
      <w:pPr>
        <w:pStyle w:val="Normal"/>
        <w:spacing w:before="40" w:after="40"/>
        <w:rPr/>
      </w:pPr>
      <w:r>
        <w:rPr>
          <w:rFonts w:eastAsia="Arial" w:cs="Arial"/>
          <w:color w:val="1A1A1A"/>
          <w:sz w:val="22"/>
          <w:szCs w:val="22"/>
        </w:rPr>
        <w:t>11. Failure to Complete Training</w:t>
      </w:r>
    </w:p>
    <w:p>
      <w:pPr>
        <w:pStyle w:val="Normal"/>
        <w:spacing w:before="40" w:after="40"/>
        <w:rPr/>
      </w:pPr>
      <w:r>
        <w:rPr>
          <w:rFonts w:eastAsia="Arial" w:cs="Arial"/>
          <w:color w:val="1A1A1A"/>
          <w:sz w:val="22"/>
          <w:szCs w:val="22"/>
        </w:rPr>
        <w:t>12. Annual Plan and Calendar</w:t>
      </w:r>
    </w:p>
    <w:p>
      <w:pPr>
        <w:pStyle w:val="Normal"/>
        <w:spacing w:before="40" w:after="40"/>
        <w:rPr/>
      </w:pPr>
      <w:r>
        <w:rPr>
          <w:rFonts w:eastAsia="Arial" w:cs="Arial"/>
          <w:color w:val="1A1A1A"/>
          <w:sz w:val="22"/>
          <w:szCs w:val="22"/>
        </w:rPr>
        <w:t>13. Coordination with the ISMS Training Programme</w:t>
      </w:r>
    </w:p>
    <w:p>
      <w:pPr>
        <w:pStyle w:val="Normal"/>
        <w:spacing w:before="40" w:after="40"/>
        <w:rPr/>
      </w:pPr>
      <w:r>
        <w:rPr>
          <w:rFonts w:eastAsia="Arial" w:cs="Arial"/>
          <w:color w:val="1A1A1A"/>
          <w:sz w:val="22"/>
          <w:szCs w:val="22"/>
        </w:rPr>
        <w:t>14. Maintenance</w:t>
      </w:r>
    </w:p>
    <w:p>
      <w:pPr>
        <w:pStyle w:val="Normal"/>
        <w:spacing w:before="40" w:after="40"/>
        <w:rPr/>
      </w:pPr>
      <w:r>
        <w:rPr>
          <w:rFonts w:eastAsia="Arial" w:cs="Arial"/>
          <w:color w:val="1A1A1A"/>
          <w:sz w:val="22"/>
          <w:szCs w:val="22"/>
        </w:rPr>
        <w:t>15. Acknowledgement</w:t>
      </w:r>
    </w:p>
    <w:p>
      <w:pPr>
        <w:pStyle w:val="Normal"/>
        <w:spacing w:before="40" w:after="40"/>
        <w:rPr/>
      </w:pPr>
      <w:r>
        <w:rPr>
          <w:rFonts w:eastAsia="Arial" w:cs="Arial"/>
          <w:color w:val="1A1A1A"/>
          <w:sz w:val="22"/>
          <w:szCs w:val="22"/>
        </w:rPr>
        <w:t>Annex A — ISO/IEC 42001:2023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AI Awareness and Training Programme defines how Cloudax Ltd. develops and maintains AI awareness, education, and competence across its workforce. It implements Clauses 7.2 (Competence) and 7.3 (Awareness) of ISO/IEC 42001:2023 and supports A.4.6 Human resources.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 7.2 Competence; Cl. 7.3 Awareness; A.4.6 Human resources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Programme applies to all Cloudax personnel — directors, employees, contractors, consultants, agency workers — throughout their engagement with Cloudax. Where appropriate, elements are extended to suppliers and partners with privileged influence over Cloudax AI systems.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AI awareness: </w:t>
      </w:r>
      <w:r>
        <w:rPr>
          <w:rFonts w:eastAsia="Arial" w:cs="Arial"/>
          <w:color w:val="1A1A1A"/>
          <w:sz w:val="22"/>
          <w:szCs w:val="22"/>
        </w:rPr>
        <w:t>knowledge of Cloudax’s AI Policy, AI principles, and the part each person plays in responsible AI.</w:t>
      </w:r>
    </w:p>
    <w:p>
      <w:pPr>
        <w:pStyle w:val="ListParagraph"/>
        <w:numPr>
          <w:ilvl w:val="0"/>
          <w:numId w:val="1"/>
        </w:numPr>
        <w:spacing w:lineRule="exact" w:line="280" w:before="40" w:after="40"/>
        <w:rPr/>
      </w:pPr>
      <w:r>
        <w:rPr>
          <w:rFonts w:eastAsia="Arial" w:cs="Arial"/>
          <w:b/>
          <w:bCs/>
          <w:color w:val="1A1A1A"/>
          <w:sz w:val="22"/>
          <w:szCs w:val="22"/>
        </w:rPr>
        <w:t xml:space="preserve">AI competence: </w:t>
      </w:r>
      <w:r>
        <w:rPr>
          <w:rFonts w:eastAsia="Arial" w:cs="Arial"/>
          <w:color w:val="1A1A1A"/>
          <w:sz w:val="22"/>
          <w:szCs w:val="22"/>
        </w:rPr>
        <w:t>the ability to apply AI knowledge and skills appropriate to role.</w:t>
      </w:r>
    </w:p>
    <w:p>
      <w:pPr>
        <w:pStyle w:val="Heading1"/>
        <w:spacing w:before="360" w:after="180"/>
        <w:rPr/>
      </w:pPr>
      <w:r>
        <w:rPr>
          <w:rFonts w:eastAsia="Arial" w:cs="Arial" w:ascii="Arial" w:hAnsi="Arial"/>
          <w:b/>
          <w:bCs/>
          <w:color w:val="0000FF"/>
          <w:sz w:val="36"/>
          <w:szCs w:val="36"/>
        </w:rPr>
        <w:t>4. Programme Objectives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person engaged by Cloudax has the AI awareness needed to act in line with the AI Policy and to recognise and report AI risk.</w:t>
      </w:r>
    </w:p>
    <w:p>
      <w:pPr>
        <w:pStyle w:val="ListParagraph"/>
        <w:numPr>
          <w:ilvl w:val="0"/>
          <w:numId w:val="1"/>
        </w:numPr>
        <w:spacing w:lineRule="exact" w:line="280" w:before="40" w:after="40"/>
        <w:rPr/>
      </w:pPr>
      <w:r>
        <w:rPr>
          <w:rFonts w:eastAsia="Arial" w:cs="Arial"/>
          <w:color w:val="1A1A1A"/>
          <w:sz w:val="22"/>
          <w:szCs w:val="22"/>
        </w:rPr>
        <w:t>Every person in a role with AI responsibility has the competence needed to perform that role.</w:t>
      </w:r>
    </w:p>
    <w:p>
      <w:pPr>
        <w:pStyle w:val="ListParagraph"/>
        <w:numPr>
          <w:ilvl w:val="0"/>
          <w:numId w:val="1"/>
        </w:numPr>
        <w:spacing w:lineRule="exact" w:line="280" w:before="40" w:after="40"/>
        <w:rPr/>
      </w:pPr>
      <w:r>
        <w:rPr>
          <w:rFonts w:eastAsia="Arial" w:cs="Arial"/>
          <w:color w:val="1A1A1A"/>
          <w:sz w:val="22"/>
          <w:szCs w:val="22"/>
        </w:rPr>
        <w:t>AI awareness keeps pace with the evolving AI landscape — capabilities, risks, regulation.</w:t>
      </w:r>
    </w:p>
    <w:p>
      <w:pPr>
        <w:pStyle w:val="ListParagraph"/>
        <w:numPr>
          <w:ilvl w:val="0"/>
          <w:numId w:val="1"/>
        </w:numPr>
        <w:spacing w:lineRule="exact" w:line="280" w:before="40" w:after="40"/>
        <w:rPr/>
      </w:pPr>
      <w:r>
        <w:rPr>
          <w:rFonts w:eastAsia="Arial" w:cs="Arial"/>
          <w:color w:val="1A1A1A"/>
          <w:sz w:val="22"/>
          <w:szCs w:val="22"/>
        </w:rPr>
        <w:t>Records of AI training are complete, accurate, and available for audit.</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AI Governance Lead: </w:t>
      </w:r>
      <w:r>
        <w:rPr>
          <w:rFonts w:eastAsia="Arial" w:cs="Arial"/>
          <w:color w:val="1A1A1A"/>
          <w:sz w:val="22"/>
          <w:szCs w:val="22"/>
        </w:rPr>
        <w:t>owns this Programme; selects content; tracks completion; reports to management review.</w:t>
      </w:r>
    </w:p>
    <w:p>
      <w:pPr>
        <w:pStyle w:val="ListParagraph"/>
        <w:numPr>
          <w:ilvl w:val="0"/>
          <w:numId w:val="1"/>
        </w:numPr>
        <w:spacing w:lineRule="exact" w:line="280" w:before="40" w:after="40"/>
        <w:rPr/>
      </w:pPr>
      <w:r>
        <w:rPr>
          <w:rFonts w:eastAsia="Arial" w:cs="Arial"/>
          <w:b/>
          <w:bCs/>
          <w:color w:val="1A1A1A"/>
          <w:sz w:val="22"/>
          <w:szCs w:val="22"/>
        </w:rPr>
        <w:t xml:space="preserve">Chief Technology Officer: </w:t>
      </w:r>
      <w:r>
        <w:rPr>
          <w:rFonts w:eastAsia="Arial" w:cs="Arial"/>
          <w:color w:val="1A1A1A"/>
          <w:sz w:val="22"/>
          <w:szCs w:val="22"/>
        </w:rPr>
        <w:t>contributes content for AI Builder cohort; ensures engineering competence is current.</w:t>
      </w:r>
    </w:p>
    <w:p>
      <w:pPr>
        <w:pStyle w:val="ListParagraph"/>
        <w:numPr>
          <w:ilvl w:val="0"/>
          <w:numId w:val="1"/>
        </w:numPr>
        <w:spacing w:lineRule="exact" w:line="280" w:before="40" w:after="40"/>
        <w:rPr/>
      </w:pPr>
      <w:r>
        <w:rPr>
          <w:rFonts w:eastAsia="Arial" w:cs="Arial"/>
          <w:b/>
          <w:bCs/>
          <w:color w:val="1A1A1A"/>
          <w:sz w:val="22"/>
          <w:szCs w:val="22"/>
        </w:rPr>
        <w:t xml:space="preserve">Privacy Lead: </w:t>
      </w:r>
      <w:r>
        <w:rPr>
          <w:rFonts w:eastAsia="Arial" w:cs="Arial"/>
          <w:color w:val="1A1A1A"/>
          <w:sz w:val="22"/>
          <w:szCs w:val="22"/>
        </w:rPr>
        <w:t>contributes content on AI privacy, AISIA, and data subject impact.</w:t>
      </w:r>
    </w:p>
    <w:p>
      <w:pPr>
        <w:pStyle w:val="ListParagraph"/>
        <w:numPr>
          <w:ilvl w:val="0"/>
          <w:numId w:val="1"/>
        </w:numPr>
        <w:spacing w:lineRule="exact" w:line="280" w:before="40" w:after="40"/>
        <w:rPr/>
      </w:pPr>
      <w:r>
        <w:rPr>
          <w:rFonts w:eastAsia="Arial" w:cs="Arial"/>
          <w:b/>
          <w:bCs/>
          <w:color w:val="1A1A1A"/>
          <w:sz w:val="22"/>
          <w:szCs w:val="22"/>
        </w:rPr>
        <w:t xml:space="preserve">Line managers: </w:t>
      </w:r>
      <w:r>
        <w:rPr>
          <w:rFonts w:eastAsia="Arial" w:cs="Arial"/>
          <w:color w:val="1A1A1A"/>
          <w:sz w:val="22"/>
          <w:szCs w:val="22"/>
        </w:rPr>
        <w:t>ensure team members complete AI training on time; address gaps.</w:t>
      </w:r>
    </w:p>
    <w:p>
      <w:pPr>
        <w:pStyle w:val="ListParagraph"/>
        <w:numPr>
          <w:ilvl w:val="0"/>
          <w:numId w:val="1"/>
        </w:numPr>
        <w:spacing w:lineRule="exact" w:line="280" w:before="40" w:after="40"/>
        <w:rPr/>
      </w:pPr>
      <w:r>
        <w:rPr>
          <w:rFonts w:eastAsia="Arial" w:cs="Arial"/>
          <w:b/>
          <w:bCs/>
          <w:color w:val="1A1A1A"/>
          <w:sz w:val="22"/>
          <w:szCs w:val="22"/>
        </w:rPr>
        <w:t xml:space="preserve">All personnel: </w:t>
      </w:r>
      <w:r>
        <w:rPr>
          <w:rFonts w:eastAsia="Arial" w:cs="Arial"/>
          <w:color w:val="1A1A1A"/>
          <w:sz w:val="22"/>
          <w:szCs w:val="22"/>
        </w:rPr>
        <w:t>complete assigned training; engage with awareness content; act on what they learn.</w:t>
      </w:r>
    </w:p>
    <w:p>
      <w:pPr>
        <w:pStyle w:val="Heading1"/>
        <w:spacing w:before="360" w:after="180"/>
        <w:rPr/>
      </w:pPr>
      <w:r>
        <w:rPr>
          <w:rFonts w:eastAsia="Arial" w:cs="Arial" w:ascii="Arial" w:hAnsi="Arial"/>
          <w:b/>
          <w:bCs/>
          <w:color w:val="0000FF"/>
          <w:sz w:val="36"/>
          <w:szCs w:val="36"/>
        </w:rPr>
        <w:t>6. Audience and Cohorts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Personnel are assigned to cohorts based on role:</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2199"/>
        <w:gridCol w:w="3301"/>
        <w:gridCol w:w="3526"/>
      </w:tblGrid>
      <w:tr>
        <w:trPr>
          <w:tblHeader w:val="true"/>
        </w:trPr>
        <w:tc>
          <w:tcPr>
            <w:tcW w:w="2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COHORT</w:t>
            </w:r>
          </w:p>
        </w:tc>
        <w:tc>
          <w:tcPr>
            <w:tcW w:w="33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DESCRIPTION</w:t>
            </w:r>
          </w:p>
        </w:tc>
        <w:tc>
          <w:tcPr>
            <w:tcW w:w="35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EXAMPLE ROLES</w:t>
            </w:r>
          </w:p>
        </w:tc>
      </w:tr>
      <w:tr>
        <w:trPr/>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All-personnel</w:t>
            </w:r>
          </w:p>
        </w:tc>
        <w:tc>
          <w:tcPr>
            <w:tcW w:w="3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Universal AI baseline applicable to everyone.</w:t>
            </w:r>
          </w:p>
        </w:tc>
        <w:tc>
          <w:tcPr>
            <w:tcW w:w="35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All employees, contractors, agency workers.</w:t>
            </w:r>
          </w:p>
        </w:tc>
      </w:tr>
      <w:tr>
        <w:trPr/>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 Builders</w:t>
            </w:r>
          </w:p>
        </w:tc>
        <w:tc>
          <w:tcPr>
            <w:tcW w:w="3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Personnel designing, developing, training, fine-tuning, or operating AI systems.</w:t>
            </w:r>
          </w:p>
        </w:tc>
        <w:tc>
          <w:tcPr>
            <w:tcW w:w="35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Engineers, ML engineers, MLOps, CTO.</w:t>
            </w:r>
          </w:p>
        </w:tc>
      </w:tr>
      <w:tr>
        <w:trPr/>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 Governance and Risk</w:t>
            </w:r>
          </w:p>
        </w:tc>
        <w:tc>
          <w:tcPr>
            <w:tcW w:w="3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Personnel with specific AIMS accountability.</w:t>
            </w:r>
          </w:p>
        </w:tc>
        <w:tc>
          <w:tcPr>
            <w:tcW w:w="35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Governance Lead, Privacy Lead.</w:t>
            </w:r>
          </w:p>
        </w:tc>
      </w:tr>
      <w:tr>
        <w:trPr/>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Customer-facing</w:t>
            </w:r>
          </w:p>
        </w:tc>
        <w:tc>
          <w:tcPr>
            <w:tcW w:w="3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Personnel handling customer accounts, support, or commercial relationships involving AI features.</w:t>
            </w:r>
          </w:p>
        </w:tc>
        <w:tc>
          <w:tcPr>
            <w:tcW w:w="35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Customer Success, Sales, Support.</w:t>
            </w:r>
          </w:p>
        </w:tc>
      </w:tr>
      <w:tr>
        <w:trPr/>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Leadership</w:t>
            </w:r>
          </w:p>
        </w:tc>
        <w:tc>
          <w:tcPr>
            <w:tcW w:w="3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Senior personnel with AI sign-off authority and visible role.</w:t>
            </w:r>
          </w:p>
        </w:tc>
        <w:tc>
          <w:tcPr>
            <w:tcW w:w="35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CEO, CTO, leadership team.</w:t>
            </w:r>
          </w:p>
        </w:tc>
      </w:tr>
    </w:tbl>
    <w:p>
      <w:pPr>
        <w:pStyle w:val="Heading1"/>
        <w:spacing w:before="360" w:after="180"/>
        <w:rPr/>
      </w:pPr>
      <w:r>
        <w:rPr>
          <w:rFonts w:eastAsia="Arial" w:cs="Arial" w:ascii="Arial" w:hAnsi="Arial"/>
          <w:b/>
          <w:bCs/>
          <w:color w:val="0000FF"/>
          <w:sz w:val="36"/>
          <w:szCs w:val="36"/>
        </w:rPr>
        <w:t>7. Curriculum</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7.1 All-Personnel Induction (AI Awareness)</w:t>
      </w:r>
    </w:p>
    <w:p>
      <w:pPr>
        <w:pStyle w:val="Normal"/>
        <w:spacing w:lineRule="exact" w:line="300" w:before="80" w:after="120"/>
        <w:rPr/>
      </w:pPr>
      <w:r>
        <w:rPr>
          <w:rFonts w:eastAsia="Arial" w:cs="Arial"/>
          <w:color w:val="1A1A1A"/>
          <w:sz w:val="22"/>
          <w:szCs w:val="22"/>
        </w:rPr>
        <w:t>Every new joiner completes AI awareness as part of induction. Topics:</w:t>
      </w:r>
    </w:p>
    <w:p>
      <w:pPr>
        <w:pStyle w:val="ListParagraph"/>
        <w:numPr>
          <w:ilvl w:val="0"/>
          <w:numId w:val="1"/>
        </w:numPr>
        <w:spacing w:lineRule="exact" w:line="280" w:before="40" w:after="40"/>
        <w:rPr/>
      </w:pPr>
      <w:r>
        <w:rPr>
          <w:rFonts w:eastAsia="Arial" w:cs="Arial"/>
          <w:color w:val="1A1A1A"/>
          <w:sz w:val="22"/>
          <w:szCs w:val="22"/>
        </w:rPr>
        <w:t>Cloudax’s AI Policy and AI Principles.</w:t>
      </w:r>
    </w:p>
    <w:p>
      <w:pPr>
        <w:pStyle w:val="ListParagraph"/>
        <w:numPr>
          <w:ilvl w:val="0"/>
          <w:numId w:val="1"/>
        </w:numPr>
        <w:spacing w:lineRule="exact" w:line="280" w:before="40" w:after="40"/>
        <w:rPr/>
      </w:pPr>
      <w:r>
        <w:rPr>
          <w:rFonts w:eastAsia="Arial" w:cs="Arial"/>
          <w:color w:val="1A1A1A"/>
          <w:sz w:val="22"/>
          <w:szCs w:val="22"/>
        </w:rPr>
        <w:t>How AI is used in the Cloudax product.</w:t>
      </w:r>
    </w:p>
    <w:p>
      <w:pPr>
        <w:pStyle w:val="ListParagraph"/>
        <w:numPr>
          <w:ilvl w:val="0"/>
          <w:numId w:val="1"/>
        </w:numPr>
        <w:spacing w:lineRule="exact" w:line="280" w:before="40" w:after="40"/>
        <w:rPr/>
      </w:pPr>
      <w:r>
        <w:rPr>
          <w:rFonts w:eastAsia="Arial" w:cs="Arial"/>
          <w:color w:val="1A1A1A"/>
          <w:sz w:val="22"/>
          <w:szCs w:val="22"/>
        </w:rPr>
        <w:t>Responsible use of AI tools (generative AI, coding assistants) at work — what is permitted, what is restricted.</w:t>
      </w:r>
    </w:p>
    <w:p>
      <w:pPr>
        <w:pStyle w:val="ListParagraph"/>
        <w:numPr>
          <w:ilvl w:val="0"/>
          <w:numId w:val="1"/>
        </w:numPr>
        <w:spacing w:lineRule="exact" w:line="280" w:before="40" w:after="40"/>
        <w:rPr/>
      </w:pPr>
      <w:r>
        <w:rPr>
          <w:rFonts w:eastAsia="Arial" w:cs="Arial"/>
          <w:color w:val="1A1A1A"/>
          <w:sz w:val="22"/>
          <w:szCs w:val="22"/>
        </w:rPr>
        <w:t>Recognising AI bias, harm, and ethical concerns.</w:t>
      </w:r>
    </w:p>
    <w:p>
      <w:pPr>
        <w:pStyle w:val="ListParagraph"/>
        <w:numPr>
          <w:ilvl w:val="0"/>
          <w:numId w:val="1"/>
        </w:numPr>
        <w:spacing w:lineRule="exact" w:line="280" w:before="40" w:after="40"/>
        <w:rPr/>
      </w:pPr>
      <w:r>
        <w:rPr>
          <w:rFonts w:eastAsia="Arial" w:cs="Arial"/>
          <w:color w:val="1A1A1A"/>
          <w:sz w:val="22"/>
          <w:szCs w:val="22"/>
        </w:rPr>
        <w:t>How to report AI concerns through PRO-027 or directly to the AI Governance Lead.</w:t>
      </w:r>
    </w:p>
    <w:p>
      <w:pPr>
        <w:pStyle w:val="ListParagraph"/>
        <w:numPr>
          <w:ilvl w:val="0"/>
          <w:numId w:val="1"/>
        </w:numPr>
        <w:spacing w:lineRule="exact" w:line="280" w:before="40" w:after="40"/>
        <w:rPr/>
      </w:pPr>
      <w:r>
        <w:rPr>
          <w:rFonts w:eastAsia="Arial" w:cs="Arial"/>
          <w:color w:val="1A1A1A"/>
          <w:sz w:val="22"/>
          <w:szCs w:val="22"/>
        </w:rPr>
        <w:t>Confidentiality and data handling implications of AI tool use.</w:t>
      </w:r>
    </w:p>
    <w:p>
      <w:pPr>
        <w:pStyle w:val="Heading2"/>
        <w:spacing w:before="280" w:after="140"/>
        <w:rPr/>
      </w:pPr>
      <w:r>
        <w:rPr>
          <w:rFonts w:eastAsia="Arial" w:cs="Arial" w:ascii="Arial" w:hAnsi="Arial"/>
          <w:b/>
          <w:bCs/>
          <w:color w:val="0000FF"/>
          <w:sz w:val="28"/>
          <w:szCs w:val="28"/>
        </w:rPr>
        <w:t>7.2 Annual Refresh</w:t>
      </w:r>
    </w:p>
    <w:p>
      <w:pPr>
        <w:pStyle w:val="Normal"/>
        <w:spacing w:lineRule="exact" w:line="300" w:before="80" w:after="120"/>
        <w:rPr/>
      </w:pPr>
      <w:r>
        <w:rPr>
          <w:rFonts w:eastAsia="Arial" w:cs="Arial"/>
          <w:color w:val="1A1A1A"/>
          <w:sz w:val="22"/>
          <w:szCs w:val="22"/>
        </w:rPr>
        <w:t>All personnel complete annual refresher training that:</w:t>
      </w:r>
    </w:p>
    <w:p>
      <w:pPr>
        <w:pStyle w:val="ListParagraph"/>
        <w:numPr>
          <w:ilvl w:val="0"/>
          <w:numId w:val="1"/>
        </w:numPr>
        <w:spacing w:lineRule="exact" w:line="280" w:before="40" w:after="40"/>
        <w:rPr/>
      </w:pPr>
      <w:r>
        <w:rPr>
          <w:rFonts w:eastAsia="Arial" w:cs="Arial"/>
          <w:color w:val="1A1A1A"/>
          <w:sz w:val="22"/>
          <w:szCs w:val="22"/>
        </w:rPr>
        <w:t>Reaffirms the AI Policy and any material policy changes since the last cycle.</w:t>
      </w:r>
    </w:p>
    <w:p>
      <w:pPr>
        <w:pStyle w:val="ListParagraph"/>
        <w:numPr>
          <w:ilvl w:val="0"/>
          <w:numId w:val="1"/>
        </w:numPr>
        <w:spacing w:lineRule="exact" w:line="280" w:before="40" w:after="40"/>
        <w:rPr/>
      </w:pPr>
      <w:r>
        <w:rPr>
          <w:rFonts w:eastAsia="Arial" w:cs="Arial"/>
          <w:color w:val="1A1A1A"/>
          <w:sz w:val="22"/>
          <w:szCs w:val="22"/>
        </w:rPr>
        <w:t>Updates personnel on the AI threat landscape and regulatory changes.</w:t>
      </w:r>
    </w:p>
    <w:p>
      <w:pPr>
        <w:pStyle w:val="ListParagraph"/>
        <w:numPr>
          <w:ilvl w:val="0"/>
          <w:numId w:val="1"/>
        </w:numPr>
        <w:spacing w:lineRule="exact" w:line="280" w:before="40" w:after="40"/>
        <w:rPr/>
      </w:pPr>
      <w:r>
        <w:rPr>
          <w:rFonts w:eastAsia="Arial" w:cs="Arial"/>
          <w:color w:val="1A1A1A"/>
          <w:sz w:val="22"/>
          <w:szCs w:val="22"/>
        </w:rPr>
        <w:t>Reinforces responsible AI tool use.</w:t>
      </w:r>
    </w:p>
    <w:p>
      <w:pPr>
        <w:pStyle w:val="ListParagraph"/>
        <w:numPr>
          <w:ilvl w:val="0"/>
          <w:numId w:val="1"/>
        </w:numPr>
        <w:spacing w:lineRule="exact" w:line="280" w:before="40" w:after="40"/>
        <w:rPr/>
      </w:pPr>
      <w:r>
        <w:rPr>
          <w:rFonts w:eastAsia="Arial" w:cs="Arial"/>
          <w:color w:val="1A1A1A"/>
          <w:sz w:val="22"/>
          <w:szCs w:val="22"/>
        </w:rPr>
        <w:t>Reinforces the principles of bias awareness, transparency, and human oversight.</w:t>
      </w:r>
    </w:p>
    <w:p>
      <w:pPr>
        <w:pStyle w:val="Heading2"/>
        <w:spacing w:before="280" w:after="140"/>
        <w:rPr/>
      </w:pPr>
      <w:r>
        <w:rPr>
          <w:rFonts w:eastAsia="Arial" w:cs="Arial" w:ascii="Arial" w:hAnsi="Arial"/>
          <w:b/>
          <w:bCs/>
          <w:color w:val="0000FF"/>
          <w:sz w:val="28"/>
          <w:szCs w:val="28"/>
        </w:rPr>
        <w:t>7.3 Engineering / Product (AI Builders)</w:t>
      </w:r>
    </w:p>
    <w:p>
      <w:pPr>
        <w:pStyle w:val="ListParagraph"/>
        <w:numPr>
          <w:ilvl w:val="0"/>
          <w:numId w:val="1"/>
        </w:numPr>
        <w:spacing w:lineRule="exact" w:line="280" w:before="40" w:after="40"/>
        <w:rPr/>
      </w:pPr>
      <w:r>
        <w:rPr>
          <w:rFonts w:eastAsia="Arial" w:cs="Arial"/>
          <w:color w:val="1A1A1A"/>
          <w:sz w:val="22"/>
          <w:szCs w:val="22"/>
        </w:rPr>
        <w:t>Responsible AI development principles.</w:t>
      </w:r>
    </w:p>
    <w:p>
      <w:pPr>
        <w:pStyle w:val="ListParagraph"/>
        <w:numPr>
          <w:ilvl w:val="0"/>
          <w:numId w:val="1"/>
        </w:numPr>
        <w:spacing w:lineRule="exact" w:line="280" w:before="40" w:after="40"/>
        <w:rPr/>
      </w:pPr>
      <w:r>
        <w:rPr>
          <w:rFonts w:eastAsia="Arial" w:cs="Arial"/>
          <w:color w:val="1A1A1A"/>
          <w:sz w:val="22"/>
          <w:szCs w:val="22"/>
        </w:rPr>
        <w:t>AISIA process and practical application.</w:t>
      </w:r>
    </w:p>
    <w:p>
      <w:pPr>
        <w:pStyle w:val="ListParagraph"/>
        <w:numPr>
          <w:ilvl w:val="0"/>
          <w:numId w:val="1"/>
        </w:numPr>
        <w:spacing w:lineRule="exact" w:line="280" w:before="40" w:after="40"/>
        <w:rPr/>
      </w:pPr>
      <w:r>
        <w:rPr>
          <w:rFonts w:eastAsia="Arial" w:cs="Arial"/>
          <w:color w:val="1A1A1A"/>
          <w:sz w:val="22"/>
          <w:szCs w:val="22"/>
        </w:rPr>
        <w:t>Bias and fairness in AI: detection, measurement, mitigation.</w:t>
      </w:r>
    </w:p>
    <w:p>
      <w:pPr>
        <w:pStyle w:val="ListParagraph"/>
        <w:numPr>
          <w:ilvl w:val="0"/>
          <w:numId w:val="1"/>
        </w:numPr>
        <w:spacing w:lineRule="exact" w:line="280" w:before="40" w:after="40"/>
        <w:rPr/>
      </w:pPr>
      <w:r>
        <w:rPr>
          <w:rFonts w:eastAsia="Arial" w:cs="Arial"/>
          <w:color w:val="1A1A1A"/>
          <w:sz w:val="22"/>
          <w:szCs w:val="22"/>
        </w:rPr>
        <w:t>AI security: prompt injection, jailbreaking, model theft, data poisoning.</w:t>
      </w:r>
    </w:p>
    <w:p>
      <w:pPr>
        <w:pStyle w:val="ListParagraph"/>
        <w:numPr>
          <w:ilvl w:val="0"/>
          <w:numId w:val="1"/>
        </w:numPr>
        <w:spacing w:lineRule="exact" w:line="280" w:before="40" w:after="40"/>
        <w:rPr/>
      </w:pPr>
      <w:r>
        <w:rPr>
          <w:rFonts w:eastAsia="Arial" w:cs="Arial"/>
          <w:color w:val="1A1A1A"/>
          <w:sz w:val="22"/>
          <w:szCs w:val="22"/>
        </w:rPr>
        <w:t>Production AI monitoring: drift, accuracy, fairness instruments, anomaly response.</w:t>
      </w:r>
    </w:p>
    <w:p>
      <w:pPr>
        <w:pStyle w:val="ListParagraph"/>
        <w:numPr>
          <w:ilvl w:val="0"/>
          <w:numId w:val="1"/>
        </w:numPr>
        <w:spacing w:lineRule="exact" w:line="280" w:before="40" w:after="40"/>
        <w:rPr/>
      </w:pPr>
      <w:r>
        <w:rPr>
          <w:rFonts w:eastAsia="Arial" w:cs="Arial"/>
          <w:color w:val="1A1A1A"/>
          <w:sz w:val="22"/>
          <w:szCs w:val="22"/>
        </w:rPr>
        <w:t>Data for AI: provenance, quality, preparation, lawful basis.</w:t>
      </w:r>
    </w:p>
    <w:p>
      <w:pPr>
        <w:pStyle w:val="ListParagraph"/>
        <w:numPr>
          <w:ilvl w:val="0"/>
          <w:numId w:val="1"/>
        </w:numPr>
        <w:spacing w:lineRule="exact" w:line="280" w:before="40" w:after="40"/>
        <w:rPr/>
      </w:pPr>
      <w:r>
        <w:rPr>
          <w:rFonts w:eastAsia="Arial" w:cs="Arial"/>
          <w:color w:val="1A1A1A"/>
          <w:sz w:val="22"/>
          <w:szCs w:val="22"/>
        </w:rPr>
        <w:t>AI-specific change management.</w:t>
      </w:r>
    </w:p>
    <w:p>
      <w:pPr>
        <w:pStyle w:val="ListParagraph"/>
        <w:numPr>
          <w:ilvl w:val="0"/>
          <w:numId w:val="1"/>
        </w:numPr>
        <w:spacing w:lineRule="exact" w:line="280" w:before="40" w:after="40"/>
        <w:rPr/>
      </w:pPr>
      <w:r>
        <w:rPr>
          <w:rFonts w:eastAsia="Arial" w:cs="Arial"/>
          <w:color w:val="1A1A1A"/>
          <w:sz w:val="22"/>
          <w:szCs w:val="22"/>
        </w:rPr>
        <w:t>AI documentation: model cards, system documentation, customer-facing documentation.</w:t>
      </w:r>
    </w:p>
    <w:p>
      <w:pPr>
        <w:pStyle w:val="Heading2"/>
        <w:spacing w:before="280" w:after="140"/>
        <w:rPr/>
      </w:pPr>
      <w:r>
        <w:rPr>
          <w:rFonts w:eastAsia="Arial" w:cs="Arial" w:ascii="Arial" w:hAnsi="Arial"/>
          <w:b/>
          <w:bCs/>
          <w:color w:val="0000FF"/>
          <w:sz w:val="28"/>
          <w:szCs w:val="28"/>
        </w:rPr>
        <w:t>7.4 AI Governance and Risk Leads</w:t>
      </w:r>
    </w:p>
    <w:p>
      <w:pPr>
        <w:pStyle w:val="ListParagraph"/>
        <w:numPr>
          <w:ilvl w:val="0"/>
          <w:numId w:val="1"/>
        </w:numPr>
        <w:spacing w:lineRule="exact" w:line="280" w:before="40" w:after="40"/>
        <w:rPr/>
      </w:pPr>
      <w:r>
        <w:rPr>
          <w:rFonts w:eastAsia="Arial" w:cs="Arial"/>
          <w:color w:val="1A1A1A"/>
          <w:sz w:val="22"/>
          <w:szCs w:val="22"/>
        </w:rPr>
        <w:t>ISO/IEC 42001:2023 in depth.</w:t>
      </w:r>
    </w:p>
    <w:p>
      <w:pPr>
        <w:pStyle w:val="ListParagraph"/>
        <w:numPr>
          <w:ilvl w:val="0"/>
          <w:numId w:val="1"/>
        </w:numPr>
        <w:spacing w:lineRule="exact" w:line="280" w:before="40" w:after="40"/>
        <w:rPr/>
      </w:pPr>
      <w:r>
        <w:rPr>
          <w:rFonts w:eastAsia="Arial" w:cs="Arial"/>
          <w:color w:val="1A1A1A"/>
          <w:sz w:val="22"/>
          <w:szCs w:val="22"/>
        </w:rPr>
        <w:t>Adjacent standards: ISO/IEC 22989, ISO/IEC 23894.</w:t>
      </w:r>
    </w:p>
    <w:p>
      <w:pPr>
        <w:pStyle w:val="ListParagraph"/>
        <w:numPr>
          <w:ilvl w:val="0"/>
          <w:numId w:val="1"/>
        </w:numPr>
        <w:spacing w:lineRule="exact" w:line="280" w:before="40" w:after="40"/>
        <w:rPr/>
      </w:pPr>
      <w:r>
        <w:rPr>
          <w:rFonts w:eastAsia="Arial" w:cs="Arial"/>
          <w:color w:val="1A1A1A"/>
          <w:sz w:val="22"/>
          <w:szCs w:val="22"/>
        </w:rPr>
        <w:t>Regulatory landscape: UK AI policy, EU AI Act, ICO AI guidance.</w:t>
      </w:r>
    </w:p>
    <w:p>
      <w:pPr>
        <w:pStyle w:val="ListParagraph"/>
        <w:numPr>
          <w:ilvl w:val="0"/>
          <w:numId w:val="1"/>
        </w:numPr>
        <w:spacing w:lineRule="exact" w:line="280" w:before="40" w:after="40"/>
        <w:rPr/>
      </w:pPr>
      <w:r>
        <w:rPr>
          <w:rFonts w:eastAsia="Arial" w:cs="Arial"/>
          <w:color w:val="1A1A1A"/>
          <w:sz w:val="22"/>
          <w:szCs w:val="22"/>
        </w:rPr>
        <w:t>AISIA methodology and facilitation.</w:t>
      </w:r>
    </w:p>
    <w:p>
      <w:pPr>
        <w:pStyle w:val="ListParagraph"/>
        <w:numPr>
          <w:ilvl w:val="0"/>
          <w:numId w:val="1"/>
        </w:numPr>
        <w:spacing w:lineRule="exact" w:line="280" w:before="40" w:after="40"/>
        <w:rPr/>
      </w:pPr>
      <w:r>
        <w:rPr>
          <w:rFonts w:eastAsia="Arial" w:cs="Arial"/>
          <w:color w:val="1A1A1A"/>
          <w:sz w:val="22"/>
          <w:szCs w:val="22"/>
        </w:rPr>
        <w:t>AI risk management at depth.</w:t>
      </w:r>
    </w:p>
    <w:p>
      <w:pPr>
        <w:pStyle w:val="ListParagraph"/>
        <w:numPr>
          <w:ilvl w:val="0"/>
          <w:numId w:val="1"/>
        </w:numPr>
        <w:spacing w:lineRule="exact" w:line="280" w:before="40" w:after="40"/>
        <w:rPr/>
      </w:pPr>
      <w:r>
        <w:rPr>
          <w:rFonts w:eastAsia="Arial" w:cs="Arial"/>
          <w:color w:val="1A1A1A"/>
          <w:sz w:val="22"/>
          <w:szCs w:val="22"/>
        </w:rPr>
        <w:t>AI incident response leadership.</w:t>
      </w:r>
    </w:p>
    <w:p>
      <w:pPr>
        <w:pStyle w:val="ListParagraph"/>
        <w:numPr>
          <w:ilvl w:val="0"/>
          <w:numId w:val="1"/>
        </w:numPr>
        <w:spacing w:lineRule="exact" w:line="280" w:before="40" w:after="40"/>
        <w:rPr/>
      </w:pPr>
      <w:r>
        <w:rPr>
          <w:rFonts w:eastAsia="Arial" w:cs="Arial"/>
          <w:color w:val="1A1A1A"/>
          <w:sz w:val="22"/>
          <w:szCs w:val="22"/>
        </w:rPr>
        <w:t>Engagement with regulators on AI matters.</w:t>
      </w:r>
    </w:p>
    <w:p>
      <w:pPr>
        <w:pStyle w:val="Heading2"/>
        <w:spacing w:before="280" w:after="140"/>
        <w:rPr/>
      </w:pPr>
      <w:r>
        <w:rPr>
          <w:rFonts w:eastAsia="Arial" w:cs="Arial" w:ascii="Arial" w:hAnsi="Arial"/>
          <w:b/>
          <w:bCs/>
          <w:color w:val="0000FF"/>
          <w:sz w:val="28"/>
          <w:szCs w:val="28"/>
        </w:rPr>
        <w:t>7.5 Customer-Facing Personnel</w:t>
      </w:r>
    </w:p>
    <w:p>
      <w:pPr>
        <w:pStyle w:val="ListParagraph"/>
        <w:numPr>
          <w:ilvl w:val="0"/>
          <w:numId w:val="1"/>
        </w:numPr>
        <w:spacing w:lineRule="exact" w:line="280" w:before="40" w:after="40"/>
        <w:rPr/>
      </w:pPr>
      <w:r>
        <w:rPr>
          <w:rFonts w:eastAsia="Arial" w:cs="Arial"/>
          <w:color w:val="1A1A1A"/>
          <w:sz w:val="22"/>
          <w:szCs w:val="22"/>
        </w:rPr>
        <w:t>Cloudax AI capabilities and limitations — what to communicate to customers.</w:t>
      </w:r>
    </w:p>
    <w:p>
      <w:pPr>
        <w:pStyle w:val="ListParagraph"/>
        <w:numPr>
          <w:ilvl w:val="0"/>
          <w:numId w:val="1"/>
        </w:numPr>
        <w:spacing w:lineRule="exact" w:line="280" w:before="40" w:after="40"/>
        <w:rPr/>
      </w:pPr>
      <w:r>
        <w:rPr>
          <w:rFonts w:eastAsia="Arial" w:cs="Arial"/>
          <w:color w:val="1A1A1A"/>
          <w:sz w:val="22"/>
          <w:szCs w:val="22"/>
        </w:rPr>
        <w:t>Customer questions about AI — how to answer; when to escalate.</w:t>
      </w:r>
    </w:p>
    <w:p>
      <w:pPr>
        <w:pStyle w:val="ListParagraph"/>
        <w:numPr>
          <w:ilvl w:val="0"/>
          <w:numId w:val="1"/>
        </w:numPr>
        <w:spacing w:lineRule="exact" w:line="280" w:before="40" w:after="40"/>
        <w:rPr/>
      </w:pPr>
      <w:r>
        <w:rPr>
          <w:rFonts w:eastAsia="Arial" w:cs="Arial"/>
          <w:color w:val="1A1A1A"/>
          <w:sz w:val="22"/>
          <w:szCs w:val="22"/>
        </w:rPr>
        <w:t>Recognising AI-related customer concerns; escalation paths.</w:t>
      </w:r>
    </w:p>
    <w:p>
      <w:pPr>
        <w:pStyle w:val="ListParagraph"/>
        <w:numPr>
          <w:ilvl w:val="0"/>
          <w:numId w:val="1"/>
        </w:numPr>
        <w:spacing w:lineRule="exact" w:line="280" w:before="40" w:after="40"/>
        <w:rPr/>
      </w:pPr>
      <w:r>
        <w:rPr>
          <w:rFonts w:eastAsia="Arial" w:cs="Arial"/>
          <w:color w:val="1A1A1A"/>
          <w:sz w:val="22"/>
          <w:szCs w:val="22"/>
        </w:rPr>
        <w:t>AI incident communication — what is shared, by whom, when.</w:t>
      </w:r>
    </w:p>
    <w:p>
      <w:pPr>
        <w:pStyle w:val="Heading2"/>
        <w:spacing w:before="280" w:after="140"/>
        <w:rPr/>
      </w:pPr>
      <w:r>
        <w:rPr>
          <w:rFonts w:eastAsia="Arial" w:cs="Arial" w:ascii="Arial" w:hAnsi="Arial"/>
          <w:b/>
          <w:bCs/>
          <w:color w:val="0000FF"/>
          <w:sz w:val="28"/>
          <w:szCs w:val="28"/>
        </w:rPr>
        <w:t>7.6 Leadership</w:t>
      </w:r>
    </w:p>
    <w:p>
      <w:pPr>
        <w:pStyle w:val="ListParagraph"/>
        <w:numPr>
          <w:ilvl w:val="0"/>
          <w:numId w:val="1"/>
        </w:numPr>
        <w:spacing w:lineRule="exact" w:line="280" w:before="40" w:after="40"/>
        <w:rPr/>
      </w:pPr>
      <w:r>
        <w:rPr>
          <w:rFonts w:eastAsia="Arial" w:cs="Arial"/>
          <w:color w:val="1A1A1A"/>
          <w:sz w:val="22"/>
          <w:szCs w:val="22"/>
        </w:rPr>
        <w:t>AIMS performance reporting.</w:t>
      </w:r>
    </w:p>
    <w:p>
      <w:pPr>
        <w:pStyle w:val="ListParagraph"/>
        <w:numPr>
          <w:ilvl w:val="0"/>
          <w:numId w:val="1"/>
        </w:numPr>
        <w:spacing w:lineRule="exact" w:line="280" w:before="40" w:after="40"/>
        <w:rPr/>
      </w:pPr>
      <w:r>
        <w:rPr>
          <w:rFonts w:eastAsia="Arial" w:cs="Arial"/>
          <w:color w:val="1A1A1A"/>
          <w:sz w:val="22"/>
          <w:szCs w:val="22"/>
        </w:rPr>
        <w:t>AI risk acceptance authority.</w:t>
      </w:r>
    </w:p>
    <w:p>
      <w:pPr>
        <w:pStyle w:val="ListParagraph"/>
        <w:numPr>
          <w:ilvl w:val="0"/>
          <w:numId w:val="1"/>
        </w:numPr>
        <w:spacing w:lineRule="exact" w:line="280" w:before="40" w:after="40"/>
        <w:rPr/>
      </w:pPr>
      <w:r>
        <w:rPr>
          <w:rFonts w:eastAsia="Arial" w:cs="Arial"/>
          <w:color w:val="1A1A1A"/>
          <w:sz w:val="22"/>
          <w:szCs w:val="22"/>
        </w:rPr>
        <w:t>AI regulatory landscape briefings.</w:t>
      </w:r>
    </w:p>
    <w:p>
      <w:pPr>
        <w:pStyle w:val="ListParagraph"/>
        <w:numPr>
          <w:ilvl w:val="0"/>
          <w:numId w:val="1"/>
        </w:numPr>
        <w:spacing w:lineRule="exact" w:line="280" w:before="40" w:after="40"/>
        <w:rPr/>
      </w:pPr>
      <w:r>
        <w:rPr>
          <w:rFonts w:eastAsia="Arial" w:cs="Arial"/>
          <w:color w:val="1A1A1A"/>
          <w:sz w:val="22"/>
          <w:szCs w:val="22"/>
        </w:rPr>
        <w:t>AI ethical decision-making.</w:t>
      </w:r>
    </w:p>
    <w:p>
      <w:pPr>
        <w:pStyle w:val="Heading2"/>
        <w:spacing w:before="280" w:after="140"/>
        <w:rPr/>
      </w:pPr>
      <w:r>
        <w:rPr>
          <w:rFonts w:eastAsia="Arial" w:cs="Arial" w:ascii="Arial" w:hAnsi="Arial"/>
          <w:b/>
          <w:bCs/>
          <w:color w:val="0000FF"/>
          <w:sz w:val="28"/>
          <w:szCs w:val="28"/>
        </w:rPr>
        <w:t>7.7 Just-in-Time</w:t>
      </w:r>
    </w:p>
    <w:p>
      <w:pPr>
        <w:pStyle w:val="Normal"/>
        <w:spacing w:lineRule="exact" w:line="300" w:before="80" w:after="120"/>
        <w:rPr/>
      </w:pPr>
      <w:r>
        <w:rPr>
          <w:rFonts w:eastAsia="Arial" w:cs="Arial"/>
          <w:color w:val="1A1A1A"/>
          <w:sz w:val="22"/>
          <w:szCs w:val="22"/>
        </w:rPr>
        <w:t>Targeted communications are issued in response to events:</w:t>
      </w:r>
    </w:p>
    <w:p>
      <w:pPr>
        <w:pStyle w:val="ListParagraph"/>
        <w:numPr>
          <w:ilvl w:val="0"/>
          <w:numId w:val="1"/>
        </w:numPr>
        <w:spacing w:lineRule="exact" w:line="280" w:before="40" w:after="40"/>
        <w:rPr/>
      </w:pPr>
      <w:r>
        <w:rPr>
          <w:rFonts w:eastAsia="Arial" w:cs="Arial"/>
          <w:color w:val="1A1A1A"/>
          <w:sz w:val="22"/>
          <w:szCs w:val="22"/>
        </w:rPr>
        <w:t>AI threat advisories specific to Cloudax’s technology stack.</w:t>
      </w:r>
    </w:p>
    <w:p>
      <w:pPr>
        <w:pStyle w:val="ListParagraph"/>
        <w:numPr>
          <w:ilvl w:val="0"/>
          <w:numId w:val="1"/>
        </w:numPr>
        <w:spacing w:lineRule="exact" w:line="280" w:before="40" w:after="40"/>
        <w:rPr/>
      </w:pPr>
      <w:r>
        <w:rPr>
          <w:rFonts w:eastAsia="Arial" w:cs="Arial"/>
          <w:color w:val="1A1A1A"/>
          <w:sz w:val="22"/>
          <w:szCs w:val="22"/>
        </w:rPr>
        <w:t>Lessons from AI incidents (anonymised as appropriate).</w:t>
      </w:r>
    </w:p>
    <w:p>
      <w:pPr>
        <w:pStyle w:val="ListParagraph"/>
        <w:numPr>
          <w:ilvl w:val="0"/>
          <w:numId w:val="1"/>
        </w:numPr>
        <w:spacing w:lineRule="exact" w:line="280" w:before="40" w:after="40"/>
        <w:rPr/>
      </w:pPr>
      <w:r>
        <w:rPr>
          <w:rFonts w:eastAsia="Arial" w:cs="Arial"/>
          <w:color w:val="1A1A1A"/>
          <w:sz w:val="22"/>
          <w:szCs w:val="22"/>
        </w:rPr>
        <w:t>Communication of new or revised AI policies.</w:t>
      </w:r>
    </w:p>
    <w:p>
      <w:pPr>
        <w:pStyle w:val="ListParagraph"/>
        <w:numPr>
          <w:ilvl w:val="0"/>
          <w:numId w:val="1"/>
        </w:numPr>
        <w:spacing w:lineRule="exact" w:line="280" w:before="40" w:after="40"/>
        <w:rPr/>
      </w:pPr>
      <w:r>
        <w:rPr>
          <w:rFonts w:eastAsia="Arial" w:cs="Arial"/>
          <w:color w:val="1A1A1A"/>
          <w:sz w:val="22"/>
          <w:szCs w:val="22"/>
        </w:rPr>
        <w:t>Regulatory developments requiring immediate awareness.</w:t>
      </w:r>
    </w:p>
    <w:p>
      <w:pPr>
        <w:pStyle w:val="Heading1"/>
        <w:spacing w:before="360" w:after="180"/>
        <w:rPr/>
      </w:pPr>
      <w:r>
        <w:rPr>
          <w:rFonts w:eastAsia="Arial" w:cs="Arial" w:ascii="Arial" w:hAnsi="Arial"/>
          <w:b/>
          <w:bCs/>
          <w:color w:val="0000FF"/>
          <w:sz w:val="36"/>
          <w:szCs w:val="36"/>
        </w:rPr>
        <w:t>8. Delivery Mechanism</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Standard content is delivered through an approved learning platform, supplemented by live sessions for cohort-specific training.</w:t>
      </w:r>
    </w:p>
    <w:p>
      <w:pPr>
        <w:pStyle w:val="ListParagraph"/>
        <w:numPr>
          <w:ilvl w:val="0"/>
          <w:numId w:val="1"/>
        </w:numPr>
        <w:spacing w:lineRule="exact" w:line="280" w:before="40" w:after="40"/>
        <w:rPr/>
      </w:pPr>
      <w:r>
        <w:rPr>
          <w:rFonts w:eastAsia="Arial" w:cs="Arial"/>
          <w:color w:val="1A1A1A"/>
          <w:sz w:val="22"/>
          <w:szCs w:val="22"/>
        </w:rPr>
        <w:t>Awareness communications are issued through Slack, Teams, or email channels as appropriate.</w:t>
      </w:r>
    </w:p>
    <w:p>
      <w:pPr>
        <w:pStyle w:val="ListParagraph"/>
        <w:numPr>
          <w:ilvl w:val="0"/>
          <w:numId w:val="1"/>
        </w:numPr>
        <w:spacing w:lineRule="exact" w:line="280" w:before="40" w:after="40"/>
        <w:rPr/>
      </w:pPr>
      <w:r>
        <w:rPr>
          <w:rFonts w:eastAsia="Arial" w:cs="Arial"/>
          <w:color w:val="1A1A1A"/>
          <w:sz w:val="22"/>
          <w:szCs w:val="22"/>
        </w:rPr>
        <w:t>Quick-reference materials (one-pagers, decision aids, AISIA templates) are made available in the AIMS / ISMS repository.</w:t>
      </w:r>
    </w:p>
    <w:p>
      <w:pPr>
        <w:pStyle w:val="Heading1"/>
        <w:spacing w:before="360" w:after="180"/>
        <w:rPr/>
      </w:pPr>
      <w:r>
        <w:rPr>
          <w:rFonts w:eastAsia="Arial" w:cs="Arial" w:ascii="Arial" w:hAnsi="Arial"/>
          <w:b/>
          <w:bCs/>
          <w:color w:val="0000FF"/>
          <w:sz w:val="36"/>
          <w:szCs w:val="36"/>
        </w:rPr>
        <w:t>9. Records and Evidence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The AI Governance Lead maintains the master AI Training Records evidencing completion by individual, cohort, course, and date.</w:t>
      </w:r>
    </w:p>
    <w:p>
      <w:pPr>
        <w:pStyle w:val="ListParagraph"/>
        <w:numPr>
          <w:ilvl w:val="0"/>
          <w:numId w:val="1"/>
        </w:numPr>
        <w:spacing w:lineRule="exact" w:line="280" w:before="40" w:after="40"/>
        <w:rPr/>
      </w:pPr>
      <w:r>
        <w:rPr>
          <w:rFonts w:eastAsia="Arial" w:cs="Arial"/>
          <w:color w:val="1A1A1A"/>
          <w:sz w:val="22"/>
          <w:szCs w:val="22"/>
        </w:rPr>
        <w:t>Records are retained per POL-009.</w:t>
      </w:r>
    </w:p>
    <w:p>
      <w:pPr>
        <w:pStyle w:val="ListParagraph"/>
        <w:numPr>
          <w:ilvl w:val="0"/>
          <w:numId w:val="1"/>
        </w:numPr>
        <w:spacing w:lineRule="exact" w:line="280" w:before="40" w:after="40"/>
        <w:rPr/>
      </w:pPr>
      <w:r>
        <w:rPr>
          <w:rFonts w:eastAsia="Arial" w:cs="Arial"/>
          <w:color w:val="1A1A1A"/>
          <w:sz w:val="22"/>
          <w:szCs w:val="22"/>
        </w:rPr>
        <w:t>Records are made available to the auditor on request.</w:t>
      </w:r>
    </w:p>
    <w:p>
      <w:pPr>
        <w:pStyle w:val="Heading1"/>
        <w:spacing w:before="360" w:after="180"/>
        <w:rPr/>
      </w:pPr>
      <w:r>
        <w:rPr>
          <w:rFonts w:eastAsia="Arial" w:cs="Arial" w:ascii="Arial" w:hAnsi="Arial"/>
          <w:b/>
          <w:bCs/>
          <w:color w:val="0000FF"/>
          <w:sz w:val="36"/>
          <w:szCs w:val="36"/>
        </w:rPr>
        <w:t>10. Effectiveness Measurement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Completion rate — target 100% within 30 days of due date.</w:t>
      </w:r>
    </w:p>
    <w:p>
      <w:pPr>
        <w:pStyle w:val="ListParagraph"/>
        <w:numPr>
          <w:ilvl w:val="0"/>
          <w:numId w:val="1"/>
        </w:numPr>
        <w:spacing w:lineRule="exact" w:line="280" w:before="40" w:after="40"/>
        <w:rPr/>
      </w:pPr>
      <w:r>
        <w:rPr>
          <w:rFonts w:eastAsia="Arial" w:cs="Arial"/>
          <w:color w:val="1A1A1A"/>
          <w:sz w:val="22"/>
          <w:szCs w:val="22"/>
        </w:rPr>
        <w:t>Knowledge checks built into training content.</w:t>
      </w:r>
    </w:p>
    <w:p>
      <w:pPr>
        <w:pStyle w:val="ListParagraph"/>
        <w:numPr>
          <w:ilvl w:val="0"/>
          <w:numId w:val="1"/>
        </w:numPr>
        <w:spacing w:lineRule="exact" w:line="280" w:before="40" w:after="40"/>
        <w:rPr/>
      </w:pPr>
      <w:r>
        <w:rPr>
          <w:rFonts w:eastAsia="Arial" w:cs="Arial"/>
          <w:color w:val="1A1A1A"/>
          <w:sz w:val="22"/>
          <w:szCs w:val="22"/>
        </w:rPr>
        <w:t>AI event reports — volume of personnel-reported AI concerns over time as a leading indicator of awareness.</w:t>
      </w:r>
    </w:p>
    <w:p>
      <w:pPr>
        <w:pStyle w:val="ListParagraph"/>
        <w:numPr>
          <w:ilvl w:val="0"/>
          <w:numId w:val="1"/>
        </w:numPr>
        <w:spacing w:lineRule="exact" w:line="280" w:before="40" w:after="40"/>
        <w:rPr/>
      </w:pPr>
      <w:r>
        <w:rPr>
          <w:rFonts w:eastAsia="Arial" w:cs="Arial"/>
          <w:color w:val="1A1A1A"/>
          <w:sz w:val="22"/>
          <w:szCs w:val="22"/>
        </w:rPr>
        <w:t>Periodic survey of personnel on AI policy familiarity.</w:t>
      </w:r>
    </w:p>
    <w:p>
      <w:pPr>
        <w:pStyle w:val="Heading1"/>
        <w:spacing w:before="360" w:after="180"/>
        <w:rPr/>
      </w:pPr>
      <w:r>
        <w:rPr>
          <w:rFonts w:eastAsia="Arial" w:cs="Arial" w:ascii="Arial" w:hAnsi="Arial"/>
          <w:b/>
          <w:bCs/>
          <w:color w:val="0000FF"/>
          <w:sz w:val="36"/>
          <w:szCs w:val="36"/>
        </w:rPr>
        <w:t>11. Failure to Complete Training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Personnel who do not complete required AI training within 30 days of due date are flagged to their line manager.</w:t>
      </w:r>
    </w:p>
    <w:p>
      <w:pPr>
        <w:pStyle w:val="ListParagraph"/>
        <w:numPr>
          <w:ilvl w:val="0"/>
          <w:numId w:val="1"/>
        </w:numPr>
        <w:spacing w:lineRule="exact" w:line="280" w:before="40" w:after="40"/>
        <w:rPr/>
      </w:pPr>
      <w:r>
        <w:rPr>
          <w:rFonts w:eastAsia="Arial" w:cs="Arial"/>
          <w:color w:val="1A1A1A"/>
          <w:sz w:val="22"/>
          <w:szCs w:val="22"/>
        </w:rPr>
        <w:t>Continued non-completion is escalated to the AI Governance Lead and may be addressed under POL-011 Disciplinary Policy.</w:t>
      </w:r>
    </w:p>
    <w:p>
      <w:pPr>
        <w:pStyle w:val="ListParagraph"/>
        <w:numPr>
          <w:ilvl w:val="0"/>
          <w:numId w:val="1"/>
        </w:numPr>
        <w:spacing w:lineRule="exact" w:line="280" w:before="40" w:after="40"/>
        <w:rPr/>
      </w:pPr>
      <w:r>
        <w:rPr>
          <w:rFonts w:eastAsia="Arial" w:cs="Arial"/>
          <w:color w:val="1A1A1A"/>
          <w:sz w:val="22"/>
          <w:szCs w:val="22"/>
        </w:rPr>
        <w:t>Where AI tool access is conditional on training, failure to complete may result in temporary loss of access.</w:t>
      </w:r>
    </w:p>
    <w:p>
      <w:pPr>
        <w:pStyle w:val="Heading1"/>
        <w:spacing w:before="360" w:after="180"/>
        <w:rPr/>
      </w:pPr>
      <w:r>
        <w:rPr>
          <w:rFonts w:eastAsia="Arial" w:cs="Arial" w:ascii="Arial" w:hAnsi="Arial"/>
          <w:b/>
          <w:bCs/>
          <w:color w:val="0000FF"/>
          <w:sz w:val="36"/>
          <w:szCs w:val="36"/>
        </w:rPr>
        <w:t>12. Annual Plan and Calendar</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 Governance Lead publishes a calendar at the start of each cycle showing:</w:t>
      </w:r>
    </w:p>
    <w:p>
      <w:pPr>
        <w:pStyle w:val="ListParagraph"/>
        <w:numPr>
          <w:ilvl w:val="0"/>
          <w:numId w:val="1"/>
        </w:numPr>
        <w:spacing w:lineRule="exact" w:line="280" w:before="40" w:after="40"/>
        <w:rPr/>
      </w:pPr>
      <w:r>
        <w:rPr>
          <w:rFonts w:eastAsia="Arial" w:cs="Arial"/>
          <w:color w:val="1A1A1A"/>
          <w:sz w:val="22"/>
          <w:szCs w:val="22"/>
        </w:rPr>
        <w:t>Compulsory AI annual refresh windows.</w:t>
      </w:r>
    </w:p>
    <w:p>
      <w:pPr>
        <w:pStyle w:val="ListParagraph"/>
        <w:numPr>
          <w:ilvl w:val="0"/>
          <w:numId w:val="1"/>
        </w:numPr>
        <w:spacing w:lineRule="exact" w:line="280" w:before="40" w:after="40"/>
        <w:rPr/>
      </w:pPr>
      <w:r>
        <w:rPr>
          <w:rFonts w:eastAsia="Arial" w:cs="Arial"/>
          <w:color w:val="1A1A1A"/>
          <w:sz w:val="22"/>
          <w:szCs w:val="22"/>
        </w:rPr>
        <w:t>Cohort-specific training scheduled for the cycle.</w:t>
      </w:r>
    </w:p>
    <w:p>
      <w:pPr>
        <w:pStyle w:val="ListParagraph"/>
        <w:numPr>
          <w:ilvl w:val="0"/>
          <w:numId w:val="1"/>
        </w:numPr>
        <w:spacing w:lineRule="exact" w:line="280" w:before="40" w:after="40"/>
        <w:rPr/>
      </w:pPr>
      <w:r>
        <w:rPr>
          <w:rFonts w:eastAsia="Arial" w:cs="Arial"/>
          <w:color w:val="1A1A1A"/>
          <w:sz w:val="22"/>
          <w:szCs w:val="22"/>
        </w:rPr>
        <w:t>AI-relevant external events worth attending (conferences, regulator engagement).</w:t>
      </w:r>
    </w:p>
    <w:p>
      <w:pPr>
        <w:pStyle w:val="ListParagraph"/>
        <w:numPr>
          <w:ilvl w:val="0"/>
          <w:numId w:val="1"/>
        </w:numPr>
        <w:spacing w:lineRule="exact" w:line="280" w:before="40" w:after="40"/>
        <w:rPr/>
      </w:pPr>
      <w:r>
        <w:rPr>
          <w:rFonts w:eastAsia="Arial" w:cs="Arial"/>
          <w:color w:val="1A1A1A"/>
          <w:sz w:val="22"/>
          <w:szCs w:val="22"/>
        </w:rPr>
        <w:t>Awareness campaigns aligned to relevant external events.</w:t>
      </w:r>
    </w:p>
    <w:p>
      <w:pPr>
        <w:pStyle w:val="Heading1"/>
        <w:spacing w:before="360" w:after="180"/>
        <w:rPr/>
      </w:pPr>
      <w:r>
        <w:rPr>
          <w:rFonts w:eastAsia="Arial" w:cs="Arial" w:ascii="Arial" w:hAnsi="Arial"/>
          <w:b/>
          <w:bCs/>
          <w:color w:val="0000FF"/>
          <w:sz w:val="36"/>
          <w:szCs w:val="36"/>
        </w:rPr>
        <w:t>13. Coordination with the ISMS Training Programme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training and information security training are delivered as a joint curriculum where practical, with AI-specific modules.</w:t>
      </w:r>
    </w:p>
    <w:p>
      <w:pPr>
        <w:pStyle w:val="ListParagraph"/>
        <w:numPr>
          <w:ilvl w:val="0"/>
          <w:numId w:val="1"/>
        </w:numPr>
        <w:spacing w:lineRule="exact" w:line="280" w:before="40" w:after="40"/>
        <w:rPr/>
      </w:pPr>
      <w:r>
        <w:rPr>
          <w:rFonts w:eastAsia="Arial" w:cs="Arial"/>
          <w:color w:val="1A1A1A"/>
          <w:sz w:val="22"/>
          <w:szCs w:val="22"/>
        </w:rPr>
        <w:t>The same training platform and records system are used for both.</w:t>
      </w:r>
    </w:p>
    <w:p>
      <w:pPr>
        <w:pStyle w:val="ListParagraph"/>
        <w:numPr>
          <w:ilvl w:val="0"/>
          <w:numId w:val="1"/>
        </w:numPr>
        <w:spacing w:lineRule="exact" w:line="280" w:before="40" w:after="40"/>
        <w:rPr/>
      </w:pPr>
      <w:r>
        <w:rPr>
          <w:rFonts w:eastAsia="Arial" w:cs="Arial"/>
          <w:color w:val="1A1A1A"/>
          <w:sz w:val="22"/>
          <w:szCs w:val="22"/>
        </w:rPr>
        <w:t>Personnel see one training calendar covering both.</w:t>
      </w:r>
    </w:p>
    <w:p>
      <w:pPr>
        <w:pStyle w:val="Heading1"/>
        <w:spacing w:before="360" w:after="180"/>
        <w:rPr/>
      </w:pPr>
      <w:r>
        <w:rPr>
          <w:rFonts w:eastAsia="Arial" w:cs="Arial" w:ascii="Arial" w:hAnsi="Arial"/>
          <w:b/>
          <w:bCs/>
          <w:color w:val="0000FF"/>
          <w:sz w:val="36"/>
          <w:szCs w:val="36"/>
        </w:rPr>
        <w:t>14.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Programme is reviewed at least annually and updated when material change occurs to the AI threat landscape, the Cloudax AI portfolio, or the regulatory environment.</w:t>
      </w:r>
    </w:p>
    <w:p>
      <w:pPr>
        <w:pStyle w:val="Heading1"/>
        <w:spacing w:before="360" w:after="180"/>
        <w:rPr/>
      </w:pPr>
      <w:r>
        <w:rPr>
          <w:rFonts w:eastAsia="Arial" w:cs="Arial" w:ascii="Arial" w:hAnsi="Arial"/>
          <w:b/>
          <w:bCs/>
          <w:color w:val="0000FF"/>
          <w:sz w:val="36"/>
          <w:szCs w:val="36"/>
        </w:rPr>
        <w:t>15.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Programme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42001:2023. The authoritative AIMS scope and Annex A control selection are recorded in the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7.2</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Competence</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Sections 6–7 establish competence requirements.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7.3</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Awareness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Sections 7.1, 7.2, and 7.7 establish awareness.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A.4.6</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Human resources</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The Programme is the operational mechanism for AI human resources.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A.3.3</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Reporting of concerns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Section 7.1 includes the channel.</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AI-PROG-TRAIN-001 AI Awareness and Training Programme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AI-PROG-TRAIN-001 AI Awareness and Training Programme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2026-04-22T08:05:14Z</dcterms:created>
  <dc:creator>David Stokes</dc:creator>
  <dc:description/>
  <dc:language>en-US</dc:language>
  <cp:lastModifiedBy>David Stokes</cp:lastModifiedBy>
  <dcterms:modified xsi:type="dcterms:W3CDTF">2026-04-22T10:34:14Z</dcterms:modified>
  <cp:revision>1</cp:revision>
  <dc:subject/>
  <dc:title>Cloudax AI Awareness and Training Programme</dc:title>
</cp:coreProperties>
</file>

<file path=docProps/custom.xml><?xml version="1.0" encoding="utf-8"?>
<Properties xmlns="http://schemas.openxmlformats.org/officeDocument/2006/custom-properties" xmlns:vt="http://schemas.openxmlformats.org/officeDocument/2006/docPropsVTypes"/>
</file>