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42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AI Incident Response Plan</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AI-PLAN-IRP-001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 Incident Response Plan</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AI Incident Categories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Detection</w:t>
      </w:r>
    </w:p>
    <w:p>
      <w:pPr>
        <w:pStyle w:val="Normal"/>
        <w:spacing w:before="40" w:after="40"/>
        <w:rPr/>
      </w:pPr>
      <w:r>
        <w:rPr>
          <w:rFonts w:eastAsia="Arial" w:cs="Arial"/>
          <w:color w:val="1A1A1A"/>
          <w:sz w:val="22"/>
          <w:szCs w:val="22"/>
        </w:rPr>
        <w:t>7. Triage and Classification</w:t>
      </w:r>
    </w:p>
    <w:p>
      <w:pPr>
        <w:pStyle w:val="Normal"/>
        <w:spacing w:before="40" w:after="40"/>
        <w:rPr/>
      </w:pPr>
      <w:r>
        <w:rPr>
          <w:rFonts w:eastAsia="Arial" w:cs="Arial"/>
          <w:color w:val="1A1A1A"/>
          <w:sz w:val="22"/>
          <w:szCs w:val="22"/>
        </w:rPr>
        <w:t>8. Severity Levels</w:t>
      </w:r>
    </w:p>
    <w:p>
      <w:pPr>
        <w:pStyle w:val="Normal"/>
        <w:spacing w:before="40" w:after="40"/>
        <w:rPr/>
      </w:pPr>
      <w:r>
        <w:rPr>
          <w:rFonts w:eastAsia="Arial" w:cs="Arial"/>
          <w:color w:val="1A1A1A"/>
          <w:sz w:val="22"/>
          <w:szCs w:val="22"/>
        </w:rPr>
        <w:t>9. Containment</w:t>
      </w:r>
    </w:p>
    <w:p>
      <w:pPr>
        <w:pStyle w:val="Normal"/>
        <w:spacing w:before="40" w:after="40"/>
        <w:rPr/>
      </w:pPr>
      <w:r>
        <w:rPr>
          <w:rFonts w:eastAsia="Arial" w:cs="Arial"/>
          <w:color w:val="1A1A1A"/>
          <w:sz w:val="22"/>
          <w:szCs w:val="22"/>
        </w:rPr>
        <w:t>10. Communication</w:t>
      </w:r>
    </w:p>
    <w:p>
      <w:pPr>
        <w:pStyle w:val="Normal"/>
        <w:spacing w:before="40" w:after="40"/>
        <w:rPr/>
      </w:pPr>
      <w:r>
        <w:rPr>
          <w:rFonts w:eastAsia="Arial" w:cs="Arial"/>
          <w:color w:val="1A1A1A"/>
          <w:sz w:val="22"/>
          <w:szCs w:val="22"/>
        </w:rPr>
        <w:t xml:space="preserve">   </w:t>
      </w:r>
      <w:r>
        <w:rPr>
          <w:rFonts w:eastAsia="Arial" w:cs="Arial"/>
          <w:color w:val="1A1A1A"/>
          <w:sz w:val="22"/>
          <w:szCs w:val="22"/>
        </w:rPr>
        <w:t>10.1 Internal</w:t>
      </w:r>
    </w:p>
    <w:p>
      <w:pPr>
        <w:pStyle w:val="Normal"/>
        <w:spacing w:before="40" w:after="40"/>
        <w:rPr/>
      </w:pPr>
      <w:r>
        <w:rPr>
          <w:rFonts w:eastAsia="Arial" w:cs="Arial"/>
          <w:color w:val="1A1A1A"/>
          <w:sz w:val="22"/>
          <w:szCs w:val="22"/>
        </w:rPr>
        <w:t xml:space="preserve">   </w:t>
      </w:r>
      <w:r>
        <w:rPr>
          <w:rFonts w:eastAsia="Arial" w:cs="Arial"/>
          <w:color w:val="1A1A1A"/>
          <w:sz w:val="22"/>
          <w:szCs w:val="22"/>
        </w:rPr>
        <w:t>10.2 Customer</w:t>
      </w:r>
    </w:p>
    <w:p>
      <w:pPr>
        <w:pStyle w:val="Normal"/>
        <w:spacing w:before="40" w:after="40"/>
        <w:rPr/>
      </w:pPr>
      <w:r>
        <w:rPr>
          <w:rFonts w:eastAsia="Arial" w:cs="Arial"/>
          <w:color w:val="1A1A1A"/>
          <w:sz w:val="22"/>
          <w:szCs w:val="22"/>
        </w:rPr>
        <w:t xml:space="preserve">   </w:t>
      </w:r>
      <w:r>
        <w:rPr>
          <w:rFonts w:eastAsia="Arial" w:cs="Arial"/>
          <w:color w:val="1A1A1A"/>
          <w:sz w:val="22"/>
          <w:szCs w:val="22"/>
        </w:rPr>
        <w:t>10.3 Regulator and ICO</w:t>
      </w:r>
    </w:p>
    <w:p>
      <w:pPr>
        <w:pStyle w:val="Normal"/>
        <w:spacing w:before="40" w:after="40"/>
        <w:rPr/>
      </w:pPr>
      <w:r>
        <w:rPr>
          <w:rFonts w:eastAsia="Arial" w:cs="Arial"/>
          <w:color w:val="1A1A1A"/>
          <w:sz w:val="22"/>
          <w:szCs w:val="22"/>
        </w:rPr>
        <w:t xml:space="preserve">   </w:t>
      </w:r>
      <w:r>
        <w:rPr>
          <w:rFonts w:eastAsia="Arial" w:cs="Arial"/>
          <w:color w:val="1A1A1A"/>
          <w:sz w:val="22"/>
          <w:szCs w:val="22"/>
        </w:rPr>
        <w:t>10.4 Public</w:t>
      </w:r>
    </w:p>
    <w:p>
      <w:pPr>
        <w:pStyle w:val="Normal"/>
        <w:spacing w:before="40" w:after="40"/>
        <w:rPr/>
      </w:pPr>
      <w:r>
        <w:rPr>
          <w:rFonts w:eastAsia="Arial" w:cs="Arial"/>
          <w:color w:val="1A1A1A"/>
          <w:sz w:val="22"/>
          <w:szCs w:val="22"/>
        </w:rPr>
        <w:t>11. Investigation and Eradication</w:t>
      </w:r>
    </w:p>
    <w:p>
      <w:pPr>
        <w:pStyle w:val="Normal"/>
        <w:spacing w:before="40" w:after="40"/>
        <w:rPr/>
      </w:pPr>
      <w:r>
        <w:rPr>
          <w:rFonts w:eastAsia="Arial" w:cs="Arial"/>
          <w:color w:val="1A1A1A"/>
          <w:sz w:val="22"/>
          <w:szCs w:val="22"/>
        </w:rPr>
        <w:t>12. Recovery and Resumption</w:t>
      </w:r>
    </w:p>
    <w:p>
      <w:pPr>
        <w:pStyle w:val="Normal"/>
        <w:spacing w:before="40" w:after="40"/>
        <w:rPr/>
      </w:pPr>
      <w:r>
        <w:rPr>
          <w:rFonts w:eastAsia="Arial" w:cs="Arial"/>
          <w:color w:val="1A1A1A"/>
          <w:sz w:val="22"/>
          <w:szCs w:val="22"/>
        </w:rPr>
        <w:t>13. Post-Incident Review</w:t>
      </w:r>
    </w:p>
    <w:p>
      <w:pPr>
        <w:pStyle w:val="Normal"/>
        <w:spacing w:before="40" w:after="40"/>
        <w:rPr/>
      </w:pPr>
      <w:r>
        <w:rPr>
          <w:rFonts w:eastAsia="Arial" w:cs="Arial"/>
          <w:color w:val="1A1A1A"/>
          <w:sz w:val="22"/>
          <w:szCs w:val="22"/>
        </w:rPr>
        <w:t>14. Records</w:t>
      </w:r>
    </w:p>
    <w:p>
      <w:pPr>
        <w:pStyle w:val="Normal"/>
        <w:spacing w:before="40" w:after="40"/>
        <w:rPr/>
      </w:pPr>
      <w:r>
        <w:rPr>
          <w:rFonts w:eastAsia="Arial" w:cs="Arial"/>
          <w:color w:val="1A1A1A"/>
          <w:sz w:val="22"/>
          <w:szCs w:val="22"/>
        </w:rPr>
        <w:t>15. Coordination with Security Incident Response</w:t>
      </w:r>
    </w:p>
    <w:p>
      <w:pPr>
        <w:pStyle w:val="Normal"/>
        <w:spacing w:before="40" w:after="40"/>
        <w:rPr/>
      </w:pPr>
      <w:r>
        <w:rPr>
          <w:rFonts w:eastAsia="Arial" w:cs="Arial"/>
          <w:color w:val="1A1A1A"/>
          <w:sz w:val="22"/>
          <w:szCs w:val="22"/>
        </w:rPr>
        <w:t>16. Coordination with Personal Data Breach Process</w:t>
      </w:r>
    </w:p>
    <w:p>
      <w:pPr>
        <w:pStyle w:val="Normal"/>
        <w:spacing w:before="40" w:after="40"/>
        <w:rPr/>
      </w:pPr>
      <w:r>
        <w:rPr>
          <w:rFonts w:eastAsia="Arial" w:cs="Arial"/>
          <w:color w:val="1A1A1A"/>
          <w:sz w:val="22"/>
          <w:szCs w:val="22"/>
        </w:rPr>
        <w:t>17. Testing and Exercising</w:t>
      </w:r>
    </w:p>
    <w:p>
      <w:pPr>
        <w:pStyle w:val="Normal"/>
        <w:spacing w:before="40" w:after="40"/>
        <w:rPr/>
      </w:pPr>
      <w:r>
        <w:rPr>
          <w:rFonts w:eastAsia="Arial" w:cs="Arial"/>
          <w:color w:val="1A1A1A"/>
          <w:sz w:val="22"/>
          <w:szCs w:val="22"/>
        </w:rPr>
        <w:t>18. Maintenance</w:t>
      </w:r>
    </w:p>
    <w:p>
      <w:pPr>
        <w:pStyle w:val="Normal"/>
        <w:spacing w:before="40" w:after="40"/>
        <w:rPr/>
      </w:pPr>
      <w:r>
        <w:rPr>
          <w:rFonts w:eastAsia="Arial" w:cs="Arial"/>
          <w:color w:val="1A1A1A"/>
          <w:sz w:val="22"/>
          <w:szCs w:val="22"/>
        </w:rPr>
        <w:t>19. Acknowledgement</w:t>
      </w:r>
    </w:p>
    <w:p>
      <w:pPr>
        <w:pStyle w:val="Normal"/>
        <w:spacing w:before="40" w:after="40"/>
        <w:rPr/>
      </w:pPr>
      <w:r>
        <w:rPr>
          <w:rFonts w:eastAsia="Arial" w:cs="Arial"/>
          <w:color w:val="1A1A1A"/>
          <w:sz w:val="22"/>
          <w:szCs w:val="22"/>
        </w:rPr>
        <w:t>Annex A — ISO/IEC 42001:2023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AI Incident Response Plan (the “Plan”) sets out how Cloudax Ltd. detects, responds to, recovers from, and learns from AI incidents. It supports the AI Policy (AI-POL-001) and the AIMS Statement of Applicability (AIMS-SOA-001 v1.0).</w:t>
      </w:r>
    </w:p>
    <w:p>
      <w:pPr>
        <w:pStyle w:val="Normal"/>
        <w:spacing w:lineRule="exact" w:line="300" w:before="80" w:after="120"/>
        <w:rPr/>
      </w:pPr>
      <w:r>
        <w:rPr>
          <w:rFonts w:eastAsia="Arial" w:cs="Arial"/>
          <w:color w:val="1A1A1A"/>
          <w:sz w:val="22"/>
          <w:szCs w:val="22"/>
        </w:rPr>
        <w:t>AI incidents differ from traditional security incidents in important ways: they may involve probabilistic behaviour, emergent properties, ethical dimensions, and effects on people that are not immediately visible as a system failure. This Plan addresses those distinctions while integrating with Cloudax’s broader incident response (PLAN-IRP-001).</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A.6.2.6 AI system operation and monitoring; A.8.4 Communication of incidents; A.10.4 Customers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applies to AI incidents affecting any AI system within the AIMS scope (AIMS-SCOPE-001), including the Cloudax conversational AI platform, third-party AI services consumed by the platform, and AI tools used internally by Cloudax personnel.</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AI incident: </w:t>
      </w:r>
      <w:r>
        <w:rPr>
          <w:rFonts w:eastAsia="Arial" w:cs="Arial"/>
          <w:color w:val="1A1A1A"/>
          <w:sz w:val="22"/>
          <w:szCs w:val="22"/>
        </w:rPr>
        <w:t>an event involving an AI system that has caused, or had material potential to cause, harm — to individuals, groups, customers, Cloudax, or society.</w:t>
      </w:r>
    </w:p>
    <w:p>
      <w:pPr>
        <w:pStyle w:val="ListParagraph"/>
        <w:numPr>
          <w:ilvl w:val="0"/>
          <w:numId w:val="1"/>
        </w:numPr>
        <w:spacing w:lineRule="exact" w:line="280" w:before="40" w:after="40"/>
        <w:rPr/>
      </w:pPr>
      <w:r>
        <w:rPr>
          <w:rFonts w:eastAsia="Arial" w:cs="Arial"/>
          <w:b/>
          <w:bCs/>
          <w:color w:val="1A1A1A"/>
          <w:sz w:val="22"/>
          <w:szCs w:val="22"/>
        </w:rPr>
        <w:t xml:space="preserve">AI near-miss: </w:t>
      </w:r>
      <w:r>
        <w:rPr>
          <w:rFonts w:eastAsia="Arial" w:cs="Arial"/>
          <w:color w:val="1A1A1A"/>
          <w:sz w:val="22"/>
          <w:szCs w:val="22"/>
        </w:rPr>
        <w:t>an event that did not cause harm but had material potential to do so; treated under this Plan to enable learning.</w:t>
      </w:r>
    </w:p>
    <w:p>
      <w:pPr>
        <w:pStyle w:val="ListParagraph"/>
        <w:numPr>
          <w:ilvl w:val="0"/>
          <w:numId w:val="1"/>
        </w:numPr>
        <w:spacing w:lineRule="exact" w:line="280" w:before="40" w:after="40"/>
        <w:rPr/>
      </w:pPr>
      <w:r>
        <w:rPr>
          <w:rFonts w:eastAsia="Arial" w:cs="Arial"/>
          <w:b/>
          <w:bCs/>
          <w:color w:val="1A1A1A"/>
          <w:sz w:val="22"/>
          <w:szCs w:val="22"/>
        </w:rPr>
        <w:t xml:space="preserve">AI weakness: </w:t>
      </w:r>
      <w:r>
        <w:rPr>
          <w:rFonts w:eastAsia="Arial" w:cs="Arial"/>
          <w:color w:val="1A1A1A"/>
          <w:sz w:val="22"/>
          <w:szCs w:val="22"/>
        </w:rPr>
        <w:t>an identified state in an AI system that could lead to an incident if unaddressed.</w:t>
      </w:r>
    </w:p>
    <w:p>
      <w:pPr>
        <w:pStyle w:val="Heading1"/>
        <w:spacing w:before="360" w:after="180"/>
        <w:rPr/>
      </w:pPr>
      <w:r>
        <w:rPr>
          <w:rFonts w:eastAsia="Arial" w:cs="Arial" w:ascii="Arial" w:hAnsi="Arial"/>
          <w:b/>
          <w:bCs/>
          <w:color w:val="0000FF"/>
          <w:sz w:val="36"/>
          <w:szCs w:val="36"/>
        </w:rPr>
        <w:t>4. AI Incident Categories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AI incidents fall into the following categories, with examples:</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2400"/>
        <w:gridCol w:w="6625"/>
      </w:tblGrid>
      <w:tr>
        <w:trPr>
          <w:tblHeader w:val="true"/>
        </w:trPr>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CATEGORY</w:t>
            </w:r>
          </w:p>
        </w:tc>
        <w:tc>
          <w:tcPr>
            <w:tcW w:w="66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EXAMPLES</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Accuracy / Performance</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Material drop in transcription accuracy; structured-output error rate spikes; classifier confidence collapses on a population segment.</w:t>
            </w:r>
          </w:p>
        </w:tc>
      </w:tr>
      <w:tr>
        <w:trPr/>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Bias / Fairness</w:t>
            </w:r>
          </w:p>
        </w:tc>
        <w:tc>
          <w:tcPr>
            <w:tcW w:w="66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Disparate accuracy or treatment across protected characteristics; offensive or discriminatory outputs; exclusionary failure modes.</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Privacy</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Training-data leakage in inference outputs; re-identification of pseudonymised data; AI used to derive personal data beyond purpose.</w:t>
            </w:r>
          </w:p>
        </w:tc>
      </w:tr>
      <w:tr>
        <w:trPr/>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Security (AI-specific)</w:t>
            </w:r>
          </w:p>
        </w:tc>
        <w:tc>
          <w:tcPr>
            <w:tcW w:w="66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Prompt injection from caller speech causing unintended behaviour; model jailbreaking; adversarial inputs degrading service; theft or extraction of model weights or training data.</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Transparency / Explainability</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AI system produces decisions that cannot be explained to users; communication of AI capability is materially misleading.</w:t>
            </w:r>
          </w:p>
        </w:tc>
      </w:tr>
      <w:tr>
        <w:trPr/>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Autonomy / Oversight</w:t>
            </w:r>
          </w:p>
        </w:tc>
        <w:tc>
          <w:tcPr>
            <w:tcW w:w="66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Automated AI action takes effect without intended human review; oversight controls fail or are bypassed.</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Ethical</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AI behaviour breaches the AI Policy ethical commitments; use case identified that contradicts intended use.</w:t>
            </w:r>
          </w:p>
        </w:tc>
      </w:tr>
      <w:tr>
        <w:trPr/>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Operational</w:t>
            </w:r>
          </w:p>
        </w:tc>
        <w:tc>
          <w:tcPr>
            <w:tcW w:w="66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Loss of AI service availability; failure of AI monitoring; loss of access to a critical AI provider.</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Third-party AI</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Provider model behaviour change without notice; provider security incident affecting Cloudax; provider exit / withdrawal of capability.</w:t>
            </w:r>
          </w:p>
        </w:tc>
      </w:tr>
    </w:tbl>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AI incident response is led by an AI Incident Manager, with executive support and specialist input as required.</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2699"/>
        <w:gridCol w:w="6326"/>
      </w:tblGrid>
      <w:tr>
        <w:trPr>
          <w:tblHeader w:val="true"/>
        </w:trPr>
        <w:tc>
          <w:tcPr>
            <w:tcW w:w="2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ROLE</w:t>
            </w:r>
          </w:p>
        </w:tc>
        <w:tc>
          <w:tcPr>
            <w:tcW w:w="6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RESPONSIBILITY</w:t>
            </w:r>
          </w:p>
        </w:tc>
      </w:tr>
      <w:tr>
        <w:trPr/>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Chief Executive Officer</w:t>
            </w:r>
          </w:p>
        </w:tc>
        <w:tc>
          <w:tcPr>
            <w:tcW w:w="6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Authorises material decisions including customer communication, regulator engagement, and resource commitment for major incidents. Owns external communications during severe incidents.</w:t>
            </w:r>
          </w:p>
        </w:tc>
      </w:tr>
      <w:tr>
        <w:trPr/>
        <w:tc>
          <w:tcPr>
            <w:tcW w:w="2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AI Governance Lead</w:t>
            </w:r>
          </w:p>
        </w:tc>
        <w:tc>
          <w:tcPr>
            <w:tcW w:w="6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Acts as AI Incident Manager by default. Coordinates response, escalation, decisions, and communication. Owns this Plan.</w:t>
            </w:r>
          </w:p>
        </w:tc>
      </w:tr>
      <w:tr>
        <w:trPr/>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Chief Technology Officer</w:t>
            </w:r>
          </w:p>
        </w:tc>
        <w:tc>
          <w:tcPr>
            <w:tcW w:w="6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Leads technical investigation and recovery. Owns model and platform decisions during the incident.</w:t>
            </w:r>
          </w:p>
        </w:tc>
      </w:tr>
      <w:tr>
        <w:trPr/>
        <w:tc>
          <w:tcPr>
            <w:tcW w:w="2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Privacy Lead</w:t>
            </w:r>
          </w:p>
        </w:tc>
        <w:tc>
          <w:tcPr>
            <w:tcW w:w="6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Assesses personal data and impact-assessment implications. Coordinates with the ICO where required and with PRO-024.</w:t>
            </w:r>
          </w:p>
        </w:tc>
      </w:tr>
      <w:tr>
        <w:trPr/>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Customer-facing leads</w:t>
            </w:r>
          </w:p>
        </w:tc>
        <w:tc>
          <w:tcPr>
            <w:tcW w:w="6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Coordinate customer notification and support during the incident.</w:t>
            </w:r>
          </w:p>
        </w:tc>
      </w:tr>
      <w:tr>
        <w:trPr/>
        <w:tc>
          <w:tcPr>
            <w:tcW w:w="2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Engineering / on-call</w:t>
            </w:r>
          </w:p>
        </w:tc>
        <w:tc>
          <w:tcPr>
            <w:tcW w:w="6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Detects, contains, and reports incidents through normal on-call paths.</w:t>
            </w:r>
          </w:p>
        </w:tc>
      </w:tr>
      <w:tr>
        <w:trPr/>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All personnel</w:t>
            </w:r>
          </w:p>
        </w:tc>
        <w:tc>
          <w:tcPr>
            <w:tcW w:w="6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Report observed AI incidents and weaknesses promptly through PRO-027 or directly to the AI Governance Lead.</w:t>
            </w:r>
          </w:p>
        </w:tc>
      </w:tr>
    </w:tbl>
    <w:p>
      <w:pPr>
        <w:pStyle w:val="Heading1"/>
        <w:spacing w:before="360" w:after="180"/>
        <w:rPr/>
      </w:pPr>
      <w:r>
        <w:rPr>
          <w:rFonts w:eastAsia="Arial" w:cs="Arial" w:ascii="Arial" w:hAnsi="Arial"/>
          <w:b/>
          <w:bCs/>
          <w:color w:val="0000FF"/>
          <w:sz w:val="36"/>
          <w:szCs w:val="36"/>
        </w:rPr>
        <w:t>6. Detection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AI incidents are detected through the following channels:</w:t>
      </w:r>
    </w:p>
    <w:p>
      <w:pPr>
        <w:pStyle w:val="ListParagraph"/>
        <w:numPr>
          <w:ilvl w:val="0"/>
          <w:numId w:val="1"/>
        </w:numPr>
        <w:spacing w:lineRule="exact" w:line="280" w:before="40" w:after="40"/>
        <w:rPr/>
      </w:pPr>
      <w:r>
        <w:rPr>
          <w:rFonts w:eastAsia="Arial" w:cs="Arial"/>
          <w:color w:val="1A1A1A"/>
          <w:sz w:val="22"/>
          <w:szCs w:val="22"/>
        </w:rPr>
        <w:t>Production monitoring — accuracy metrics, drift detection, error rate thresholds, fairness indicators.</w:t>
      </w:r>
    </w:p>
    <w:p>
      <w:pPr>
        <w:pStyle w:val="ListParagraph"/>
        <w:numPr>
          <w:ilvl w:val="0"/>
          <w:numId w:val="1"/>
        </w:numPr>
        <w:spacing w:lineRule="exact" w:line="280" w:before="40" w:after="40"/>
        <w:rPr/>
      </w:pPr>
      <w:r>
        <w:rPr>
          <w:rFonts w:eastAsia="Arial" w:cs="Arial"/>
          <w:color w:val="1A1A1A"/>
          <w:sz w:val="22"/>
          <w:szCs w:val="22"/>
        </w:rPr>
        <w:t>Customer reports — escalations from customer-facing teams or directly from customers.</w:t>
      </w:r>
    </w:p>
    <w:p>
      <w:pPr>
        <w:pStyle w:val="ListParagraph"/>
        <w:numPr>
          <w:ilvl w:val="0"/>
          <w:numId w:val="1"/>
        </w:numPr>
        <w:spacing w:lineRule="exact" w:line="280" w:before="40" w:after="40"/>
        <w:rPr/>
      </w:pPr>
      <w:r>
        <w:rPr>
          <w:rFonts w:eastAsia="Arial" w:cs="Arial"/>
          <w:color w:val="1A1A1A"/>
          <w:sz w:val="22"/>
          <w:szCs w:val="22"/>
        </w:rPr>
        <w:t>End-user complaints — reaching Cloudax through customer channels or, exceptionally, directly.</w:t>
      </w:r>
    </w:p>
    <w:p>
      <w:pPr>
        <w:pStyle w:val="ListParagraph"/>
        <w:numPr>
          <w:ilvl w:val="0"/>
          <w:numId w:val="1"/>
        </w:numPr>
        <w:spacing w:lineRule="exact" w:line="280" w:before="40" w:after="40"/>
        <w:rPr/>
      </w:pPr>
      <w:r>
        <w:rPr>
          <w:rFonts w:eastAsia="Arial" w:cs="Arial"/>
          <w:color w:val="1A1A1A"/>
          <w:sz w:val="22"/>
          <w:szCs w:val="22"/>
        </w:rPr>
        <w:t>Personnel reports — observations from engineering, product, support, or any other personnel under PRO-027.</w:t>
      </w:r>
    </w:p>
    <w:p>
      <w:pPr>
        <w:pStyle w:val="ListParagraph"/>
        <w:numPr>
          <w:ilvl w:val="0"/>
          <w:numId w:val="1"/>
        </w:numPr>
        <w:spacing w:lineRule="exact" w:line="280" w:before="40" w:after="40"/>
        <w:rPr/>
      </w:pPr>
      <w:r>
        <w:rPr>
          <w:rFonts w:eastAsia="Arial" w:cs="Arial"/>
          <w:color w:val="1A1A1A"/>
          <w:sz w:val="22"/>
          <w:szCs w:val="22"/>
        </w:rPr>
        <w:t>External signals — threat intelligence, provider notifications, regulator communications.</w:t>
      </w:r>
    </w:p>
    <w:p>
      <w:pPr>
        <w:pStyle w:val="ListParagraph"/>
        <w:numPr>
          <w:ilvl w:val="0"/>
          <w:numId w:val="1"/>
        </w:numPr>
        <w:spacing w:lineRule="exact" w:line="280" w:before="40" w:after="40"/>
        <w:rPr/>
      </w:pPr>
      <w:r>
        <w:rPr>
          <w:rFonts w:eastAsia="Arial" w:cs="Arial"/>
          <w:color w:val="1A1A1A"/>
          <w:sz w:val="22"/>
          <w:szCs w:val="22"/>
        </w:rPr>
        <w:t>Periodic review — model evaluations, AISIA reviews, internal audit findings.</w:t>
      </w:r>
    </w:p>
    <w:p>
      <w:pPr>
        <w:pStyle w:val="Heading1"/>
        <w:spacing w:before="360" w:after="180"/>
        <w:rPr/>
      </w:pPr>
      <w:r>
        <w:rPr>
          <w:rFonts w:eastAsia="Arial" w:cs="Arial" w:ascii="Arial" w:hAnsi="Arial"/>
          <w:b/>
          <w:bCs/>
          <w:color w:val="0000FF"/>
          <w:sz w:val="36"/>
          <w:szCs w:val="36"/>
        </w:rPr>
        <w:t>7. Triage and Classification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On detection, the AI Incident Manager (or on-call) performs initial triage:</w:t>
      </w:r>
    </w:p>
    <w:p>
      <w:pPr>
        <w:pStyle w:val="ListParagraph"/>
        <w:numPr>
          <w:ilvl w:val="0"/>
          <w:numId w:val="1"/>
        </w:numPr>
        <w:spacing w:lineRule="exact" w:line="280" w:before="40" w:after="40"/>
        <w:rPr/>
      </w:pPr>
      <w:r>
        <w:rPr>
          <w:rFonts w:eastAsia="Arial" w:cs="Arial"/>
          <w:color w:val="1A1A1A"/>
          <w:sz w:val="22"/>
          <w:szCs w:val="22"/>
        </w:rPr>
        <w:t>Confirm incident scope: which AI system, which customers, what observed behaviour.</w:t>
      </w:r>
    </w:p>
    <w:p>
      <w:pPr>
        <w:pStyle w:val="ListParagraph"/>
        <w:numPr>
          <w:ilvl w:val="0"/>
          <w:numId w:val="1"/>
        </w:numPr>
        <w:spacing w:lineRule="exact" w:line="280" w:before="40" w:after="40"/>
        <w:rPr/>
      </w:pPr>
      <w:r>
        <w:rPr>
          <w:rFonts w:eastAsia="Arial" w:cs="Arial"/>
          <w:color w:val="1A1A1A"/>
          <w:sz w:val="22"/>
          <w:szCs w:val="22"/>
        </w:rPr>
        <w:t>Confirm category (Section 4) and severity (Section 8).</w:t>
      </w:r>
    </w:p>
    <w:p>
      <w:pPr>
        <w:pStyle w:val="ListParagraph"/>
        <w:numPr>
          <w:ilvl w:val="0"/>
          <w:numId w:val="1"/>
        </w:numPr>
        <w:spacing w:lineRule="exact" w:line="280" w:before="40" w:after="40"/>
        <w:rPr/>
      </w:pPr>
      <w:r>
        <w:rPr>
          <w:rFonts w:eastAsia="Arial" w:cs="Arial"/>
          <w:color w:val="1A1A1A"/>
          <w:sz w:val="22"/>
          <w:szCs w:val="22"/>
        </w:rPr>
        <w:t>Determine whether the incident is also a security incident, a personal data breach, both, or neither.</w:t>
      </w:r>
    </w:p>
    <w:p>
      <w:pPr>
        <w:pStyle w:val="ListParagraph"/>
        <w:numPr>
          <w:ilvl w:val="0"/>
          <w:numId w:val="1"/>
        </w:numPr>
        <w:spacing w:lineRule="exact" w:line="280" w:before="40" w:after="40"/>
        <w:rPr/>
      </w:pPr>
      <w:r>
        <w:rPr>
          <w:rFonts w:eastAsia="Arial" w:cs="Arial"/>
          <w:color w:val="1A1A1A"/>
          <w:sz w:val="22"/>
          <w:szCs w:val="22"/>
        </w:rPr>
        <w:t>Open an AI incident record in AI-REG-INC-001 and start time-stamped event logging.</w:t>
      </w:r>
    </w:p>
    <w:p>
      <w:pPr>
        <w:pStyle w:val="ListParagraph"/>
        <w:numPr>
          <w:ilvl w:val="0"/>
          <w:numId w:val="1"/>
        </w:numPr>
        <w:spacing w:lineRule="exact" w:line="280" w:before="40" w:after="40"/>
        <w:rPr/>
      </w:pPr>
      <w:r>
        <w:rPr>
          <w:rFonts w:eastAsia="Arial" w:cs="Arial"/>
          <w:color w:val="1A1A1A"/>
          <w:sz w:val="22"/>
          <w:szCs w:val="22"/>
        </w:rPr>
        <w:t>Activate the appropriate response team based on severity.</w:t>
      </w:r>
    </w:p>
    <w:p>
      <w:pPr>
        <w:pStyle w:val="Heading1"/>
        <w:spacing w:before="360" w:after="180"/>
        <w:rPr/>
      </w:pPr>
      <w:r>
        <w:rPr>
          <w:rFonts w:eastAsia="Arial" w:cs="Arial" w:ascii="Arial" w:hAnsi="Arial"/>
          <w:b/>
          <w:bCs/>
          <w:color w:val="0000FF"/>
          <w:sz w:val="36"/>
          <w:szCs w:val="36"/>
        </w:rPr>
        <w:t>8. Severity Levels</w:t>
      </w:r>
    </w:p>
    <w:p>
      <w:pPr>
        <w:pStyle w:val="Normal"/>
        <w:pBdr>
          <w:bottom w:val="single" w:sz="12" w:space="1" w:color="0000FF"/>
        </w:pBdr>
        <w:spacing w:before="0" w:after="200"/>
        <w:rPr/>
      </w:pPr>
      <w:r>
        <w:rPr/>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1500"/>
        <w:gridCol w:w="4499"/>
        <w:gridCol w:w="3027"/>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SEVERITY</w:t>
            </w:r>
          </w:p>
        </w:tc>
        <w:tc>
          <w:tcPr>
            <w:tcW w:w="4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INDICATIVE CRITERIA</w:t>
            </w:r>
          </w:p>
        </w:tc>
        <w:tc>
          <w:tcPr>
            <w:tcW w:w="30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RESPONSE</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Critical</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Confirmed widespread harm to individuals; severe ethical or legal breach; existential customer or business impact; regulator engagement imminent.</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Full response team; CEO engaged immediately; customer and regulator communication planned within hours.</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Major</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Significant identified harm or imminent risk of it; multiple customers or users affected; ICO notification likely; sustained service degradation.</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Full response team; CEO informed within 4 hours; customer communication within 24 hours.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Moderate</w:t>
            </w:r>
          </w:p>
        </w:tc>
        <w:tc>
          <w:tcPr>
            <w:tcW w:w="4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Localised harm or risk; contained customer impact; investigation needed; learning value high.</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Standard response team; CEO informed at next briefing; customer communication where contractually required.</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Minor</w:t>
            </w:r>
          </w:p>
        </w:tc>
        <w:tc>
          <w:tcPr>
            <w:tcW w:w="4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Observable issue with limited impact; near-miss with high learning value; minor customer concern.</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Standard handling; recorded; lessons-learned cycle.</w:t>
            </w:r>
          </w:p>
        </w:tc>
      </w:tr>
    </w:tbl>
    <w:p>
      <w:pPr>
        <w:pStyle w:val="Heading1"/>
        <w:spacing w:before="360" w:after="180"/>
        <w:rPr/>
      </w:pPr>
      <w:r>
        <w:rPr>
          <w:rFonts w:eastAsia="Arial" w:cs="Arial" w:ascii="Arial" w:hAnsi="Arial"/>
          <w:b/>
          <w:bCs/>
          <w:color w:val="0000FF"/>
          <w:sz w:val="36"/>
          <w:szCs w:val="36"/>
        </w:rPr>
        <w:t>9. Containment</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Where an AI system is producing harmful output, the priority is to stop the harm — by disabling the feature, falling back to a safe default, increasing human review thresholds, or removing the affected system from production.</w:t>
      </w:r>
    </w:p>
    <w:p>
      <w:pPr>
        <w:pStyle w:val="ListParagraph"/>
        <w:numPr>
          <w:ilvl w:val="0"/>
          <w:numId w:val="1"/>
        </w:numPr>
        <w:spacing w:lineRule="exact" w:line="280" w:before="40" w:after="40"/>
        <w:rPr/>
      </w:pPr>
      <w:r>
        <w:rPr>
          <w:rFonts w:eastAsia="Arial" w:cs="Arial"/>
          <w:color w:val="1A1A1A"/>
          <w:sz w:val="22"/>
          <w:szCs w:val="22"/>
        </w:rPr>
        <w:t>Containment decisions are made by the AI Incident Manager and the CTO; for Critical and Major incidents, the CEO is informed and may direct.</w:t>
      </w:r>
    </w:p>
    <w:p>
      <w:pPr>
        <w:pStyle w:val="ListParagraph"/>
        <w:numPr>
          <w:ilvl w:val="0"/>
          <w:numId w:val="1"/>
        </w:numPr>
        <w:spacing w:lineRule="exact" w:line="280" w:before="40" w:after="40"/>
        <w:rPr/>
      </w:pPr>
      <w:r>
        <w:rPr>
          <w:rFonts w:eastAsia="Arial" w:cs="Arial"/>
          <w:color w:val="1A1A1A"/>
          <w:sz w:val="22"/>
          <w:szCs w:val="22"/>
        </w:rPr>
        <w:t>Containment actions are recorded and time-stamped.</w:t>
      </w:r>
    </w:p>
    <w:p>
      <w:pPr>
        <w:pStyle w:val="ListParagraph"/>
        <w:numPr>
          <w:ilvl w:val="0"/>
          <w:numId w:val="1"/>
        </w:numPr>
        <w:spacing w:lineRule="exact" w:line="280" w:before="40" w:after="40"/>
        <w:rPr/>
      </w:pPr>
      <w:r>
        <w:rPr>
          <w:rFonts w:eastAsia="Arial" w:cs="Arial"/>
          <w:color w:val="1A1A1A"/>
          <w:sz w:val="22"/>
          <w:szCs w:val="22"/>
        </w:rPr>
        <w:t>Where containment requires customer notification (e.g. taking a feature offline), the customer-facing leads coordinate.</w:t>
      </w:r>
    </w:p>
    <w:p>
      <w:pPr>
        <w:pStyle w:val="Heading1"/>
        <w:spacing w:before="360" w:after="180"/>
        <w:rPr/>
      </w:pPr>
      <w:r>
        <w:rPr>
          <w:rFonts w:eastAsia="Arial" w:cs="Arial" w:ascii="Arial" w:hAnsi="Arial"/>
          <w:b/>
          <w:bCs/>
          <w:color w:val="0000FF"/>
          <w:sz w:val="36"/>
          <w:szCs w:val="36"/>
        </w:rPr>
        <w:t>10. Communication</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10.1 Internal</w:t>
      </w:r>
    </w:p>
    <w:p>
      <w:pPr>
        <w:pStyle w:val="ListParagraph"/>
        <w:numPr>
          <w:ilvl w:val="0"/>
          <w:numId w:val="1"/>
        </w:numPr>
        <w:spacing w:lineRule="exact" w:line="280" w:before="40" w:after="40"/>
        <w:rPr/>
      </w:pPr>
      <w:r>
        <w:rPr>
          <w:rFonts w:eastAsia="Arial" w:cs="Arial"/>
          <w:color w:val="1A1A1A"/>
          <w:sz w:val="22"/>
          <w:szCs w:val="22"/>
        </w:rPr>
        <w:t>Internal communications use a dedicated incident channel (Microsoft Teams or alternative).</w:t>
      </w:r>
    </w:p>
    <w:p>
      <w:pPr>
        <w:pStyle w:val="ListParagraph"/>
        <w:numPr>
          <w:ilvl w:val="0"/>
          <w:numId w:val="1"/>
        </w:numPr>
        <w:spacing w:lineRule="exact" w:line="280" w:before="40" w:after="40"/>
        <w:rPr/>
      </w:pPr>
      <w:r>
        <w:rPr>
          <w:rFonts w:eastAsia="Arial" w:cs="Arial"/>
          <w:color w:val="1A1A1A"/>
          <w:sz w:val="22"/>
          <w:szCs w:val="22"/>
        </w:rPr>
        <w:t>All internal communications are coordinated by the AI Incident Manager.</w:t>
      </w:r>
    </w:p>
    <w:p>
      <w:pPr>
        <w:pStyle w:val="ListParagraph"/>
        <w:numPr>
          <w:ilvl w:val="0"/>
          <w:numId w:val="1"/>
        </w:numPr>
        <w:spacing w:lineRule="exact" w:line="280" w:before="40" w:after="40"/>
        <w:rPr/>
      </w:pPr>
      <w:r>
        <w:rPr>
          <w:rFonts w:eastAsia="Arial" w:cs="Arial"/>
          <w:color w:val="1A1A1A"/>
          <w:sz w:val="22"/>
          <w:szCs w:val="22"/>
        </w:rPr>
        <w:t>Personnel must not communicate externally outside agreed channels and approved messaging.</w:t>
      </w:r>
    </w:p>
    <w:p>
      <w:pPr>
        <w:pStyle w:val="Heading2"/>
        <w:spacing w:before="280" w:after="140"/>
        <w:rPr/>
      </w:pPr>
      <w:r>
        <w:rPr>
          <w:rFonts w:eastAsia="Arial" w:cs="Arial" w:ascii="Arial" w:hAnsi="Arial"/>
          <w:b/>
          <w:bCs/>
          <w:color w:val="0000FF"/>
          <w:sz w:val="28"/>
          <w:szCs w:val="28"/>
        </w:rPr>
        <w:t>10.2 Customer</w:t>
      </w:r>
    </w:p>
    <w:p>
      <w:pPr>
        <w:pStyle w:val="ListParagraph"/>
        <w:numPr>
          <w:ilvl w:val="0"/>
          <w:numId w:val="1"/>
        </w:numPr>
        <w:spacing w:lineRule="exact" w:line="280" w:before="40" w:after="40"/>
        <w:rPr/>
      </w:pPr>
      <w:r>
        <w:rPr>
          <w:rFonts w:eastAsia="Arial" w:cs="Arial"/>
          <w:color w:val="1A1A1A"/>
          <w:sz w:val="22"/>
          <w:szCs w:val="22"/>
        </w:rPr>
        <w:t>Affected customers are notified in line with their contracts, the AI Policy commitments, and the principles of honest communication: what is known, what is being done, what next, when the next update.</w:t>
      </w:r>
    </w:p>
    <w:p>
      <w:pPr>
        <w:pStyle w:val="ListParagraph"/>
        <w:numPr>
          <w:ilvl w:val="0"/>
          <w:numId w:val="1"/>
        </w:numPr>
        <w:spacing w:lineRule="exact" w:line="280" w:before="40" w:after="40"/>
        <w:rPr/>
      </w:pPr>
      <w:r>
        <w:rPr>
          <w:rFonts w:eastAsia="Arial" w:cs="Arial"/>
          <w:color w:val="1A1A1A"/>
          <w:sz w:val="22"/>
          <w:szCs w:val="22"/>
        </w:rPr>
        <w:t>Notifications are coordinated by the customer-facing leads with the AI Incident Manager and Privacy Lead.</w:t>
      </w:r>
    </w:p>
    <w:p>
      <w:pPr>
        <w:pStyle w:val="ListParagraph"/>
        <w:numPr>
          <w:ilvl w:val="0"/>
          <w:numId w:val="1"/>
        </w:numPr>
        <w:spacing w:lineRule="exact" w:line="280" w:before="40" w:after="40"/>
        <w:rPr/>
      </w:pPr>
      <w:r>
        <w:rPr>
          <w:rFonts w:eastAsia="Arial" w:cs="Arial"/>
          <w:color w:val="1A1A1A"/>
          <w:sz w:val="22"/>
          <w:szCs w:val="22"/>
        </w:rPr>
        <w:t>Where the AI incident has data protection implications, the Breach Notification Procedure (PRO-024) applies.</w:t>
      </w:r>
    </w:p>
    <w:p>
      <w:pPr>
        <w:pStyle w:val="Heading2"/>
        <w:spacing w:before="280" w:after="140"/>
        <w:rPr/>
      </w:pPr>
      <w:r>
        <w:rPr>
          <w:rFonts w:eastAsia="Arial" w:cs="Arial" w:ascii="Arial" w:hAnsi="Arial"/>
          <w:b/>
          <w:bCs/>
          <w:color w:val="0000FF"/>
          <w:sz w:val="28"/>
          <w:szCs w:val="28"/>
        </w:rPr>
        <w:t>10.3 Regulator and ICO</w:t>
      </w:r>
    </w:p>
    <w:p>
      <w:pPr>
        <w:pStyle w:val="ListParagraph"/>
        <w:numPr>
          <w:ilvl w:val="0"/>
          <w:numId w:val="1"/>
        </w:numPr>
        <w:spacing w:lineRule="exact" w:line="280" w:before="40" w:after="40"/>
        <w:rPr/>
      </w:pPr>
      <w:r>
        <w:rPr>
          <w:rFonts w:eastAsia="Arial" w:cs="Arial"/>
          <w:color w:val="1A1A1A"/>
          <w:sz w:val="22"/>
          <w:szCs w:val="22"/>
        </w:rPr>
        <w:t>Where personal data is involved, ICO notification follows PRO-024 and the 72-hour clock under Article 33 UK GDPR.</w:t>
      </w:r>
    </w:p>
    <w:p>
      <w:pPr>
        <w:pStyle w:val="ListParagraph"/>
        <w:numPr>
          <w:ilvl w:val="0"/>
          <w:numId w:val="1"/>
        </w:numPr>
        <w:spacing w:lineRule="exact" w:line="280" w:before="40" w:after="40"/>
        <w:rPr/>
      </w:pPr>
      <w:r>
        <w:rPr>
          <w:rFonts w:eastAsia="Arial" w:cs="Arial"/>
          <w:color w:val="1A1A1A"/>
          <w:sz w:val="22"/>
          <w:szCs w:val="22"/>
        </w:rPr>
        <w:t>Where AI-specific regulation requires notification (e.g. future EU AI Act high-risk system serious incident reporting, where applicable), the AI Governance Lead and Privacy Lead coordinate.</w:t>
      </w:r>
    </w:p>
    <w:p>
      <w:pPr>
        <w:pStyle w:val="ListParagraph"/>
        <w:numPr>
          <w:ilvl w:val="0"/>
          <w:numId w:val="1"/>
        </w:numPr>
        <w:spacing w:lineRule="exact" w:line="280" w:before="40" w:after="40"/>
        <w:rPr/>
      </w:pPr>
      <w:r>
        <w:rPr>
          <w:rFonts w:eastAsia="Arial" w:cs="Arial"/>
          <w:color w:val="1A1A1A"/>
          <w:sz w:val="22"/>
          <w:szCs w:val="22"/>
        </w:rPr>
        <w:t>Engagement with regulators is approved by the Chief Executive Officer.</w:t>
      </w:r>
    </w:p>
    <w:p>
      <w:pPr>
        <w:pStyle w:val="Heading2"/>
        <w:spacing w:before="280" w:after="140"/>
        <w:rPr/>
      </w:pPr>
      <w:r>
        <w:rPr>
          <w:rFonts w:eastAsia="Arial" w:cs="Arial" w:ascii="Arial" w:hAnsi="Arial"/>
          <w:b/>
          <w:bCs/>
          <w:color w:val="0000FF"/>
          <w:sz w:val="28"/>
          <w:szCs w:val="28"/>
        </w:rPr>
        <w:t>10.4 Public</w:t>
      </w:r>
    </w:p>
    <w:p>
      <w:pPr>
        <w:pStyle w:val="ListParagraph"/>
        <w:numPr>
          <w:ilvl w:val="0"/>
          <w:numId w:val="1"/>
        </w:numPr>
        <w:spacing w:lineRule="exact" w:line="280" w:before="40" w:after="40"/>
        <w:rPr/>
      </w:pPr>
      <w:r>
        <w:rPr>
          <w:rFonts w:eastAsia="Arial" w:cs="Arial"/>
          <w:color w:val="1A1A1A"/>
          <w:sz w:val="22"/>
          <w:szCs w:val="22"/>
        </w:rPr>
        <w:t>Public communications about AI incidents are approved by the Chief Executive Officer.</w:t>
      </w:r>
    </w:p>
    <w:p>
      <w:pPr>
        <w:pStyle w:val="ListParagraph"/>
        <w:numPr>
          <w:ilvl w:val="0"/>
          <w:numId w:val="1"/>
        </w:numPr>
        <w:spacing w:lineRule="exact" w:line="280" w:before="40" w:after="40"/>
        <w:rPr/>
      </w:pPr>
      <w:r>
        <w:rPr>
          <w:rFonts w:eastAsia="Arial" w:cs="Arial"/>
          <w:color w:val="1A1A1A"/>
          <w:sz w:val="22"/>
          <w:szCs w:val="22"/>
        </w:rPr>
        <w:t>The default position for material AI incidents affecting end-users is transparency, consistent with the AI Policy commitment to being honest about AI behaviour.</w:t>
      </w:r>
    </w:p>
    <w:p>
      <w:pPr>
        <w:pStyle w:val="Heading1"/>
        <w:spacing w:before="360" w:after="180"/>
        <w:rPr/>
      </w:pPr>
      <w:r>
        <w:rPr>
          <w:rFonts w:eastAsia="Arial" w:cs="Arial" w:ascii="Arial" w:hAnsi="Arial"/>
          <w:b/>
          <w:bCs/>
          <w:color w:val="0000FF"/>
          <w:sz w:val="36"/>
          <w:szCs w:val="36"/>
        </w:rPr>
        <w:t>11. Investigation and Eradication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Once contained, the incident is investigated to determine root cause and contributing factors.</w:t>
      </w:r>
    </w:p>
    <w:p>
      <w:pPr>
        <w:pStyle w:val="ListParagraph"/>
        <w:numPr>
          <w:ilvl w:val="0"/>
          <w:numId w:val="1"/>
        </w:numPr>
        <w:spacing w:lineRule="exact" w:line="280" w:before="40" w:after="40"/>
        <w:rPr/>
      </w:pPr>
      <w:r>
        <w:rPr>
          <w:rFonts w:eastAsia="Arial" w:cs="Arial"/>
          <w:color w:val="1A1A1A"/>
          <w:sz w:val="22"/>
          <w:szCs w:val="22"/>
        </w:rPr>
        <w:t>Investigation includes review of model behaviour, input data, monitoring signals, change history, and any third-party provider behaviour.</w:t>
      </w:r>
    </w:p>
    <w:p>
      <w:pPr>
        <w:pStyle w:val="ListParagraph"/>
        <w:numPr>
          <w:ilvl w:val="0"/>
          <w:numId w:val="1"/>
        </w:numPr>
        <w:spacing w:lineRule="exact" w:line="280" w:before="40" w:after="40"/>
        <w:rPr/>
      </w:pPr>
      <w:r>
        <w:rPr>
          <w:rFonts w:eastAsia="Arial" w:cs="Arial"/>
          <w:color w:val="1A1A1A"/>
          <w:sz w:val="22"/>
          <w:szCs w:val="22"/>
        </w:rPr>
        <w:t>Eradication addresses the root cause: model retraining, data correction, prompt redesign, monitoring improvements, provider change, process change, or combinations of these.</w:t>
      </w:r>
    </w:p>
    <w:p>
      <w:pPr>
        <w:pStyle w:val="ListParagraph"/>
        <w:numPr>
          <w:ilvl w:val="0"/>
          <w:numId w:val="1"/>
        </w:numPr>
        <w:spacing w:lineRule="exact" w:line="280" w:before="40" w:after="40"/>
        <w:rPr/>
      </w:pPr>
      <w:r>
        <w:rPr>
          <w:rFonts w:eastAsia="Arial" w:cs="Arial"/>
          <w:color w:val="1A1A1A"/>
          <w:sz w:val="22"/>
          <w:szCs w:val="22"/>
        </w:rPr>
        <w:t>Eradication is verified before recovery to production.</w:t>
      </w:r>
    </w:p>
    <w:p>
      <w:pPr>
        <w:pStyle w:val="Heading1"/>
        <w:spacing w:before="360" w:after="180"/>
        <w:rPr/>
      </w:pPr>
      <w:r>
        <w:rPr>
          <w:rFonts w:eastAsia="Arial" w:cs="Arial" w:ascii="Arial" w:hAnsi="Arial"/>
          <w:b/>
          <w:bCs/>
          <w:color w:val="0000FF"/>
          <w:sz w:val="36"/>
          <w:szCs w:val="36"/>
        </w:rPr>
        <w:t>12. Recovery and Resumption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Recovery to production is staged where feasible — limited rollout, monitoring, broader rollout.</w:t>
      </w:r>
    </w:p>
    <w:p>
      <w:pPr>
        <w:pStyle w:val="ListParagraph"/>
        <w:numPr>
          <w:ilvl w:val="0"/>
          <w:numId w:val="1"/>
        </w:numPr>
        <w:spacing w:lineRule="exact" w:line="280" w:before="40" w:after="40"/>
        <w:rPr/>
      </w:pPr>
      <w:r>
        <w:rPr>
          <w:rFonts w:eastAsia="Arial" w:cs="Arial"/>
          <w:color w:val="1A1A1A"/>
          <w:sz w:val="22"/>
          <w:szCs w:val="22"/>
        </w:rPr>
        <w:t>Customer-facing communication confirms recovery and any residual mitigations.</w:t>
      </w:r>
    </w:p>
    <w:p>
      <w:pPr>
        <w:pStyle w:val="ListParagraph"/>
        <w:numPr>
          <w:ilvl w:val="0"/>
          <w:numId w:val="1"/>
        </w:numPr>
        <w:spacing w:lineRule="exact" w:line="280" w:before="40" w:after="40"/>
        <w:rPr/>
      </w:pPr>
      <w:r>
        <w:rPr>
          <w:rFonts w:eastAsia="Arial" w:cs="Arial"/>
          <w:color w:val="1A1A1A"/>
          <w:sz w:val="22"/>
          <w:szCs w:val="22"/>
        </w:rPr>
        <w:t>Stand-down is declared by the AI Incident Manager once recovery is verified.</w:t>
      </w:r>
    </w:p>
    <w:p>
      <w:pPr>
        <w:pStyle w:val="Heading1"/>
        <w:spacing w:before="360" w:after="180"/>
        <w:rPr/>
      </w:pPr>
      <w:r>
        <w:rPr>
          <w:rFonts w:eastAsia="Arial" w:cs="Arial" w:ascii="Arial" w:hAnsi="Arial"/>
          <w:b/>
          <w:bCs/>
          <w:color w:val="0000FF"/>
          <w:sz w:val="36"/>
          <w:szCs w:val="36"/>
        </w:rPr>
        <w:t>13. Post-Incident Review</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Every Major and Critical AI incident is followed by a blameless post-incident review under the lessons-learned discipline (parallel to PRO-026 in the ISMS).</w:t>
      </w:r>
    </w:p>
    <w:p>
      <w:pPr>
        <w:pStyle w:val="ListParagraph"/>
        <w:numPr>
          <w:ilvl w:val="0"/>
          <w:numId w:val="1"/>
        </w:numPr>
        <w:spacing w:lineRule="exact" w:line="280" w:before="40" w:after="40"/>
        <w:rPr/>
      </w:pPr>
      <w:r>
        <w:rPr>
          <w:rFonts w:eastAsia="Arial" w:cs="Arial"/>
          <w:color w:val="1A1A1A"/>
          <w:sz w:val="22"/>
          <w:szCs w:val="22"/>
        </w:rPr>
        <w:t>Reviews focus on contributing factors and systemic improvements, not on individual blame.</w:t>
      </w:r>
    </w:p>
    <w:p>
      <w:pPr>
        <w:pStyle w:val="ListParagraph"/>
        <w:numPr>
          <w:ilvl w:val="0"/>
          <w:numId w:val="1"/>
        </w:numPr>
        <w:spacing w:lineRule="exact" w:line="280" w:before="40" w:after="40"/>
        <w:rPr/>
      </w:pPr>
      <w:r>
        <w:rPr>
          <w:rFonts w:eastAsia="Arial" w:cs="Arial"/>
          <w:color w:val="1A1A1A"/>
          <w:sz w:val="22"/>
          <w:szCs w:val="22"/>
        </w:rPr>
        <w:t>Findings feed continual improvement (Cl. 10.1) and AIMS management review (Cl. 9.3).</w:t>
      </w:r>
    </w:p>
    <w:p>
      <w:pPr>
        <w:pStyle w:val="ListParagraph"/>
        <w:numPr>
          <w:ilvl w:val="0"/>
          <w:numId w:val="1"/>
        </w:numPr>
        <w:spacing w:lineRule="exact" w:line="280" w:before="40" w:after="40"/>
        <w:rPr/>
      </w:pPr>
      <w:r>
        <w:rPr>
          <w:rFonts w:eastAsia="Arial" w:cs="Arial"/>
          <w:color w:val="1A1A1A"/>
          <w:sz w:val="22"/>
          <w:szCs w:val="22"/>
        </w:rPr>
        <w:t>Lessons are also fed into AISIA refresh, AI Risk Register update, and policy/procedure revision as appropriate.</w:t>
      </w:r>
    </w:p>
    <w:p>
      <w:pPr>
        <w:pStyle w:val="Heading1"/>
        <w:spacing w:before="360" w:after="180"/>
        <w:rPr/>
      </w:pPr>
      <w:r>
        <w:rPr>
          <w:rFonts w:eastAsia="Arial" w:cs="Arial" w:ascii="Arial" w:hAnsi="Arial"/>
          <w:b/>
          <w:bCs/>
          <w:color w:val="0000FF"/>
          <w:sz w:val="36"/>
          <w:szCs w:val="36"/>
        </w:rPr>
        <w:t>14. Records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Each AI incident is recorded in the AI Incident Register (AI-REG-INC-001).</w:t>
      </w:r>
    </w:p>
    <w:p>
      <w:pPr>
        <w:pStyle w:val="ListParagraph"/>
        <w:numPr>
          <w:ilvl w:val="0"/>
          <w:numId w:val="1"/>
        </w:numPr>
        <w:spacing w:lineRule="exact" w:line="280" w:before="40" w:after="40"/>
        <w:rPr/>
      </w:pPr>
      <w:r>
        <w:rPr>
          <w:rFonts w:eastAsia="Arial" w:cs="Arial"/>
          <w:color w:val="1A1A1A"/>
          <w:sz w:val="22"/>
          <w:szCs w:val="22"/>
        </w:rPr>
        <w:t>Records include detection, triage, classification, containment, investigation, eradication, recovery, communication, and lessons learned.</w:t>
      </w:r>
    </w:p>
    <w:p>
      <w:pPr>
        <w:pStyle w:val="ListParagraph"/>
        <w:numPr>
          <w:ilvl w:val="0"/>
          <w:numId w:val="1"/>
        </w:numPr>
        <w:spacing w:lineRule="exact" w:line="280" w:before="40" w:after="40"/>
        <w:rPr/>
      </w:pPr>
      <w:r>
        <w:rPr>
          <w:rFonts w:eastAsia="Arial" w:cs="Arial"/>
          <w:color w:val="1A1A1A"/>
          <w:sz w:val="22"/>
          <w:szCs w:val="22"/>
        </w:rPr>
        <w:t>Records are retained per POL-009 — minimum 6 years from closure.</w:t>
      </w:r>
    </w:p>
    <w:p>
      <w:pPr>
        <w:pStyle w:val="ListParagraph"/>
        <w:numPr>
          <w:ilvl w:val="0"/>
          <w:numId w:val="1"/>
        </w:numPr>
        <w:spacing w:lineRule="exact" w:line="280" w:before="40" w:after="40"/>
        <w:rPr/>
      </w:pPr>
      <w:r>
        <w:rPr>
          <w:rFonts w:eastAsia="Arial" w:cs="Arial"/>
          <w:color w:val="1A1A1A"/>
          <w:sz w:val="22"/>
          <w:szCs w:val="22"/>
        </w:rPr>
        <w:t>Records may also feed REG-CAR-001 (corrective actions), REG-RISK-001 / AI-REG-RISK-001 (risk update), and AISIA refresh.</w:t>
      </w:r>
    </w:p>
    <w:p>
      <w:pPr>
        <w:pStyle w:val="Heading1"/>
        <w:spacing w:before="360" w:after="180"/>
        <w:rPr/>
      </w:pPr>
      <w:r>
        <w:rPr>
          <w:rFonts w:eastAsia="Arial" w:cs="Arial" w:ascii="Arial" w:hAnsi="Arial"/>
          <w:b/>
          <w:bCs/>
          <w:color w:val="0000FF"/>
          <w:sz w:val="36"/>
          <w:szCs w:val="36"/>
        </w:rPr>
        <w:t>15. Coordination with Security Incident Response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Where an incident has both AI and security dimensions (e.g. prompt injection that exfiltrates data; AI provider compromise), this Plan and PLAN-IRP-001 (ISMS) operate in parallel under a single Incident Manager.</w:t>
      </w:r>
    </w:p>
    <w:p>
      <w:pPr>
        <w:pStyle w:val="ListParagraph"/>
        <w:numPr>
          <w:ilvl w:val="0"/>
          <w:numId w:val="1"/>
        </w:numPr>
        <w:spacing w:lineRule="exact" w:line="280" w:before="40" w:after="40"/>
        <w:rPr/>
      </w:pPr>
      <w:r>
        <w:rPr>
          <w:rFonts w:eastAsia="Arial" w:cs="Arial"/>
          <w:color w:val="1A1A1A"/>
          <w:sz w:val="22"/>
          <w:szCs w:val="22"/>
        </w:rPr>
        <w:t>The AI Incident Manager and the Information Security Manager coordinate continuously.</w:t>
      </w:r>
    </w:p>
    <w:p>
      <w:pPr>
        <w:pStyle w:val="ListParagraph"/>
        <w:numPr>
          <w:ilvl w:val="0"/>
          <w:numId w:val="1"/>
        </w:numPr>
        <w:spacing w:lineRule="exact" w:line="280" w:before="40" w:after="40"/>
        <w:rPr/>
      </w:pPr>
      <w:r>
        <w:rPr>
          <w:rFonts w:eastAsia="Arial" w:cs="Arial"/>
          <w:color w:val="1A1A1A"/>
          <w:sz w:val="22"/>
          <w:szCs w:val="22"/>
        </w:rPr>
        <w:t>A single incident record cross-references both registers.</w:t>
      </w:r>
    </w:p>
    <w:p>
      <w:pPr>
        <w:pStyle w:val="Heading1"/>
        <w:spacing w:before="360" w:after="180"/>
        <w:rPr/>
      </w:pPr>
      <w:r>
        <w:rPr>
          <w:rFonts w:eastAsia="Arial" w:cs="Arial" w:ascii="Arial" w:hAnsi="Arial"/>
          <w:b/>
          <w:bCs/>
          <w:color w:val="0000FF"/>
          <w:sz w:val="36"/>
          <w:szCs w:val="36"/>
        </w:rPr>
        <w:t>16. Coordination with Personal Data Breach Process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Where an AI incident involves personal data, PRO-024 Breach Notification Procedure applies in addition to this Plan.</w:t>
      </w:r>
    </w:p>
    <w:p>
      <w:pPr>
        <w:pStyle w:val="ListParagraph"/>
        <w:numPr>
          <w:ilvl w:val="0"/>
          <w:numId w:val="1"/>
        </w:numPr>
        <w:spacing w:lineRule="exact" w:line="280" w:before="40" w:after="40"/>
        <w:rPr/>
      </w:pPr>
      <w:r>
        <w:rPr>
          <w:rFonts w:eastAsia="Arial" w:cs="Arial"/>
          <w:color w:val="1A1A1A"/>
          <w:sz w:val="22"/>
          <w:szCs w:val="22"/>
        </w:rPr>
        <w:t>The Privacy Lead coordinates the regulatory notification path.</w:t>
      </w:r>
    </w:p>
    <w:p>
      <w:pPr>
        <w:pStyle w:val="ListParagraph"/>
        <w:numPr>
          <w:ilvl w:val="0"/>
          <w:numId w:val="1"/>
        </w:numPr>
        <w:spacing w:lineRule="exact" w:line="280" w:before="40" w:after="40"/>
        <w:rPr/>
      </w:pPr>
      <w:r>
        <w:rPr>
          <w:rFonts w:eastAsia="Arial" w:cs="Arial"/>
          <w:color w:val="1A1A1A"/>
          <w:sz w:val="22"/>
          <w:szCs w:val="22"/>
        </w:rPr>
        <w:t>AI-specific aspects of the breach (e.g. inferential disclosure, model behaviour) are addressed under this Plan; the data protection notification timeline runs in parallel.</w:t>
      </w:r>
    </w:p>
    <w:p>
      <w:pPr>
        <w:pStyle w:val="Heading1"/>
        <w:spacing w:before="360" w:after="180"/>
        <w:rPr/>
      </w:pPr>
      <w:r>
        <w:rPr>
          <w:rFonts w:eastAsia="Arial" w:cs="Arial" w:ascii="Arial" w:hAnsi="Arial"/>
          <w:b/>
          <w:bCs/>
          <w:color w:val="0000FF"/>
          <w:sz w:val="36"/>
          <w:szCs w:val="36"/>
        </w:rPr>
        <w:t>17. Testing and Exercising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Plan is exercised at least annually through a tabletop scenario.</w:t>
      </w:r>
    </w:p>
    <w:p>
      <w:pPr>
        <w:pStyle w:val="ListParagraph"/>
        <w:numPr>
          <w:ilvl w:val="0"/>
          <w:numId w:val="1"/>
        </w:numPr>
        <w:spacing w:lineRule="exact" w:line="280" w:before="40" w:after="40"/>
        <w:rPr/>
      </w:pPr>
      <w:r>
        <w:rPr>
          <w:rFonts w:eastAsia="Arial" w:cs="Arial"/>
          <w:color w:val="1A1A1A"/>
          <w:sz w:val="22"/>
          <w:szCs w:val="22"/>
        </w:rPr>
        <w:t>Scenarios cover at least: bias incident affecting a customer; provider behaviour change; prompt injection; model accuracy collapse.</w:t>
      </w:r>
    </w:p>
    <w:p>
      <w:pPr>
        <w:pStyle w:val="ListParagraph"/>
        <w:numPr>
          <w:ilvl w:val="0"/>
          <w:numId w:val="1"/>
        </w:numPr>
        <w:spacing w:lineRule="exact" w:line="280" w:before="40" w:after="40"/>
        <w:rPr/>
      </w:pPr>
      <w:r>
        <w:rPr>
          <w:rFonts w:eastAsia="Arial" w:cs="Arial"/>
          <w:color w:val="1A1A1A"/>
          <w:sz w:val="22"/>
          <w:szCs w:val="22"/>
        </w:rPr>
        <w:t>Exercise outcomes are recorded; findings feed continual improvement.</w:t>
      </w:r>
    </w:p>
    <w:p>
      <w:pPr>
        <w:pStyle w:val="Heading1"/>
        <w:spacing w:before="360" w:after="180"/>
        <w:rPr/>
      </w:pPr>
      <w:r>
        <w:rPr>
          <w:rFonts w:eastAsia="Arial" w:cs="Arial" w:ascii="Arial" w:hAnsi="Arial"/>
          <w:b/>
          <w:bCs/>
          <w:color w:val="0000FF"/>
          <w:sz w:val="36"/>
          <w:szCs w:val="36"/>
        </w:rPr>
        <w:t>18.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is reviewed at least annually and on material change to the AI portfolio, regulatory landscape, or operating model. Material changes are approved by the Chief Executive Officer and recorded in Annex B.</w:t>
      </w:r>
    </w:p>
    <w:p>
      <w:pPr>
        <w:pStyle w:val="Heading1"/>
        <w:spacing w:before="360" w:after="180"/>
        <w:rPr/>
      </w:pPr>
      <w:r>
        <w:rPr>
          <w:rFonts w:eastAsia="Arial" w:cs="Arial" w:ascii="Arial" w:hAnsi="Arial"/>
          <w:b/>
          <w:bCs/>
          <w:color w:val="0000FF"/>
          <w:sz w:val="36"/>
          <w:szCs w:val="36"/>
        </w:rPr>
        <w:t>19.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Personnel involved in incident response (AI Governance Lead, CTO, Privacy Lead, on-call rota, customer-facing leads) are required to acknowledge this Plan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ISO/IEC 42001:2023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ISO/IEC 42001:2023 Annex A controls, as recorded in the Cloudax AIMS Statement of Applicability (AIMS-SOA-001 v1.0).</w:t>
      </w:r>
    </w:p>
    <w:tbl>
      <w:tblPr>
        <w:tblW w:w="9026" w:type="dxa"/>
        <w:jc w:val="start"/>
        <w:tblInd w:w="0" w:type="dxa"/>
        <w:tblLayout w:type="fixed"/>
        <w:tblCellMar>
          <w:top w:w="100" w:type="dxa"/>
          <w:start w:w="140" w:type="dxa"/>
          <w:bottom w:w="100" w:type="dxa"/>
          <w:end w:w="14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A.6.2.6</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AI system operation and monitoring</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A.8.4</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Communication of incidents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A.10.4</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Customers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A.5.2</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AI system impact assessment process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A.3.3</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Reporting of concerns</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42001:2023 and Cloudax AIMS Statement of Applicability v1.0.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AI-PLAN-IRP-001 AI Incident Response Plan  •  Internal  </w:t>
      <w:tab/>
      <w:t>v1.0  •  April 2026</w:t>
      <w:tab/>
      <w:t xml:space="preserve">Page </w:t>
    </w:r>
    <w:r>
      <w:rPr/>
      <w:fldChar w:fldCharType="begin"/>
    </w:r>
    <w:r>
      <w:rPr/>
      <w:instrText xml:space="preserve"> PAGE </w:instrText>
    </w:r>
    <w:r>
      <w:rPr/>
      <w:fldChar w:fldCharType="separate"/>
    </w:r>
    <w:r>
      <w:rPr/>
      <w:t>11</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AI-PLAN-IRP-001 AI Incident Response Plan  •  Internal  </w:t>
      <w:tab/>
      <w:t>v1.0  •  April 2026</w:t>
      <w:tab/>
      <w:t xml:space="preserve">Page </w:t>
    </w:r>
    <w:r>
      <w:rPr/>
      <w:fldChar w:fldCharType="begin"/>
    </w:r>
    <w:r>
      <w:rPr/>
      <w:instrText xml:space="preserve"> PAGE </w:instrText>
    </w:r>
    <w:r>
      <w:rPr/>
      <w:fldChar w:fldCharType="separate"/>
    </w:r>
    <w:r>
      <w:rPr/>
      <w:t>11</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2026-04-23T15:14:20Z</dcterms:created>
  <dc:creator>David Stokes</dc:creator>
  <dc:description/>
  <dc:language>en-US</dc:language>
  <cp:lastModifiedBy>David Stokes</cp:lastModifiedBy>
  <dcterms:modified xsi:type="dcterms:W3CDTF">2026-04-23T15:56:20Z</dcterms:modified>
  <cp:revision>1</cp:revision>
  <dc:subject/>
  <dc:title>Cloudax AI Incident Response Plan</dc:title>
</cp:coreProperties>
</file>

<file path=docProps/custom.xml><?xml version="1.0" encoding="utf-8"?>
<Properties xmlns="http://schemas.openxmlformats.org/officeDocument/2006/custom-properties" xmlns:vt="http://schemas.openxmlformats.org/officeDocument/2006/docPropsVTypes"/>
</file>