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42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4"/>
                <w:szCs w:val="44"/>
              </w:rPr>
              <w:t>AIMS Compliance Monitoring Schedule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AI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AI-PROG-COMP-001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 Compliance Monitoring Schedule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Governance Lead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AIMS-SOA-001 v1.0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Compliance Domains Covered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Monitoring Methods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The Schedule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8.1 Continuous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8.2 Monthly Activities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8.3 Quarterly Activities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8.4 Annual Activities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Recording Findings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Escalation and Corrective Action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Reporting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ISO/IEC 42001:2023 Clause Mapping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Compliance Monitoring Schedule defines how Cloudax Ltd. monitors compliance with its AI policies, procedures, controls, and applicable legal, regulatory, and contractual obligations relating to AI.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ISO 42001 reference: Clause 9.1 Monitoring, measurement, analysis and evaluation; A.6.2.6 AI system operation and monitoring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Schedule applies to all AI systems, processes, and personnel within the AIMS scope.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Compliance: </w:t>
      </w:r>
      <w:r>
        <w:rPr>
          <w:rFonts w:eastAsia="Arial" w:cs="Arial"/>
          <w:color w:val="1A1A1A"/>
          <w:sz w:val="22"/>
          <w:szCs w:val="22"/>
        </w:rPr>
        <w:t>the state of conforming to applicable AI obligations.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Monitoring: </w:t>
      </w:r>
      <w:r>
        <w:rPr>
          <w:rFonts w:eastAsia="Arial" w:cs="Arial"/>
          <w:color w:val="1A1A1A"/>
          <w:sz w:val="22"/>
          <w:szCs w:val="22"/>
        </w:rPr>
        <w:t>the systematic examination of AI activities to assess conformity and effectiveness.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Finding: </w:t>
      </w:r>
      <w:r>
        <w:rPr>
          <w:rFonts w:eastAsia="Arial" w:cs="Arial"/>
          <w:color w:val="1A1A1A"/>
          <w:sz w:val="22"/>
          <w:szCs w:val="22"/>
        </w:rPr>
        <w:t>an observation arising from monitoring that requires recording, classification, and where appropriate corrective action.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Risk-based: monitoring focuses on the highest-risk AI systems and on obligations with the most material consequences.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Continuous where possible: production AI behaviour is monitored continuously; periodic review supplements.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Proportionate: monitoring is calibrated to Cloudax’s size.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Independent where it matters: high-stakes monitoring is performed by someone other than the activity owner.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Action-oriented: findings drive corrective action, not just reporting.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Governance Lead: owns this Schedule; coordinates AI monitoring; consolidates findings; reports to AIMS management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owns monitoring of AI system technical performance and behaviour.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owns monitoring of AI privacy and data subject impact.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Process owners: cooperate with monitoring of processes within their domain.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Internal auditor: conducts independent compliance audits as part of AI-PROG-AUDIT-001.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Compliance Domains Covered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ISO/IEC 42001:2023 conformance, including the controls in AIMS-SOA-001 v1.0.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UK GDPR and DPA 2018 in respect of AI processing.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Future UK and EU AI regulation as it comes into effect (e.g. EU AI Act high-risk system obligations where applicable).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contractual AI obligations.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internal AI policies and procedures.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Monitoring Methods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Automated technical monitoring: </w:t>
      </w:r>
      <w:r>
        <w:rPr>
          <w:rFonts w:eastAsia="Arial" w:cs="Arial"/>
          <w:color w:val="1A1A1A"/>
          <w:sz w:val="22"/>
          <w:szCs w:val="22"/>
        </w:rPr>
        <w:t>AI accuracy, drift, fairness indicators, monitoring of third-party provider behaviour, output filtering alerts.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Sample-based review: </w:t>
      </w:r>
      <w:r>
        <w:rPr>
          <w:rFonts w:eastAsia="Arial" w:cs="Arial"/>
          <w:color w:val="1A1A1A"/>
          <w:sz w:val="22"/>
          <w:szCs w:val="22"/>
        </w:rPr>
        <w:t>sampled AISIA records, AI training records, AI incident records, model evaluation outputs.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Walkthrough: </w:t>
      </w:r>
      <w:r>
        <w:rPr>
          <w:rFonts w:eastAsia="Arial" w:cs="Arial"/>
          <w:color w:val="1A1A1A"/>
          <w:sz w:val="22"/>
          <w:szCs w:val="22"/>
        </w:rPr>
        <w:t>guided demonstration that an AI procedure operates as documented.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Internal audit: </w:t>
      </w:r>
      <w:r>
        <w:rPr>
          <w:rFonts w:eastAsia="Arial" w:cs="Arial"/>
          <w:color w:val="1A1A1A"/>
          <w:sz w:val="22"/>
          <w:szCs w:val="22"/>
        </w:rPr>
        <w:t>structured assessment under AI-PROG-AUDIT-001.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Management review: </w:t>
      </w:r>
      <w:r>
        <w:rPr>
          <w:rFonts w:eastAsia="Arial" w:cs="Arial"/>
          <w:color w:val="1A1A1A"/>
          <w:sz w:val="22"/>
          <w:szCs w:val="22"/>
        </w:rPr>
        <w:t>regular review of AIMS performance against AI objectives, risk, and incidents.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The Schedule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8.1 Continuous Monitoring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These activities run continuously, supported by tooling and on-call coverage.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3500"/>
        <w:gridCol w:w="2499"/>
        <w:gridCol w:w="3027"/>
      </w:tblGrid>
      <w:tr>
        <w:trPr>
          <w:tblHeader w:val="true"/>
        </w:trPr>
        <w:tc>
          <w:tcPr>
            <w:tcW w:w="3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ACTIVITY</w:t>
            </w:r>
          </w:p>
        </w:tc>
        <w:tc>
          <w:tcPr>
            <w:tcW w:w="24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3027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EVIDENCE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AI accuracy and performance metrics in production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CTO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Production dashboards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AI drift detection alerts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CTO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Drift alert tickets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AI fairness indicators (where instrumented)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CTO + Privacy Lead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Fairness dashboard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Third-party AI provider status and behaviour change notifications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Governance Lead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Provider notification log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AI output filter / safety classifier alerts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CTO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Safety classifier console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Personnel reports of AI concerns (PRO-027)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Governance Lead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Event log</w:t>
            </w:r>
          </w:p>
        </w:tc>
      </w:tr>
    </w:tbl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8.2 Monthly Activities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3500"/>
        <w:gridCol w:w="2499"/>
        <w:gridCol w:w="3027"/>
      </w:tblGrid>
      <w:tr>
        <w:trPr>
          <w:tblHeader w:val="true"/>
        </w:trPr>
        <w:tc>
          <w:tcPr>
            <w:tcW w:w="3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ACTIVITY</w:t>
            </w:r>
          </w:p>
        </w:tc>
        <w:tc>
          <w:tcPr>
            <w:tcW w:w="24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3027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EVIDENCE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Review of AI accuracy / drift / fairness indicator trends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CTO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Monthly trend report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Review of AI incidents in month (AI-REG-INC-001)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Governance Lead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Incident summary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Review of AI changes deployed to production (AI-PRO-005)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CTO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Change log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Review of AISIA pipeline (any in flight; any stalled)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Governance Lead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AISIA register</w:t>
            </w:r>
          </w:p>
        </w:tc>
      </w:tr>
    </w:tbl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8.3 Quarterly Activities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3500"/>
        <w:gridCol w:w="2499"/>
        <w:gridCol w:w="3027"/>
      </w:tblGrid>
      <w:tr>
        <w:trPr>
          <w:tblHeader w:val="true"/>
        </w:trPr>
        <w:tc>
          <w:tcPr>
            <w:tcW w:w="3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ACTIVITY</w:t>
            </w:r>
          </w:p>
        </w:tc>
        <w:tc>
          <w:tcPr>
            <w:tcW w:w="24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3027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EVIDENCE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High and Critical AI risk reviews (AIMS-RTP-001)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Governance Lead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Risk Register entries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Tier 1 third-party AI provider review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Governance Lead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Provider review notes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AI feature accuracy summary by demographic stratification (where applicable)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CTO + Privacy Lead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Stratified accuracy report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Compliance Monitoring summary to management review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Governance Lead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Management Review Log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Review of customer-facing AI documentation currency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Governance Lead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Documentation review notes</w:t>
            </w:r>
          </w:p>
        </w:tc>
      </w:tr>
    </w:tbl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8.4 Annual Activities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3500"/>
        <w:gridCol w:w="2499"/>
        <w:gridCol w:w="3027"/>
      </w:tblGrid>
      <w:tr>
        <w:trPr>
          <w:tblHeader w:val="true"/>
        </w:trPr>
        <w:tc>
          <w:tcPr>
            <w:tcW w:w="3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ACTIVITY</w:t>
            </w:r>
          </w:p>
        </w:tc>
        <w:tc>
          <w:tcPr>
            <w:tcW w:w="24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3027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EVIDENCE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AIMS-SOA-001 review and re-issue if material changes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Governance Lead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Updated AIMS-SOA-001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AI Risk Assessment refresh (AIMS-RA-001)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Governance Lead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Updated AI-REG-RISK-001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AISIA refresh for all production AI systems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Governance Lead + Privacy Lead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Refreshed AI-REG-AISIA-001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AI training programme delivery and completion review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Governance Lead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Training records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Internal audit cycle execution per AI-PROG-AUDIT-001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Internal auditor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Audit report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Annual AIMS policy review (AI-POL-001 and all subordinate policies)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Governance Lead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Policy review record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Annual AIMS management review (Cl. 9.3)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CEO + AI Governance Lead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AI-MGT-MR-LOG entry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AI horizon scan (regulation, threats, AI standards)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Governance Lead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Horizon scan report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Tier 1 and Tier 2 third-party AI provider annual assurance refresh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Governance Lead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Provider evidence pack</w:t>
            </w:r>
          </w:p>
        </w:tc>
      </w:tr>
      <w:tr>
        <w:trPr/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AI incident response tabletop exercise (AI-PLAN-IRP-001)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Governance Lead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Exercise report</w:t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Recording Findings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Findings are recorded with date, source, description, classification, owner, and target closure date.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Findings are entered in REG-CAR-001 Corrective Actions Register where corrective action is required.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the finding indicates a material AI risk, AI-REG-RISK-001 is updated.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the finding indicates a personal data breach, PRO-024 applies; where it is also an AI incident, AI-PLAN-IRP-001 applies.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Escalation and Corrective Action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Findings classified as material are escalated to the AI Governance Lead within one business day.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Critical findings (potential breach, active harm, regulator interest) are escalated to the Chief Executive Officer immediately.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Corrective actions are tracked to closure under AI-PRO-031 (cross-reference to PRO-031) and REG-CAR-001.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Reporting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 consolidated AI compliance summary is reported to AIMS management review at least every six months.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Significant findings are reported promptly between cycles.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Trends are tracked over time as a leading indicator of AIMS health.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Schedule is reviewed at least annually and on material change.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Personnel involved in compliance monitoring are required to acknowledge this Schedule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ISO/IEC 42001:2023 Clause Mapping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clauses of ISO/IEC 42001:2023. The authoritative AIMS scope and Annex A control selection are recorded in the AIMS Statement of Applicability (AIMS-SOA-001 v1.0).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299"/>
        <w:gridCol w:w="2400"/>
        <w:gridCol w:w="5327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CLAUSE</w:t>
            </w:r>
          </w:p>
        </w:tc>
        <w:tc>
          <w:tcPr>
            <w:tcW w:w="24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TITLE</w:t>
            </w:r>
          </w:p>
        </w:tc>
        <w:tc>
          <w:tcPr>
            <w:tcW w:w="5327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HOW THIS DOCUMENT GIVES EFFECT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9.1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Monitoring, measurement, analysis and evaluation</w:t>
            </w:r>
          </w:p>
        </w:tc>
        <w:tc>
          <w:tcPr>
            <w:tcW w:w="5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Sections 4–9 establish monitoring.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9.3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Management review</w:t>
            </w:r>
          </w:p>
        </w:tc>
        <w:tc>
          <w:tcPr>
            <w:tcW w:w="5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Section 11 establishes reporting.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A.6.2.6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system operation and monitoring</w:t>
            </w:r>
          </w:p>
        </w:tc>
        <w:tc>
          <w:tcPr>
            <w:tcW w:w="5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Sections 7 and 8.1 establish operational monitoring.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AI Governance Lead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42001:2023.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AI-PROG-COMP-001 AIMS Compliance Monitoring Schedule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AI-PROG-COMP-001 AIMS Compliance Monitoring Schedule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2026-04-14T15:56:27Z</dcterms:created>
  <dc:creator>David Stokes</dc:creator>
  <dc:description/>
  <dc:language>en-US</dc:language>
  <cp:lastModifiedBy>David Stokes</cp:lastModifiedBy>
  <dcterms:modified xsi:type="dcterms:W3CDTF">2026-04-14T17:44:27Z</dcterms:modified>
  <cp:revision>1</cp:revision>
  <dc:subject/>
  <dc:title>Cloudax AIMS Compliance Monitoring Schedule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