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42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AI Transparency and Information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AI-POL-007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Transparency and Information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System Documentation and Information for Users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External Reporting Channels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Communication of Incidents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Information for Other Interested Parties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Customer-Facing AI Documentation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End-User Awareness of AI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Public Position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ISO/IEC 42001:2023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governs how Cloudax communicates information about its AI systems to interested parties — customers, end-users, regulators, and the public. It implements ISO/IEC 42001:2023 Annex A.8 and supports the AI Policy commitment to honesty about AI capability and limitations.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A.8.2 System documentation and information for users; A.8.3 External reporting; A.8.4 Communication of incidents; A.8.5 Information for interested parties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communications about Cloudax AI systems made by or on behalf of Cloudax, including product documentation, customer-facing materials, regulator communications, marketing, and public statements.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Interested party: </w:t>
      </w:r>
      <w:r>
        <w:rPr>
          <w:rFonts w:eastAsia="Arial" w:cs="Arial"/>
          <w:color w:val="1A1A1A"/>
          <w:sz w:val="22"/>
          <w:szCs w:val="22"/>
        </w:rPr>
        <w:t>any party with a stake in or affected by Cloudax’s AI systems — customers, end-users, regulators, partners, the public.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System documentation: </w:t>
      </w:r>
      <w:r>
        <w:rPr>
          <w:rFonts w:eastAsia="Arial" w:cs="Arial"/>
          <w:color w:val="1A1A1A"/>
          <w:sz w:val="22"/>
          <w:szCs w:val="22"/>
        </w:rPr>
        <w:t>the documentation of an AI system’s purpose, capabilities, limitations, and intended use.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External reporting: </w:t>
      </w:r>
      <w:r>
        <w:rPr>
          <w:rFonts w:eastAsia="Arial" w:cs="Arial"/>
          <w:color w:val="1A1A1A"/>
          <w:sz w:val="22"/>
          <w:szCs w:val="22"/>
        </w:rPr>
        <w:t>formal communications to authorities or other external bodies about an AI system or its operation.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Honest — capabilities are not overstated; limitations are not concealed.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Plain language — communications are accessible to the intended audience, not gated by technical jargon.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Timely — material information is provided in good time for the recipient to act on it.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Coordinated — a single coherent voice across customer, regulator, and public communications.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Privacy-respecting — transparency does not disclose customer data or personal data without lawful basis.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owns this Policy; coordinates AI-related external communications.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Executive Officer: approves material public communications and regulator engagement.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contributes technical accuracy review for AI system documentation.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contributes privacy review; leads ICO communications under PRO-024.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leads: own customer-facing AI documentation and customer communication.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 personnel: refer external AI enquiries to the appropriate role; do not communicate externally outside their authority.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System Documentation and Information for Users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AI system has documentation describing: purpose; intended use; intended users; capabilities; limitations; data inputs; expected behaviour; performance characteristics in operationally relevant conditions; known failure modes; how the system is monitored.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Documentation distinguishes what the system can do from what users may infer it can do; common misunderstandings are explicitly addressed.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Documentation is reviewed and refreshed at material change to the AI system.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Documentation is held with the AI system entry in AI-REG-INV-001.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External Reporting Channels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Cloudax maintains the following external channels for AI-related matters: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channel for AI questions, issues, and feedback (typically through the customer success team).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Privacy-related channel coordinated by the Privacy Lead (privacy@cloudax.io or equivalent).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Security-related channel for AI security issues (security@cloudax.io).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Regulator engagement channel through the AI Governance Lead and CEO.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Whistleblowing channel for serious concerns (cross-reference to POL-011 §12).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Authority contacts including the ICO, NCSC, and any future AI regulator are recorded in REG-AUTH-001.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Communication of Incidents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incident communication follows AI-PLAN-IRP-001.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Affected customers are notified per their contract and the AI Policy commitments.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Regulator notification (ICO and others) follows PRO-024 for personal-data-related incidents and AI-PLAN-IRP-001 for other regulatory engagement.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Public communication of material AI incidents is approved by the CEO and follows the principles in Section 4 — honest, plain, timely.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Internal incident communication follows AI-PLAN-IRP-001 §10.1.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Information for Other Interested Parties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Beyond customers and end-users, Cloudax may need to provide AI information to: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Investors and partners — typically through commercial channels under appropriate confidentiality.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Regulators — through the channels in Section 7.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Researchers and the public interested in responsible AI — through summary public materials.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Future certification bodies — through the AIMS evidence pack.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Customer-Facing AI Documentation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AI documentation is prepared for every AI feature in the Cloudax platform that materially affects customer outcomes.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documentation covers: what the feature does, what it does not do, how to interpret outputs, known limitations, how to escalate problems, where outputs may be wrong.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documentation is published before customer-facing release of the feature.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DPAs reference the AI components and any third-party AI sub-processors.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End-User Awareness of AI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Cloudax’s platform interacts with end-users (callers in customer conversations), Cloudax supports the customer in providing appropriate awareness that AI is involved.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regulation requires AI awareness disclosure to end-users (e.g. in certain jurisdictions, sectors, or future EU AI Act provisions), the platform supports compliance.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does not actively conceal the use of AI from end-users where awareness would reasonably matter.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Public Position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Cloudax’s public position on AI is consistent with the AI Policy principles.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Marketing claims about AI capabilities are reviewed for accuracy by the CTO and AI Governance Lead before publication.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Public engagement on AI standards, regulation, and good practice is encouraged where it does not breach customer confidentiality.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system documentation is held with the AI system entry in AI-REG-INV-001.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AI documentation is held in the customer-facing knowledge base / documentation system.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external AI communications (regulator submissions, public statements) are recorded.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is monitored under AI-PROG-COMP-001 and audited under AI-PROG-AUDIT-001.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Auditors will typically sample customer-facing AI documentation for currency and accuracy.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 to AI regulatory expectations or the Cloudax AI portfolio.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Personnel involved in customer-facing communication and external engagement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ISO/IEC 42001:2023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42001:2023 Annex A controls, as recorded in the Cloudax AIMS Statement of Applicability (AIMS-SOA-001 v1.0).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A.8.2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System documentation and information for users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A.8.3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External reporting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A.8.4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Communication of incidents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A.8.5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Information for interested parties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42001:2023 and Cloudax AIMS Statement of Applicability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AI-POL-007 AI Transparency and Information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AI-POL-007 AI Transparency and Information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2026-04-09T07:54:48Z</dcterms:created>
  <dc:creator>David Stokes</dc:creator>
  <dc:description/>
  <dc:language>en-US</dc:language>
  <cp:lastModifiedBy>David Stokes</cp:lastModifiedBy>
  <dcterms:modified xsi:type="dcterms:W3CDTF">2026-04-09T08:22:48Z</dcterms:modified>
  <cp:revision>1</cp:revision>
  <dc:subject/>
  <dc:title>Cloudax AI Transparency and Information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