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Third-Party AI Relationships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AI-POL-009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Third-Party AI Relationships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Allocation of AI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Third-Party AI Suppliers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Onboarding Assessment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Contractual Requirements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Sub-Processor Disclosure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7.4 In-Life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7.5 Exit and Continuity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Customer-Facing AI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Foundation Model Providers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Concentration Risk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Cloudax’s relationships with third parties in the context of AI — third-party AI providers, customers using Cloudax AI capabilities, and partners involved in AI activity. It implements ISO/IEC 42001:2023 Annex A.10.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A.10.2 Allocating responsibilities; A.10.3 Suppliers; A.10.4 Customers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to:</w:t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AI providers that Cloudax consumes capabilities from (LLMs, ASR/TTS, foundation models, embedding services, AI tooling).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customers who consume the Cloudax platform with its AI capabilities.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Partners involved in AI development, integration, or operation.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It operates alongside the existing Supplier Security Policy (POL-006) and procedures (PRO-021, PRO-022); this Policy adds AI-specific requirements.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Third-party AI provider: </w:t>
      </w:r>
      <w:r>
        <w:rPr>
          <w:rFonts w:eastAsia="Arial" w:cs="Arial"/>
          <w:color w:val="1A1A1A"/>
          <w:sz w:val="22"/>
          <w:szCs w:val="22"/>
        </w:rPr>
        <w:t>an external party providing AI capabilities consumed by Cloudax — e.g. an LLM API, an ASR service, a foundation model.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AI sub-processor: </w:t>
      </w:r>
      <w:r>
        <w:rPr>
          <w:rFonts w:eastAsia="Arial" w:cs="Arial"/>
          <w:color w:val="1A1A1A"/>
          <w:sz w:val="22"/>
          <w:szCs w:val="22"/>
        </w:rPr>
        <w:t>a third-party AI provider that processes customer personal data on Cloudax’s behalf as part of the platform.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Allocation of responsibilities: </w:t>
      </w:r>
      <w:r>
        <w:rPr>
          <w:rFonts w:eastAsia="Arial" w:cs="Arial"/>
          <w:color w:val="1A1A1A"/>
          <w:sz w:val="22"/>
          <w:szCs w:val="22"/>
        </w:rPr>
        <w:t>the documented division of accountability between Cloudax, customers, and providers in respect of AI outcomes.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remains accountable to its customers and end-users for the AI capabilities it provides, regardless of the upstream providers it relies 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Allocation of AI responsibilities is documented — between Cloudax and providers, and between Cloudax and customers.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Third-party AI providers are assessed before onboarding and monitored in life.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Concentration risk is managed — reliance on a single provider for a critical capability is a recognised risk.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transparency about third-party AI providers is provided through the customer DPA and ongoing communication.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Policy; coordinates third-party AI provider assessment and ongoing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technical assessment of providers; owns the technical integration.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owns sub-processor disclosure to customers and DPA arrangements.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leads: own customer-side communication of third-party AI provider arrangements.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contributes security assessment via the existing supplier process (POL-006).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Allocation of AI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AI responsibilities are allocated explicitly. The default allocation: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500"/>
        <w:gridCol w:w="4525"/>
      </w:tblGrid>
      <w:tr>
        <w:trPr>
          <w:tblHeader w:val="true"/>
        </w:trPr>
        <w:tc>
          <w:tcPr>
            <w:tcW w:w="4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RESPONSIBILITY</w:t>
            </w:r>
          </w:p>
        </w:tc>
        <w:tc>
          <w:tcPr>
            <w:tcW w:w="45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ALLOCATION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Selection of fit-for-purpose AI providers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Cloudax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Documentation of provider data handling and behaviour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Cloudax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Provision of AI capability with documented behaviour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Sub-processor commitments (no-training where required, residency, etc.)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Provider, contractually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AISIA of the integrated AI system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Cloudax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Customer-side use of Cloudax AI capabilities (intended and out-of-intended)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Customer, supported by Cloudax design and contract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End-user awareness of AI in conversations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 (with Cloudax support and any required design)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AI incident response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Cloudax (coordinating with provider where provider-side cause)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Personal data breach notification to ICO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Cloudax (controller-side actions for customer data; coordinating with customer where customer is controller)</w:t>
            </w:r>
          </w:p>
        </w:tc>
      </w:tr>
      <w:tr>
        <w:trPr/>
        <w:tc>
          <w:tcPr>
            <w:tcW w:w="4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 obligations under their own regulators</w:t>
            </w:r>
          </w:p>
        </w:tc>
        <w:tc>
          <w:tcPr>
            <w:tcW w:w="45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</w:t>
            </w:r>
          </w:p>
        </w:tc>
      </w:tr>
    </w:tbl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Specific contracts may vary the default allocation; the variation is documented.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Third-Party AI Suppliers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Onboarding Assessment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third-party AI provider is assessed before onboarding. Assessment covers, in addition to standard supplier assurance (PRO-021):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handling commitments — data submitted to the provider is or is not used for training; retention windows; deletion.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 behaviour assurance — provider-published evaluations, model cards, system cards, safety evaluations.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Hosting region and jurisdiction — alignment with customer data residency commitments.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posture — standard supplier assurance plus AI-specific concerns (e.g. multi-tenancy isolation, prompt injection resistance, output filter availability).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track record — service availability, behaviour change history, incident handling.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Exit feasibility — ability to migrate to an alternative provider, time and effort required.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Contractual Requirements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provider contract addresses: data handling, sub-processing, security, incident notification, change notification, exit, audit / assurance rights, applicable law.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provider processes customer personal data, an Article 28 UK GDPR-compliant DPA is in place.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provider may handle customer voice or transcript data, the contract reflects Cloudax’s commitment that this data is not used for upstream training without customer permission.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International transfer safeguards (IDTA / SCCs / adequacy) are documented for any cross-border data flow.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Sub-Processor Disclosure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customers are notified of material AI sub-processors per the customer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AI sub-processors are notified to customers within the timeframe specified in the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objection process is operated per the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Third-Party AI Provider Register (AI-REG-3P-001) records the canonical list of AI sub-processors.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7.4 In-Life Monitoring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1 AI providers (those whose behaviour materially affects Cloudax service or customer outcomes) are monitored continuously for status, behaviour change, and incident notifications.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Periodic review per PRO-022 is extended for AI providers to cover: data handling commitment refresh, model behaviour change, evaluation refresh, sub-processor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Provider behaviour changes that affect production AI systems trigger AI change management (AI-PRO-005) and may trigger AISIA refresh.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7.5 Exit and Continuity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1 AI providers have a documented exit plan covering: notification timeline, data return / destruction, migration to alternative provider, customer communication.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feasible, the Cloudax architecture supports provider abstraction so that an alternative provider can be substituted with reasonable effort.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Provider failure or unilateral capability withdrawal is a recognised AI risk in AI-REG-RISK-001.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Customer-Facing AI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responsibilities for the use of Cloudax AI capabilities are documented in the customer contract and customer-facing documentation.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obligations include: configuring the platform within its intended use; providing required information to end-users where regulation requires; cooperating in incident response; raising AI concerns through the agreed channels.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supports customers in meeting their own AI obligations to their regulators where the support is feasible and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Foundation Model Providers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Foundation model providers (e.g. providers of large s or large speech models) receive enhanced attention because of their material role in Cloudax’s AI behaviour.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Onboarding assessment includes review of: model card, system card, safety evaluations, alignment commitments, abuse policies.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In-life monitoring includes tracking: model version changes; behaviour change announcements; safety policy changes; capability additions or withdrawals.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Migration between foundation model providers is recognised as a substantial change requiring AISIA refresh, evaluation, and customer notification.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Concentration Risk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avoids dependence on a single AI provider for capabilities critical to customer service unless there is documented justification.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dependence on a single provider is unavoidable, mitigations include: contractual continuity terms, provider behaviour monitoring, technical abstraction, and a documented contingency plan.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Concentration risk is reviewed annually as part of supplier assurance.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AI-REG-3P-001 holds the master Third-Party AI Provider Register.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Provider assessment records, contracts, and review records are held with the supplier entry.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AI sub-processor disclosures are held with customer DPA records.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Tier 1 AI providers and request the corresponding assessment, contract, and review evidence.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the AI provider landscape or customer obligations.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AI provider engagement, customer engagement, and customer DPA management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A.10.2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Allocating responsibilities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A.10.3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Suppliers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A.10.4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Customers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A.5.19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in supplier relationships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Managing information security in the ICT supply chain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AI-POL-009 Third-Party AI Relationships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AI-POL-009 Third-Party AI Relationships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2026-04-14T08:16:04Z</dcterms:created>
  <dc:creator>David Stokes</dc:creator>
  <dc:description/>
  <dc:language>en-US</dc:language>
  <cp:lastModifiedBy>David Stokes</cp:lastModifiedBy>
  <dcterms:modified xsi:type="dcterms:W3CDTF">2026-04-14T11:47:04Z</dcterms:modified>
  <cp:revision>1</cp:revision>
  <dc:subject/>
  <dc:title>Cloudax Third-Party AI Relationships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