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header2.xml.rels" ContentType="application/vnd.openxmlformats-package.relationship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media/image2.png" ContentType="image/png"/>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026" w:type="dxa"/>
        <w:jc w:val="start"/>
        <w:tblInd w:w="0" w:type="dxa"/>
        <w:tblLayout w:type="fixed"/>
        <w:tblCellMar>
          <w:top w:w="700" w:type="dxa"/>
          <w:start w:w="600" w:type="dxa"/>
          <w:bottom w:w="700" w:type="dxa"/>
          <w:end w:w="600" w:type="dxa"/>
        </w:tblCellMar>
      </w:tblPr>
      <w:tblGrid>
        <w:gridCol w:w="9026"/>
      </w:tblGrid>
      <w:tr>
        <w:trPr>
          <w:trHeight w:val="4200" w:hRule="atLeast"/>
        </w:trPr>
        <w:tc>
          <w:tcPr>
            <w:tcW w:w="9026" w:type="dxa"/>
            <w:tcBorders/>
            <w:shd w:fill="0000FF" w:val="clear"/>
          </w:tcPr>
          <w:p>
            <w:pPr>
              <w:pStyle w:val="Normal"/>
              <w:spacing w:before="0" w:after="300"/>
              <w:jc w:val="center"/>
              <w:rPr/>
            </w:pPr>
            <w:r>
              <w:rPr/>
              <w:drawing>
                <wp:inline distT="0" distB="0" distL="0" distR="0">
                  <wp:extent cx="1428750" cy="1085850"/>
                  <wp:effectExtent l="0" t="0" r="0" b="0"/>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tretch>
                            <a:fillRect/>
                          </a:stretch>
                        </pic:blipFill>
                        <pic:spPr bwMode="auto">
                          <a:xfrm>
                            <a:off x="0" y="0"/>
                            <a:ext cx="1428750" cy="1085850"/>
                          </a:xfrm>
                          <a:prstGeom prst="rect">
                            <a:avLst/>
                          </a:prstGeom>
                        </pic:spPr>
                      </pic:pic>
                    </a:graphicData>
                  </a:graphic>
                </wp:inline>
              </w:drawing>
            </w:r>
          </w:p>
          <w:p>
            <w:pPr>
              <w:pStyle w:val="Normal"/>
              <w:spacing w:before="0" w:after="180"/>
              <w:jc w:val="center"/>
              <w:rPr/>
            </w:pPr>
            <w:r>
              <w:rPr>
                <w:rFonts w:eastAsia="Arial" w:cs="Arial"/>
                <w:b/>
                <w:bCs/>
                <w:color w:val="FFFFFF"/>
                <w:sz w:val="52"/>
                <w:szCs w:val="52"/>
              </w:rPr>
              <w:t>AIMS Roles and RACI</w:t>
            </w:r>
          </w:p>
          <w:p>
            <w:pPr>
              <w:pStyle w:val="Normal"/>
              <w:spacing w:before="0" w:after="40"/>
              <w:jc w:val="center"/>
              <w:rPr/>
            </w:pPr>
            <w:r>
              <w:rPr>
                <w:rFonts w:eastAsia="Arial" w:cs="Arial"/>
                <w:color w:val="FFFFFF"/>
                <w:sz w:val="22"/>
                <w:szCs w:val="22"/>
              </w:rPr>
              <w:t>AI Management System</w:t>
            </w:r>
          </w:p>
          <w:p>
            <w:pPr>
              <w:pStyle w:val="Normal"/>
              <w:spacing w:before="0" w:after="0"/>
              <w:jc w:val="center"/>
              <w:rPr/>
            </w:pPr>
            <w:r>
              <w:rPr>
                <w:rFonts w:eastAsia="Arial" w:cs="Arial"/>
                <w:i/>
                <w:iCs/>
                <w:color w:val="FFFFFF"/>
                <w:sz w:val="22"/>
                <w:szCs w:val="22"/>
              </w:rPr>
              <w:t>Conversational AI. Always connected.</w:t>
            </w:r>
          </w:p>
        </w:tc>
      </w:tr>
    </w:tbl>
    <w:p>
      <w:pPr>
        <w:pStyle w:val="Normal"/>
        <w:spacing w:before="60" w:after="60"/>
        <w:rPr/>
      </w:pPr>
      <w:r>
        <w:rPr/>
      </w:r>
    </w:p>
    <w:tbl>
      <w:tblPr>
        <w:tblW w:w="9026" w:type="dxa"/>
        <w:jc w:val="start"/>
        <w:tblInd w:w="0" w:type="dxa"/>
        <w:tblLayout w:type="fixed"/>
        <w:tblCellMar>
          <w:top w:w="140" w:type="dxa"/>
          <w:start w:w="200" w:type="dxa"/>
          <w:bottom w:w="140" w:type="dxa"/>
          <w:end w:w="200" w:type="dxa"/>
        </w:tblCellMar>
      </w:tblPr>
      <w:tblGrid>
        <w:gridCol w:w="4513"/>
        <w:gridCol w:w="4512"/>
      </w:tblGrid>
      <w:tr>
        <w:trPr/>
        <w:tc>
          <w:tcPr>
            <w:tcW w:w="4513"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DOCUMENT ID</w:t>
            </w:r>
          </w:p>
          <w:p>
            <w:pPr>
              <w:pStyle w:val="Normal"/>
              <w:spacing w:before="0" w:after="0"/>
              <w:rPr/>
            </w:pPr>
            <w:r>
              <w:rPr>
                <w:rFonts w:eastAsia="Arial" w:cs="Arial"/>
                <w:color w:val="1A1A1A"/>
                <w:sz w:val="22"/>
                <w:szCs w:val="22"/>
              </w:rPr>
              <w:t>AI-MGT-RACI-001</w:t>
            </w:r>
          </w:p>
        </w:tc>
        <w:tc>
          <w:tcPr>
            <w:tcW w:w="4512"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VERSION</w:t>
            </w:r>
          </w:p>
          <w:p>
            <w:pPr>
              <w:pStyle w:val="Normal"/>
              <w:spacing w:before="0" w:after="0"/>
              <w:rPr/>
            </w:pPr>
            <w:r>
              <w:rPr>
                <w:rFonts w:eastAsia="Arial" w:cs="Arial"/>
                <w:color w:val="1A1A1A"/>
                <w:sz w:val="22"/>
                <w:szCs w:val="22"/>
              </w:rPr>
              <w:t>1.0</w:t>
            </w:r>
          </w:p>
        </w:tc>
      </w:tr>
      <w:tr>
        <w:trPr/>
        <w:tc>
          <w:tcPr>
            <w:tcW w:w="4513"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DOCUMENT TITLE</w:t>
            </w:r>
          </w:p>
          <w:p>
            <w:pPr>
              <w:pStyle w:val="Normal"/>
              <w:spacing w:before="0" w:after="0"/>
              <w:rPr/>
            </w:pPr>
            <w:r>
              <w:rPr>
                <w:rFonts w:eastAsia="Arial" w:cs="Arial"/>
                <w:color w:val="1A1A1A"/>
                <w:sz w:val="22"/>
                <w:szCs w:val="22"/>
              </w:rPr>
              <w:t>AIMS Roles and RACI</w:t>
            </w:r>
          </w:p>
        </w:tc>
        <w:tc>
          <w:tcPr>
            <w:tcW w:w="4512"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STATUS</w:t>
            </w:r>
          </w:p>
          <w:p>
            <w:pPr>
              <w:pStyle w:val="Normal"/>
              <w:spacing w:before="0" w:after="0"/>
              <w:rPr/>
            </w:pPr>
            <w:r>
              <w:rPr>
                <w:rFonts w:eastAsia="Arial" w:cs="Arial"/>
                <w:color w:val="1A1A1A"/>
                <w:sz w:val="22"/>
                <w:szCs w:val="22"/>
              </w:rPr>
              <w:t>Approved</w:t>
            </w:r>
          </w:p>
        </w:tc>
      </w:tr>
      <w:tr>
        <w:trPr/>
        <w:tc>
          <w:tcPr>
            <w:tcW w:w="4513"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OWNER</w:t>
            </w:r>
          </w:p>
          <w:p>
            <w:pPr>
              <w:pStyle w:val="Normal"/>
              <w:spacing w:before="0" w:after="0"/>
              <w:rPr/>
            </w:pPr>
            <w:r>
              <w:rPr>
                <w:rFonts w:eastAsia="Arial" w:cs="Arial"/>
                <w:color w:val="1A1A1A"/>
                <w:sz w:val="22"/>
                <w:szCs w:val="22"/>
              </w:rPr>
              <w:t>AI Governance Lead</w:t>
            </w:r>
          </w:p>
        </w:tc>
        <w:tc>
          <w:tcPr>
            <w:tcW w:w="4512"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APPROVER</w:t>
            </w:r>
          </w:p>
          <w:p>
            <w:pPr>
              <w:pStyle w:val="Normal"/>
              <w:spacing w:before="0" w:after="0"/>
              <w:rPr/>
            </w:pPr>
            <w:r>
              <w:rPr>
                <w:rFonts w:eastAsia="Arial" w:cs="Arial"/>
                <w:color w:val="1A1A1A"/>
                <w:sz w:val="22"/>
                <w:szCs w:val="22"/>
              </w:rPr>
              <w:t>Chief Executive Officer</w:t>
            </w:r>
          </w:p>
        </w:tc>
      </w:tr>
      <w:tr>
        <w:trPr/>
        <w:tc>
          <w:tcPr>
            <w:tcW w:w="4513"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ISSUE DATE</w:t>
            </w:r>
          </w:p>
          <w:p>
            <w:pPr>
              <w:pStyle w:val="Normal"/>
              <w:spacing w:before="0" w:after="0"/>
              <w:rPr/>
            </w:pPr>
            <w:r>
              <w:rPr>
                <w:rFonts w:eastAsia="Arial" w:cs="Arial"/>
                <w:color w:val="1A1A1A"/>
                <w:sz w:val="22"/>
                <w:szCs w:val="22"/>
              </w:rPr>
              <w:t>April 2026</w:t>
            </w:r>
          </w:p>
        </w:tc>
        <w:tc>
          <w:tcPr>
            <w:tcW w:w="4512"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EFFECTIVE FROM</w:t>
            </w:r>
          </w:p>
          <w:p>
            <w:pPr>
              <w:pStyle w:val="Normal"/>
              <w:spacing w:before="0" w:after="0"/>
              <w:rPr/>
            </w:pPr>
            <w:r>
              <w:rPr>
                <w:rFonts w:eastAsia="Arial" w:cs="Arial"/>
                <w:color w:val="1A1A1A"/>
                <w:sz w:val="22"/>
                <w:szCs w:val="22"/>
              </w:rPr>
              <w:t>April 2026</w:t>
            </w:r>
          </w:p>
        </w:tc>
      </w:tr>
      <w:tr>
        <w:trPr/>
        <w:tc>
          <w:tcPr>
            <w:tcW w:w="4513"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NEXT REVIEW</w:t>
            </w:r>
          </w:p>
          <w:p>
            <w:pPr>
              <w:pStyle w:val="Normal"/>
              <w:spacing w:before="0" w:after="0"/>
              <w:rPr/>
            </w:pPr>
            <w:r>
              <w:rPr>
                <w:rFonts w:eastAsia="Arial" w:cs="Arial"/>
                <w:color w:val="1A1A1A"/>
                <w:sz w:val="22"/>
                <w:szCs w:val="22"/>
              </w:rPr>
              <w:t>April 2027</w:t>
            </w:r>
          </w:p>
        </w:tc>
        <w:tc>
          <w:tcPr>
            <w:tcW w:w="4512"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REVIEW CYCLE</w:t>
            </w:r>
          </w:p>
          <w:p>
            <w:pPr>
              <w:pStyle w:val="Normal"/>
              <w:spacing w:before="0" w:after="0"/>
              <w:rPr/>
            </w:pPr>
            <w:r>
              <w:rPr>
                <w:rFonts w:eastAsia="Arial" w:cs="Arial"/>
                <w:color w:val="1A1A1A"/>
                <w:sz w:val="22"/>
                <w:szCs w:val="22"/>
              </w:rPr>
              <w:t>Annual or on material change</w:t>
            </w:r>
          </w:p>
        </w:tc>
      </w:tr>
      <w:tr>
        <w:trPr/>
        <w:tc>
          <w:tcPr>
            <w:tcW w:w="4513"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CLASSIFICATION</w:t>
            </w:r>
          </w:p>
          <w:p>
            <w:pPr>
              <w:pStyle w:val="Normal"/>
              <w:spacing w:before="0" w:after="0"/>
              <w:rPr/>
            </w:pPr>
            <w:r>
              <w:rPr>
                <w:rFonts w:eastAsia="Arial" w:cs="Arial"/>
                <w:color w:val="1A1A1A"/>
                <w:sz w:val="22"/>
                <w:szCs w:val="22"/>
              </w:rPr>
              <w:t>Internal</w:t>
            </w:r>
          </w:p>
        </w:tc>
        <w:tc>
          <w:tcPr>
            <w:tcW w:w="4512"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DISTRIBUTION</w:t>
            </w:r>
          </w:p>
          <w:p>
            <w:pPr>
              <w:pStyle w:val="Normal"/>
              <w:spacing w:before="0" w:after="0"/>
              <w:rPr/>
            </w:pPr>
            <w:r>
              <w:rPr>
                <w:rFonts w:eastAsia="Arial" w:cs="Arial"/>
                <w:color w:val="1A1A1A"/>
                <w:sz w:val="22"/>
                <w:szCs w:val="22"/>
              </w:rPr>
              <w:t>All personnel; third parties on request</w:t>
            </w:r>
          </w:p>
        </w:tc>
      </w:tr>
      <w:tr>
        <w:trPr/>
        <w:tc>
          <w:tcPr>
            <w:tcW w:w="4513"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AIMS SoA REFERENCE</w:t>
            </w:r>
          </w:p>
          <w:p>
            <w:pPr>
              <w:pStyle w:val="Normal"/>
              <w:spacing w:before="0" w:after="0"/>
              <w:rPr/>
            </w:pPr>
            <w:r>
              <w:rPr>
                <w:rFonts w:eastAsia="Arial" w:cs="Arial"/>
                <w:color w:val="1A1A1A"/>
                <w:sz w:val="22"/>
                <w:szCs w:val="22"/>
              </w:rPr>
              <w:t>AIMS-SOA-001 v1.0</w:t>
            </w:r>
          </w:p>
        </w:tc>
        <w:tc>
          <w:tcPr>
            <w:tcW w:w="4512"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AIMS MAP</w:t>
            </w:r>
          </w:p>
          <w:p>
            <w:pPr>
              <w:pStyle w:val="Normal"/>
              <w:spacing w:before="0" w:after="0"/>
              <w:rPr/>
            </w:pPr>
            <w:r>
              <w:rPr>
                <w:rFonts w:eastAsia="Arial" w:cs="Arial"/>
                <w:color w:val="1A1A1A"/>
                <w:sz w:val="22"/>
                <w:szCs w:val="22"/>
              </w:rPr>
              <w:t>AIMS-MAP-001 v1.0</w:t>
            </w:r>
          </w:p>
        </w:tc>
      </w:tr>
    </w:tbl>
    <w:p>
      <w:pPr>
        <w:pStyle w:val="Normal"/>
        <w:rPr/>
      </w:pPr>
      <w:r>
        <w:rPr/>
      </w:r>
      <w:r>
        <w:br w:type="page"/>
      </w:r>
    </w:p>
    <w:p>
      <w:pPr>
        <w:pStyle w:val="Heading1"/>
        <w:spacing w:before="0" w:after="180"/>
        <w:rPr/>
      </w:pPr>
      <w:r>
        <w:rPr>
          <w:rFonts w:eastAsia="Arial" w:cs="Arial" w:ascii="Arial" w:hAnsi="Arial"/>
          <w:b/>
          <w:bCs/>
          <w:color w:val="0000FF"/>
          <w:sz w:val="36"/>
          <w:szCs w:val="36"/>
        </w:rPr>
        <w:t>Contents</w:t>
      </w:r>
    </w:p>
    <w:p>
      <w:pPr>
        <w:pStyle w:val="Normal"/>
        <w:pBdr>
          <w:bottom w:val="single" w:sz="12" w:space="1" w:color="0000FF"/>
        </w:pBdr>
        <w:spacing w:before="0" w:after="200"/>
        <w:rPr/>
      </w:pPr>
      <w:r>
        <w:rPr/>
      </w:r>
    </w:p>
    <w:p>
      <w:pPr>
        <w:pStyle w:val="Normal"/>
        <w:spacing w:before="40" w:after="40"/>
        <w:rPr/>
      </w:pPr>
      <w:r>
        <w:rPr>
          <w:rFonts w:eastAsia="Arial" w:cs="Arial"/>
          <w:color w:val="1A1A1A"/>
          <w:sz w:val="22"/>
          <w:szCs w:val="22"/>
        </w:rPr>
        <w:t>1. Purpose</w:t>
      </w:r>
    </w:p>
    <w:p>
      <w:pPr>
        <w:pStyle w:val="Normal"/>
        <w:spacing w:before="40" w:after="40"/>
        <w:rPr/>
      </w:pPr>
      <w:r>
        <w:rPr>
          <w:rFonts w:eastAsia="Arial" w:cs="Arial"/>
          <w:color w:val="1A1A1A"/>
          <w:sz w:val="22"/>
          <w:szCs w:val="22"/>
        </w:rPr>
        <w:t>2. Scope</w:t>
      </w:r>
    </w:p>
    <w:p>
      <w:pPr>
        <w:pStyle w:val="Normal"/>
        <w:spacing w:before="40" w:after="40"/>
        <w:rPr/>
      </w:pPr>
      <w:r>
        <w:rPr>
          <w:rFonts w:eastAsia="Arial" w:cs="Arial"/>
          <w:color w:val="1A1A1A"/>
          <w:sz w:val="22"/>
          <w:szCs w:val="22"/>
        </w:rPr>
        <w:t>3. Definitions</w:t>
      </w:r>
    </w:p>
    <w:p>
      <w:pPr>
        <w:pStyle w:val="Normal"/>
        <w:spacing w:before="40" w:after="40"/>
        <w:rPr/>
      </w:pPr>
      <w:r>
        <w:rPr>
          <w:rFonts w:eastAsia="Arial" w:cs="Arial"/>
          <w:color w:val="1A1A1A"/>
          <w:sz w:val="22"/>
          <w:szCs w:val="22"/>
        </w:rPr>
        <w:t>4. Role Definitions</w:t>
      </w:r>
    </w:p>
    <w:p>
      <w:pPr>
        <w:pStyle w:val="Normal"/>
        <w:spacing w:before="40" w:after="40"/>
        <w:rPr/>
      </w:pPr>
      <w:r>
        <w:rPr>
          <w:rFonts w:eastAsia="Arial" w:cs="Arial"/>
          <w:color w:val="1A1A1A"/>
          <w:sz w:val="22"/>
          <w:szCs w:val="22"/>
        </w:rPr>
        <w:t>5. How to Read the RACI</w:t>
      </w:r>
    </w:p>
    <w:p>
      <w:pPr>
        <w:pStyle w:val="Normal"/>
        <w:spacing w:before="40" w:after="40"/>
        <w:rPr/>
      </w:pPr>
      <w:r>
        <w:rPr>
          <w:rFonts w:eastAsia="Arial" w:cs="Arial"/>
          <w:color w:val="1A1A1A"/>
          <w:sz w:val="22"/>
          <w:szCs w:val="22"/>
        </w:rPr>
        <w:t>6. The RACI Matrix</w:t>
      </w:r>
    </w:p>
    <w:p>
      <w:pPr>
        <w:pStyle w:val="Normal"/>
        <w:spacing w:before="40" w:after="40"/>
        <w:rPr/>
      </w:pPr>
      <w:r>
        <w:rPr>
          <w:rFonts w:eastAsia="Arial" w:cs="Arial"/>
          <w:color w:val="1A1A1A"/>
          <w:sz w:val="22"/>
          <w:szCs w:val="22"/>
        </w:rPr>
        <w:t xml:space="preserve">   </w:t>
      </w:r>
      <w:r>
        <w:rPr>
          <w:rFonts w:eastAsia="Arial" w:cs="Arial"/>
          <w:color w:val="1A1A1A"/>
          <w:sz w:val="22"/>
          <w:szCs w:val="22"/>
        </w:rPr>
        <w:t>6.1 Governance and Strategy</w:t>
      </w:r>
    </w:p>
    <w:p>
      <w:pPr>
        <w:pStyle w:val="Normal"/>
        <w:spacing w:before="40" w:after="40"/>
        <w:rPr/>
      </w:pPr>
      <w:r>
        <w:rPr>
          <w:rFonts w:eastAsia="Arial" w:cs="Arial"/>
          <w:color w:val="1A1A1A"/>
          <w:sz w:val="22"/>
          <w:szCs w:val="22"/>
        </w:rPr>
        <w:t xml:space="preserve">   </w:t>
      </w:r>
      <w:r>
        <w:rPr>
          <w:rFonts w:eastAsia="Arial" w:cs="Arial"/>
          <w:color w:val="1A1A1A"/>
          <w:sz w:val="22"/>
          <w:szCs w:val="22"/>
        </w:rPr>
        <w:t>6.2 Risk and Impact Assessment</w:t>
      </w:r>
    </w:p>
    <w:p>
      <w:pPr>
        <w:pStyle w:val="Normal"/>
        <w:spacing w:before="40" w:after="40"/>
        <w:rPr/>
      </w:pPr>
      <w:r>
        <w:rPr>
          <w:rFonts w:eastAsia="Arial" w:cs="Arial"/>
          <w:color w:val="1A1A1A"/>
          <w:sz w:val="22"/>
          <w:szCs w:val="22"/>
        </w:rPr>
        <w:t xml:space="preserve">   </w:t>
      </w:r>
      <w:r>
        <w:rPr>
          <w:rFonts w:eastAsia="Arial" w:cs="Arial"/>
          <w:color w:val="1A1A1A"/>
          <w:sz w:val="22"/>
          <w:szCs w:val="22"/>
        </w:rPr>
        <w:t>6.3 AI Lifecycle</w:t>
      </w:r>
    </w:p>
    <w:p>
      <w:pPr>
        <w:pStyle w:val="Normal"/>
        <w:spacing w:before="40" w:after="40"/>
        <w:rPr/>
      </w:pPr>
      <w:r>
        <w:rPr>
          <w:rFonts w:eastAsia="Arial" w:cs="Arial"/>
          <w:color w:val="1A1A1A"/>
          <w:sz w:val="22"/>
          <w:szCs w:val="22"/>
        </w:rPr>
        <w:t xml:space="preserve">   </w:t>
      </w:r>
      <w:r>
        <w:rPr>
          <w:rFonts w:eastAsia="Arial" w:cs="Arial"/>
          <w:color w:val="1A1A1A"/>
          <w:sz w:val="22"/>
          <w:szCs w:val="22"/>
        </w:rPr>
        <w:t>6.4 Data and Models</w:t>
      </w:r>
    </w:p>
    <w:p>
      <w:pPr>
        <w:pStyle w:val="Normal"/>
        <w:spacing w:before="40" w:after="40"/>
        <w:rPr/>
      </w:pPr>
      <w:r>
        <w:rPr>
          <w:rFonts w:eastAsia="Arial" w:cs="Arial"/>
          <w:color w:val="1A1A1A"/>
          <w:sz w:val="22"/>
          <w:szCs w:val="22"/>
        </w:rPr>
        <w:t xml:space="preserve">   </w:t>
      </w:r>
      <w:r>
        <w:rPr>
          <w:rFonts w:eastAsia="Arial" w:cs="Arial"/>
          <w:color w:val="1A1A1A"/>
          <w:sz w:val="22"/>
          <w:szCs w:val="22"/>
        </w:rPr>
        <w:t>6.5 Third-Party AI</w:t>
      </w:r>
    </w:p>
    <w:p>
      <w:pPr>
        <w:pStyle w:val="Normal"/>
        <w:spacing w:before="40" w:after="40"/>
        <w:rPr/>
      </w:pPr>
      <w:r>
        <w:rPr>
          <w:rFonts w:eastAsia="Arial" w:cs="Arial"/>
          <w:color w:val="1A1A1A"/>
          <w:sz w:val="22"/>
          <w:szCs w:val="22"/>
        </w:rPr>
        <w:t xml:space="preserve">   </w:t>
      </w:r>
      <w:r>
        <w:rPr>
          <w:rFonts w:eastAsia="Arial" w:cs="Arial"/>
          <w:color w:val="1A1A1A"/>
          <w:sz w:val="22"/>
          <w:szCs w:val="22"/>
        </w:rPr>
        <w:t>6.6 Operations and Monitoring</w:t>
      </w:r>
    </w:p>
    <w:p>
      <w:pPr>
        <w:pStyle w:val="Normal"/>
        <w:spacing w:before="40" w:after="40"/>
        <w:rPr/>
      </w:pPr>
      <w:r>
        <w:rPr>
          <w:rFonts w:eastAsia="Arial" w:cs="Arial"/>
          <w:color w:val="1A1A1A"/>
          <w:sz w:val="22"/>
          <w:szCs w:val="22"/>
        </w:rPr>
        <w:t xml:space="preserve">   </w:t>
      </w:r>
      <w:r>
        <w:rPr>
          <w:rFonts w:eastAsia="Arial" w:cs="Arial"/>
          <w:color w:val="1A1A1A"/>
          <w:sz w:val="22"/>
          <w:szCs w:val="22"/>
        </w:rPr>
        <w:t>6.7 Incident Response</w:t>
      </w:r>
    </w:p>
    <w:p>
      <w:pPr>
        <w:pStyle w:val="Normal"/>
        <w:spacing w:before="40" w:after="40"/>
        <w:rPr/>
      </w:pPr>
      <w:r>
        <w:rPr>
          <w:rFonts w:eastAsia="Arial" w:cs="Arial"/>
          <w:color w:val="1A1A1A"/>
          <w:sz w:val="22"/>
          <w:szCs w:val="22"/>
        </w:rPr>
        <w:t xml:space="preserve">   </w:t>
      </w:r>
      <w:r>
        <w:rPr>
          <w:rFonts w:eastAsia="Arial" w:cs="Arial"/>
          <w:color w:val="1A1A1A"/>
          <w:sz w:val="22"/>
          <w:szCs w:val="22"/>
        </w:rPr>
        <w:t>6.8 Audit and Compliance</w:t>
      </w:r>
    </w:p>
    <w:p>
      <w:pPr>
        <w:pStyle w:val="Normal"/>
        <w:spacing w:before="40" w:after="40"/>
        <w:rPr/>
      </w:pPr>
      <w:r>
        <w:rPr>
          <w:rFonts w:eastAsia="Arial" w:cs="Arial"/>
          <w:color w:val="1A1A1A"/>
          <w:sz w:val="22"/>
          <w:szCs w:val="22"/>
        </w:rPr>
        <w:t xml:space="preserve">   </w:t>
      </w:r>
      <w:r>
        <w:rPr>
          <w:rFonts w:eastAsia="Arial" w:cs="Arial"/>
          <w:color w:val="1A1A1A"/>
          <w:sz w:val="22"/>
          <w:szCs w:val="22"/>
        </w:rPr>
        <w:t>6.9 People and Training</w:t>
      </w:r>
    </w:p>
    <w:p>
      <w:pPr>
        <w:pStyle w:val="Normal"/>
        <w:spacing w:before="40" w:after="40"/>
        <w:rPr/>
      </w:pPr>
      <w:r>
        <w:rPr>
          <w:rFonts w:eastAsia="Arial" w:cs="Arial"/>
          <w:color w:val="1A1A1A"/>
          <w:sz w:val="22"/>
          <w:szCs w:val="22"/>
        </w:rPr>
        <w:t>7. Cloudax-Sized Realities</w:t>
      </w:r>
    </w:p>
    <w:p>
      <w:pPr>
        <w:pStyle w:val="Normal"/>
        <w:spacing w:before="40" w:after="40"/>
        <w:rPr/>
      </w:pPr>
      <w:r>
        <w:rPr>
          <w:rFonts w:eastAsia="Arial" w:cs="Arial"/>
          <w:color w:val="1A1A1A"/>
          <w:sz w:val="22"/>
          <w:szCs w:val="22"/>
        </w:rPr>
        <w:t>8. Coordination with the ISMS RACI</w:t>
      </w:r>
    </w:p>
    <w:p>
      <w:pPr>
        <w:pStyle w:val="Normal"/>
        <w:spacing w:before="40" w:after="40"/>
        <w:rPr/>
      </w:pPr>
      <w:r>
        <w:rPr>
          <w:rFonts w:eastAsia="Arial" w:cs="Arial"/>
          <w:color w:val="1A1A1A"/>
          <w:sz w:val="22"/>
          <w:szCs w:val="22"/>
        </w:rPr>
        <w:t>9. Maintenance</w:t>
      </w:r>
    </w:p>
    <w:p>
      <w:pPr>
        <w:pStyle w:val="Normal"/>
        <w:spacing w:before="40" w:after="40"/>
        <w:rPr/>
      </w:pPr>
      <w:r>
        <w:rPr>
          <w:rFonts w:eastAsia="Arial" w:cs="Arial"/>
          <w:color w:val="1A1A1A"/>
          <w:sz w:val="22"/>
          <w:szCs w:val="22"/>
        </w:rPr>
        <w:t>Annex A — ISO/IEC 42001:2023 Clause Mapping</w:t>
      </w:r>
    </w:p>
    <w:p>
      <w:pPr>
        <w:pStyle w:val="Normal"/>
        <w:spacing w:before="40" w:after="40"/>
        <w:rPr/>
      </w:pPr>
      <w:r>
        <w:rPr>
          <w:rFonts w:eastAsia="Arial" w:cs="Arial"/>
          <w:color w:val="1A1A1A"/>
          <w:sz w:val="22"/>
          <w:szCs w:val="22"/>
        </w:rPr>
        <w:t>Annex B — Version History</w:t>
      </w:r>
    </w:p>
    <w:p>
      <w:pPr>
        <w:pStyle w:val="Normal"/>
        <w:rPr/>
      </w:pPr>
      <w:r>
        <w:rPr/>
      </w:r>
      <w:r>
        <w:br w:type="page"/>
      </w:r>
    </w:p>
    <w:p>
      <w:pPr>
        <w:pStyle w:val="Heading1"/>
        <w:spacing w:before="0" w:after="180"/>
        <w:rPr/>
      </w:pPr>
      <w:r>
        <w:rPr>
          <w:rFonts w:eastAsia="Arial" w:cs="Arial" w:ascii="Arial" w:hAnsi="Arial"/>
          <w:b/>
          <w:bCs/>
          <w:color w:val="0000FF"/>
          <w:sz w:val="36"/>
          <w:szCs w:val="36"/>
        </w:rPr>
        <w:t>1. Purpose</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This document records the AIMS roles, accountabilities, and the RACI matrix for the principal AIMS activities. It implements ISO/IEC 42001:2023 Clause 5.3 (Roles, responsibilities and authorities) and supports A.3.2 (AI roles and responsibilities).</w:t>
      </w:r>
    </w:p>
    <w:p>
      <w:pPr>
        <w:pStyle w:val="Normal"/>
        <w:spacing w:before="40" w:after="120"/>
        <w:rPr/>
      </w:pPr>
      <w:r>
        <w:rPr>
          <w:rFonts w:eastAsia="Arial" w:cs="Arial"/>
          <w:b/>
          <w:bCs/>
          <w:color w:val="0000FF"/>
          <w:spacing w:val="20"/>
          <w:sz w:val="18"/>
          <w:szCs w:val="18"/>
        </w:rPr>
        <w:t xml:space="preserve">ISO 27001:2022 references: </w:t>
      </w:r>
      <w:r>
        <w:rPr>
          <w:rFonts w:eastAsia="Arial" w:cs="Arial"/>
          <w:color w:val="1A1A1A"/>
          <w:sz w:val="18"/>
          <w:szCs w:val="18"/>
        </w:rPr>
        <w:t>ISO 42001 reference: Cl. 5.3 Roles, responsibilities and authorities; A.3.2 AI roles and responsibilities</w:t>
      </w:r>
    </w:p>
    <w:p>
      <w:pPr>
        <w:pStyle w:val="Heading1"/>
        <w:spacing w:before="360" w:after="180"/>
        <w:rPr/>
      </w:pPr>
      <w:r>
        <w:rPr>
          <w:rFonts w:eastAsia="Arial" w:cs="Arial" w:ascii="Arial" w:hAnsi="Arial"/>
          <w:b/>
          <w:bCs/>
          <w:color w:val="0000FF"/>
          <w:sz w:val="36"/>
          <w:szCs w:val="36"/>
        </w:rPr>
        <w:t>2. Scope</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This document covers the principal AIMS activities. Detailed per-procedure RACI is held within the relevant procedure or document; this document is the master.</w:t>
      </w:r>
    </w:p>
    <w:p>
      <w:pPr>
        <w:pStyle w:val="Heading1"/>
        <w:spacing w:before="360" w:after="180"/>
        <w:rPr/>
      </w:pPr>
      <w:r>
        <w:rPr>
          <w:rFonts w:eastAsia="Arial" w:cs="Arial" w:ascii="Arial" w:hAnsi="Arial"/>
          <w:b/>
          <w:bCs/>
          <w:color w:val="0000FF"/>
          <w:sz w:val="36"/>
          <w:szCs w:val="36"/>
        </w:rPr>
        <w:t>3. Definitions</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RACI:</w:t>
      </w:r>
    </w:p>
    <w:p>
      <w:pPr>
        <w:pStyle w:val="ListParagraph"/>
        <w:numPr>
          <w:ilvl w:val="0"/>
          <w:numId w:val="3"/>
        </w:numPr>
        <w:spacing w:lineRule="exact" w:line="280" w:before="40" w:after="40"/>
        <w:rPr/>
      </w:pPr>
      <w:r>
        <w:rPr>
          <w:rFonts w:eastAsia="Arial" w:cs="Arial"/>
          <w:b/>
          <w:bCs/>
          <w:color w:val="1A1A1A"/>
          <w:sz w:val="22"/>
          <w:szCs w:val="22"/>
        </w:rPr>
        <w:t xml:space="preserve">R — Responsible: </w:t>
      </w:r>
      <w:r>
        <w:rPr>
          <w:rFonts w:eastAsia="Arial" w:cs="Arial"/>
          <w:color w:val="1A1A1A"/>
          <w:sz w:val="22"/>
          <w:szCs w:val="22"/>
        </w:rPr>
        <w:t>does the work.</w:t>
      </w:r>
    </w:p>
    <w:p>
      <w:pPr>
        <w:pStyle w:val="ListParagraph"/>
        <w:numPr>
          <w:ilvl w:val="0"/>
          <w:numId w:val="1"/>
        </w:numPr>
        <w:spacing w:lineRule="exact" w:line="280" w:before="40" w:after="40"/>
        <w:rPr/>
      </w:pPr>
      <w:r>
        <w:rPr>
          <w:rFonts w:eastAsia="Arial" w:cs="Arial"/>
          <w:b/>
          <w:bCs/>
          <w:color w:val="1A1A1A"/>
          <w:sz w:val="22"/>
          <w:szCs w:val="22"/>
        </w:rPr>
        <w:t xml:space="preserve">A — Accountable: </w:t>
      </w:r>
      <w:r>
        <w:rPr>
          <w:rFonts w:eastAsia="Arial" w:cs="Arial"/>
          <w:color w:val="1A1A1A"/>
          <w:sz w:val="22"/>
          <w:szCs w:val="22"/>
        </w:rPr>
        <w:t>answerable for completion and quality. There is exactly one A per activity.</w:t>
      </w:r>
    </w:p>
    <w:p>
      <w:pPr>
        <w:pStyle w:val="ListParagraph"/>
        <w:numPr>
          <w:ilvl w:val="0"/>
          <w:numId w:val="1"/>
        </w:numPr>
        <w:spacing w:lineRule="exact" w:line="280" w:before="40" w:after="40"/>
        <w:rPr/>
      </w:pPr>
      <w:r>
        <w:rPr>
          <w:rFonts w:eastAsia="Arial" w:cs="Arial"/>
          <w:b/>
          <w:bCs/>
          <w:color w:val="1A1A1A"/>
          <w:sz w:val="22"/>
          <w:szCs w:val="22"/>
        </w:rPr>
        <w:t xml:space="preserve">C — Consulted: </w:t>
      </w:r>
      <w:r>
        <w:rPr>
          <w:rFonts w:eastAsia="Arial" w:cs="Arial"/>
          <w:color w:val="1A1A1A"/>
          <w:sz w:val="22"/>
          <w:szCs w:val="22"/>
        </w:rPr>
        <w:t>provides input before decisions; two-way communication.</w:t>
      </w:r>
    </w:p>
    <w:p>
      <w:pPr>
        <w:pStyle w:val="ListParagraph"/>
        <w:numPr>
          <w:ilvl w:val="0"/>
          <w:numId w:val="1"/>
        </w:numPr>
        <w:spacing w:lineRule="exact" w:line="280" w:before="40" w:after="40"/>
        <w:rPr/>
      </w:pPr>
      <w:r>
        <w:rPr>
          <w:rFonts w:eastAsia="Arial" w:cs="Arial"/>
          <w:b/>
          <w:bCs/>
          <w:color w:val="1A1A1A"/>
          <w:sz w:val="22"/>
          <w:szCs w:val="22"/>
        </w:rPr>
        <w:t xml:space="preserve">I — Informed: </w:t>
      </w:r>
      <w:r>
        <w:rPr>
          <w:rFonts w:eastAsia="Arial" w:cs="Arial"/>
          <w:color w:val="1A1A1A"/>
          <w:sz w:val="22"/>
          <w:szCs w:val="22"/>
        </w:rPr>
        <w:t>kept informed of progress; one-way communication.</w:t>
      </w:r>
    </w:p>
    <w:p>
      <w:pPr>
        <w:pStyle w:val="Heading1"/>
        <w:spacing w:before="360" w:after="180"/>
        <w:rPr/>
      </w:pPr>
      <w:r>
        <w:rPr>
          <w:rFonts w:eastAsia="Arial" w:cs="Arial" w:ascii="Arial" w:hAnsi="Arial"/>
          <w:b/>
          <w:bCs/>
          <w:color w:val="0000FF"/>
          <w:sz w:val="36"/>
          <w:szCs w:val="36"/>
        </w:rPr>
        <w:t>4. Role Definitions</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Cloudax operates with a small team. Roles below describe the distinct accountabilities; a single individual may hold more than one role. The current allocation of role-to-individual is recorded in the live AIMS RACI workbook.</w:t>
      </w:r>
    </w:p>
    <w:p>
      <w:pPr>
        <w:pStyle w:val="Normal"/>
        <w:spacing w:before="60" w:after="60"/>
        <w:rPr/>
      </w:pPr>
      <w:r>
        <w:rPr/>
      </w:r>
    </w:p>
    <w:tbl>
      <w:tblPr>
        <w:tblW w:w="9026" w:type="dxa"/>
        <w:jc w:val="start"/>
        <w:tblInd w:w="0" w:type="dxa"/>
        <w:tblLayout w:type="fixed"/>
        <w:tblCellMar>
          <w:top w:w="100" w:type="dxa"/>
          <w:start w:w="140" w:type="dxa"/>
          <w:bottom w:w="100" w:type="dxa"/>
          <w:end w:w="140" w:type="dxa"/>
        </w:tblCellMar>
      </w:tblPr>
      <w:tblGrid>
        <w:gridCol w:w="1500"/>
        <w:gridCol w:w="7525"/>
      </w:tblGrid>
      <w:tr>
        <w:trPr>
          <w:tblHeader w:val="true"/>
        </w:trPr>
        <w:tc>
          <w:tcPr>
            <w:tcW w:w="1500"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6"/>
                <w:szCs w:val="16"/>
              </w:rPr>
              <w:t>ROLE</w:t>
            </w:r>
          </w:p>
        </w:tc>
        <w:tc>
          <w:tcPr>
            <w:tcW w:w="7525"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6"/>
                <w:szCs w:val="16"/>
              </w:rPr>
              <w:t>DESCRIPTION</w:t>
            </w:r>
          </w:p>
        </w:tc>
      </w:tr>
      <w:tr>
        <w:trPr/>
        <w:tc>
          <w:tcPr>
            <w:tcW w:w="15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8"/>
                <w:szCs w:val="18"/>
              </w:rPr>
              <w:t>CEO</w:t>
            </w:r>
          </w:p>
        </w:tc>
        <w:tc>
          <w:tcPr>
            <w:tcW w:w="7525"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Chief Executive Officer. Ultimate accountability for the AIMS.</w:t>
            </w:r>
          </w:p>
        </w:tc>
      </w:tr>
      <w:tr>
        <w:trPr/>
        <w:tc>
          <w:tcPr>
            <w:tcW w:w="15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18"/>
                <w:szCs w:val="18"/>
              </w:rPr>
              <w:t>AIGL</w:t>
            </w:r>
          </w:p>
        </w:tc>
        <w:tc>
          <w:tcPr>
            <w:tcW w:w="7525"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AI Governance Lead. Day-to-day owner of the AIMS.</w:t>
            </w:r>
          </w:p>
        </w:tc>
      </w:tr>
      <w:tr>
        <w:trPr/>
        <w:tc>
          <w:tcPr>
            <w:tcW w:w="15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8"/>
                <w:szCs w:val="18"/>
              </w:rPr>
              <w:t>CTO</w:t>
            </w:r>
          </w:p>
        </w:tc>
        <w:tc>
          <w:tcPr>
            <w:tcW w:w="7525"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Chief Technology Officer. Technical accountability for AI systems.</w:t>
            </w:r>
          </w:p>
        </w:tc>
      </w:tr>
      <w:tr>
        <w:trPr/>
        <w:tc>
          <w:tcPr>
            <w:tcW w:w="15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18"/>
                <w:szCs w:val="18"/>
              </w:rPr>
              <w:t>PL</w:t>
            </w:r>
          </w:p>
        </w:tc>
        <w:tc>
          <w:tcPr>
            <w:tcW w:w="7525"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Privacy Lead. Personal data and data subject impact accountability.</w:t>
            </w:r>
          </w:p>
        </w:tc>
      </w:tr>
      <w:tr>
        <w:trPr/>
        <w:tc>
          <w:tcPr>
            <w:tcW w:w="15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8"/>
                <w:szCs w:val="18"/>
              </w:rPr>
              <w:t>ISM</w:t>
            </w:r>
          </w:p>
        </w:tc>
        <w:tc>
          <w:tcPr>
            <w:tcW w:w="7525"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Information Security Manager. ISMS owner; coordinates with the AIMS where activities overlap.</w:t>
            </w:r>
          </w:p>
        </w:tc>
      </w:tr>
      <w:tr>
        <w:trPr/>
        <w:tc>
          <w:tcPr>
            <w:tcW w:w="15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18"/>
                <w:szCs w:val="18"/>
              </w:rPr>
              <w:t>ENG</w:t>
            </w:r>
          </w:p>
        </w:tc>
        <w:tc>
          <w:tcPr>
            <w:tcW w:w="7525"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Engineering / AI Builders. Develop, deploy, operate AI systems.</w:t>
            </w:r>
          </w:p>
        </w:tc>
      </w:tr>
      <w:tr>
        <w:trPr/>
        <w:tc>
          <w:tcPr>
            <w:tcW w:w="15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8"/>
                <w:szCs w:val="18"/>
              </w:rPr>
              <w:t>CFL</w:t>
            </w:r>
          </w:p>
        </w:tc>
        <w:tc>
          <w:tcPr>
            <w:tcW w:w="7525"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Customer-facing leads. Customer success, sales, support.</w:t>
            </w:r>
          </w:p>
        </w:tc>
      </w:tr>
      <w:tr>
        <w:trPr/>
        <w:tc>
          <w:tcPr>
            <w:tcW w:w="15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18"/>
                <w:szCs w:val="18"/>
              </w:rPr>
              <w:t>LM</w:t>
            </w:r>
          </w:p>
        </w:tc>
        <w:tc>
          <w:tcPr>
            <w:tcW w:w="7525"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Line managers. Operational management of personnel.</w:t>
            </w:r>
          </w:p>
        </w:tc>
      </w:tr>
      <w:tr>
        <w:trPr/>
        <w:tc>
          <w:tcPr>
            <w:tcW w:w="15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8"/>
                <w:szCs w:val="18"/>
              </w:rPr>
              <w:t>AUD</w:t>
            </w:r>
          </w:p>
        </w:tc>
        <w:tc>
          <w:tcPr>
            <w:tcW w:w="7525"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Internal auditor (in-house or external).</w:t>
            </w:r>
          </w:p>
        </w:tc>
      </w:tr>
    </w:tbl>
    <w:p>
      <w:pPr>
        <w:pStyle w:val="Heading1"/>
        <w:spacing w:before="360" w:after="180"/>
        <w:rPr/>
      </w:pPr>
      <w:r>
        <w:rPr>
          <w:rFonts w:eastAsia="Arial" w:cs="Arial" w:ascii="Arial" w:hAnsi="Arial"/>
          <w:b/>
          <w:bCs/>
          <w:color w:val="0000FF"/>
          <w:sz w:val="36"/>
          <w:szCs w:val="36"/>
        </w:rPr>
        <w:t>5. How to Read the RACI</w:t>
      </w:r>
    </w:p>
    <w:p>
      <w:pPr>
        <w:pStyle w:val="Normal"/>
        <w:pBdr>
          <w:bottom w:val="single" w:sz="12" w:space="1" w:color="0000FF"/>
        </w:pBdr>
        <w:spacing w:before="0" w:after="200"/>
        <w:rPr/>
      </w:pPr>
      <w:r>
        <w:rPr/>
      </w:r>
    </w:p>
    <w:p>
      <w:pPr>
        <w:pStyle w:val="ListParagraph"/>
        <w:numPr>
          <w:ilvl w:val="0"/>
          <w:numId w:val="1"/>
        </w:numPr>
        <w:spacing w:lineRule="exact" w:line="280" w:before="40" w:after="40"/>
        <w:rPr/>
      </w:pPr>
      <w:r>
        <w:rPr>
          <w:rFonts w:eastAsia="Arial" w:cs="Arial"/>
          <w:color w:val="1A1A1A"/>
          <w:sz w:val="22"/>
          <w:szCs w:val="22"/>
        </w:rPr>
        <w:t>Each row is an activity. Each column is a role. Cells contain R / A / C / I.</w:t>
      </w:r>
    </w:p>
    <w:p>
      <w:pPr>
        <w:pStyle w:val="ListParagraph"/>
        <w:numPr>
          <w:ilvl w:val="0"/>
          <w:numId w:val="1"/>
        </w:numPr>
        <w:spacing w:lineRule="exact" w:line="280" w:before="40" w:after="40"/>
        <w:rPr/>
      </w:pPr>
      <w:r>
        <w:rPr>
          <w:rFonts w:eastAsia="Arial" w:cs="Arial"/>
          <w:color w:val="1A1A1A"/>
          <w:sz w:val="22"/>
          <w:szCs w:val="22"/>
        </w:rPr>
        <w:t>Activities below are grouped by domain. The detailed per-procedure RACI is held within the relevant procedure document.</w:t>
      </w:r>
    </w:p>
    <w:p>
      <w:pPr>
        <w:pStyle w:val="ListParagraph"/>
        <w:numPr>
          <w:ilvl w:val="0"/>
          <w:numId w:val="1"/>
        </w:numPr>
        <w:spacing w:lineRule="exact" w:line="280" w:before="40" w:after="40"/>
        <w:rPr/>
      </w:pPr>
      <w:r>
        <w:rPr>
          <w:rFonts w:eastAsia="Arial" w:cs="Arial"/>
          <w:color w:val="1A1A1A"/>
          <w:sz w:val="22"/>
          <w:szCs w:val="22"/>
        </w:rPr>
        <w:t>Where Cloudax’s small team means a single person holds multiple roles, the RACI still distinguishes the accountabilities; that person acts in each role distinctly.</w:t>
      </w:r>
    </w:p>
    <w:p>
      <w:pPr>
        <w:pStyle w:val="Heading1"/>
        <w:spacing w:before="360" w:after="180"/>
        <w:rPr/>
      </w:pPr>
      <w:r>
        <w:rPr>
          <w:rFonts w:eastAsia="Arial" w:cs="Arial" w:ascii="Arial" w:hAnsi="Arial"/>
          <w:b/>
          <w:bCs/>
          <w:color w:val="0000FF"/>
          <w:sz w:val="36"/>
          <w:szCs w:val="36"/>
        </w:rPr>
        <w:t>6. The RACI Matrix</w:t>
      </w:r>
    </w:p>
    <w:p>
      <w:pPr>
        <w:pStyle w:val="Normal"/>
        <w:pBdr>
          <w:bottom w:val="single" w:sz="12" w:space="1" w:color="0000FF"/>
        </w:pBdr>
        <w:spacing w:before="0" w:after="200"/>
        <w:rPr/>
      </w:pPr>
      <w:r>
        <w:rPr/>
      </w:r>
    </w:p>
    <w:p>
      <w:pPr>
        <w:pStyle w:val="Heading2"/>
        <w:spacing w:before="280" w:after="140"/>
        <w:rPr/>
      </w:pPr>
      <w:r>
        <w:rPr>
          <w:rFonts w:eastAsia="Arial" w:cs="Arial" w:ascii="Arial" w:hAnsi="Arial"/>
          <w:b/>
          <w:bCs/>
          <w:color w:val="0000FF"/>
          <w:sz w:val="28"/>
          <w:szCs w:val="28"/>
        </w:rPr>
        <w:t>6.1 Governance and Strategy</w:t>
      </w:r>
    </w:p>
    <w:p>
      <w:pPr>
        <w:pStyle w:val="Normal"/>
        <w:spacing w:before="60" w:after="60"/>
        <w:rPr/>
      </w:pPr>
      <w:r>
        <w:rPr/>
      </w:r>
    </w:p>
    <w:tbl>
      <w:tblPr>
        <w:tblW w:w="9026" w:type="dxa"/>
        <w:jc w:val="start"/>
        <w:tblInd w:w="0" w:type="dxa"/>
        <w:tblLayout w:type="fixed"/>
        <w:tblCellMar>
          <w:top w:w="100" w:type="dxa"/>
          <w:start w:w="140" w:type="dxa"/>
          <w:bottom w:w="100" w:type="dxa"/>
          <w:end w:w="140" w:type="dxa"/>
        </w:tblCellMar>
      </w:tblPr>
      <w:tblGrid>
        <w:gridCol w:w="3500"/>
        <w:gridCol w:w="1099"/>
        <w:gridCol w:w="1100"/>
        <w:gridCol w:w="1101"/>
        <w:gridCol w:w="1099"/>
        <w:gridCol w:w="1126"/>
      </w:tblGrid>
      <w:tr>
        <w:trPr>
          <w:tblHeader w:val="true"/>
        </w:trPr>
        <w:tc>
          <w:tcPr>
            <w:tcW w:w="3500"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6"/>
                <w:szCs w:val="16"/>
              </w:rPr>
              <w:t>ACTIVITY</w:t>
            </w:r>
          </w:p>
        </w:tc>
        <w:tc>
          <w:tcPr>
            <w:tcW w:w="1099"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6"/>
                <w:szCs w:val="16"/>
              </w:rPr>
              <w:t>CEO</w:t>
            </w:r>
          </w:p>
        </w:tc>
        <w:tc>
          <w:tcPr>
            <w:tcW w:w="1100"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6"/>
                <w:szCs w:val="16"/>
              </w:rPr>
              <w:t>AIGL</w:t>
            </w:r>
          </w:p>
        </w:tc>
        <w:tc>
          <w:tcPr>
            <w:tcW w:w="1101"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6"/>
                <w:szCs w:val="16"/>
              </w:rPr>
              <w:t>CTO</w:t>
            </w:r>
          </w:p>
        </w:tc>
        <w:tc>
          <w:tcPr>
            <w:tcW w:w="1099"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6"/>
                <w:szCs w:val="16"/>
              </w:rPr>
              <w:t>PL</w:t>
            </w:r>
          </w:p>
        </w:tc>
        <w:tc>
          <w:tcPr>
            <w:tcW w:w="1126"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6"/>
                <w:szCs w:val="16"/>
              </w:rPr>
              <w:t>ENG</w:t>
            </w:r>
          </w:p>
        </w:tc>
      </w:tr>
      <w:tr>
        <w:trPr/>
        <w:tc>
          <w:tcPr>
            <w:tcW w:w="35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8"/>
                <w:szCs w:val="18"/>
              </w:rPr>
              <w:t>Approve AI-POL-001 and AIMS Tier 2 documents</w:t>
            </w:r>
          </w:p>
        </w:tc>
        <w:tc>
          <w:tcPr>
            <w:tcW w:w="10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A</w:t>
            </w:r>
          </w:p>
        </w:tc>
        <w:tc>
          <w:tcPr>
            <w:tcW w:w="11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R</w:t>
            </w:r>
          </w:p>
        </w:tc>
        <w:tc>
          <w:tcPr>
            <w:tcW w:w="1101"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C</w:t>
            </w:r>
          </w:p>
        </w:tc>
        <w:tc>
          <w:tcPr>
            <w:tcW w:w="10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C</w:t>
            </w:r>
          </w:p>
        </w:tc>
        <w:tc>
          <w:tcPr>
            <w:tcW w:w="1126"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I</w:t>
            </w:r>
          </w:p>
        </w:tc>
      </w:tr>
      <w:tr>
        <w:trPr/>
        <w:tc>
          <w:tcPr>
            <w:tcW w:w="35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18"/>
                <w:szCs w:val="18"/>
              </w:rPr>
              <w:t>Approve subordinate AI policies (AI-POL-002–010) and procedures</w:t>
            </w:r>
          </w:p>
        </w:tc>
        <w:tc>
          <w:tcPr>
            <w:tcW w:w="10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A</w:t>
            </w:r>
          </w:p>
        </w:tc>
        <w:tc>
          <w:tcPr>
            <w:tcW w:w="11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R</w:t>
            </w:r>
          </w:p>
        </w:tc>
        <w:tc>
          <w:tcPr>
            <w:tcW w:w="1101"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C</w:t>
            </w:r>
          </w:p>
        </w:tc>
        <w:tc>
          <w:tcPr>
            <w:tcW w:w="10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C</w:t>
            </w:r>
          </w:p>
        </w:tc>
        <w:tc>
          <w:tcPr>
            <w:tcW w:w="1126"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I</w:t>
            </w:r>
          </w:p>
        </w:tc>
      </w:tr>
      <w:tr>
        <w:trPr/>
        <w:tc>
          <w:tcPr>
            <w:tcW w:w="35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8"/>
                <w:szCs w:val="18"/>
              </w:rPr>
              <w:t>Set AIMS objectives (AIMS-OBJ-001)</w:t>
            </w:r>
          </w:p>
        </w:tc>
        <w:tc>
          <w:tcPr>
            <w:tcW w:w="10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A</w:t>
            </w:r>
          </w:p>
        </w:tc>
        <w:tc>
          <w:tcPr>
            <w:tcW w:w="11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R</w:t>
            </w:r>
          </w:p>
        </w:tc>
        <w:tc>
          <w:tcPr>
            <w:tcW w:w="1101"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C</w:t>
            </w:r>
          </w:p>
        </w:tc>
        <w:tc>
          <w:tcPr>
            <w:tcW w:w="10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C</w:t>
            </w:r>
          </w:p>
        </w:tc>
        <w:tc>
          <w:tcPr>
            <w:tcW w:w="1126"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I</w:t>
            </w:r>
          </w:p>
        </w:tc>
      </w:tr>
      <w:tr>
        <w:trPr/>
        <w:tc>
          <w:tcPr>
            <w:tcW w:w="35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18"/>
                <w:szCs w:val="18"/>
              </w:rPr>
              <w:t>AIMS management review (Cl. 9.3)</w:t>
            </w:r>
          </w:p>
        </w:tc>
        <w:tc>
          <w:tcPr>
            <w:tcW w:w="10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A</w:t>
            </w:r>
          </w:p>
        </w:tc>
        <w:tc>
          <w:tcPr>
            <w:tcW w:w="11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R</w:t>
            </w:r>
          </w:p>
        </w:tc>
        <w:tc>
          <w:tcPr>
            <w:tcW w:w="1101"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C</w:t>
            </w:r>
          </w:p>
        </w:tc>
        <w:tc>
          <w:tcPr>
            <w:tcW w:w="10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C</w:t>
            </w:r>
          </w:p>
        </w:tc>
        <w:tc>
          <w:tcPr>
            <w:tcW w:w="1126"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I</w:t>
            </w:r>
          </w:p>
        </w:tc>
      </w:tr>
      <w:tr>
        <w:trPr/>
        <w:tc>
          <w:tcPr>
            <w:tcW w:w="35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8"/>
                <w:szCs w:val="18"/>
              </w:rPr>
              <w:t>Approve AIMS scope and SoA changes</w:t>
            </w:r>
          </w:p>
        </w:tc>
        <w:tc>
          <w:tcPr>
            <w:tcW w:w="10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A</w:t>
            </w:r>
          </w:p>
        </w:tc>
        <w:tc>
          <w:tcPr>
            <w:tcW w:w="11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R</w:t>
            </w:r>
          </w:p>
        </w:tc>
        <w:tc>
          <w:tcPr>
            <w:tcW w:w="1101"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C</w:t>
            </w:r>
          </w:p>
        </w:tc>
        <w:tc>
          <w:tcPr>
            <w:tcW w:w="10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C</w:t>
            </w:r>
          </w:p>
        </w:tc>
        <w:tc>
          <w:tcPr>
            <w:tcW w:w="1126"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I</w:t>
            </w:r>
          </w:p>
        </w:tc>
      </w:tr>
    </w:tbl>
    <w:p>
      <w:pPr>
        <w:pStyle w:val="Heading2"/>
        <w:spacing w:before="280" w:after="140"/>
        <w:rPr/>
      </w:pPr>
      <w:r>
        <w:rPr>
          <w:rFonts w:eastAsia="Arial" w:cs="Arial" w:ascii="Arial" w:hAnsi="Arial"/>
          <w:b/>
          <w:bCs/>
          <w:color w:val="0000FF"/>
          <w:sz w:val="28"/>
          <w:szCs w:val="28"/>
        </w:rPr>
        <w:t>6.2 Risk and Impact Assessment</w:t>
      </w:r>
    </w:p>
    <w:p>
      <w:pPr>
        <w:pStyle w:val="Normal"/>
        <w:spacing w:before="60" w:after="60"/>
        <w:rPr/>
      </w:pPr>
      <w:r>
        <w:rPr/>
      </w:r>
    </w:p>
    <w:tbl>
      <w:tblPr>
        <w:tblW w:w="9026" w:type="dxa"/>
        <w:jc w:val="start"/>
        <w:tblInd w:w="0" w:type="dxa"/>
        <w:tblLayout w:type="fixed"/>
        <w:tblCellMar>
          <w:top w:w="100" w:type="dxa"/>
          <w:start w:w="140" w:type="dxa"/>
          <w:bottom w:w="100" w:type="dxa"/>
          <w:end w:w="140" w:type="dxa"/>
        </w:tblCellMar>
      </w:tblPr>
      <w:tblGrid>
        <w:gridCol w:w="3500"/>
        <w:gridCol w:w="1099"/>
        <w:gridCol w:w="1100"/>
        <w:gridCol w:w="1101"/>
        <w:gridCol w:w="1099"/>
        <w:gridCol w:w="1126"/>
      </w:tblGrid>
      <w:tr>
        <w:trPr>
          <w:tblHeader w:val="true"/>
        </w:trPr>
        <w:tc>
          <w:tcPr>
            <w:tcW w:w="3500"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6"/>
                <w:szCs w:val="16"/>
              </w:rPr>
              <w:t>ACTIVITY</w:t>
            </w:r>
          </w:p>
        </w:tc>
        <w:tc>
          <w:tcPr>
            <w:tcW w:w="1099"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6"/>
                <w:szCs w:val="16"/>
              </w:rPr>
              <w:t>CEO</w:t>
            </w:r>
          </w:p>
        </w:tc>
        <w:tc>
          <w:tcPr>
            <w:tcW w:w="1100"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6"/>
                <w:szCs w:val="16"/>
              </w:rPr>
              <w:t>AIGL</w:t>
            </w:r>
          </w:p>
        </w:tc>
        <w:tc>
          <w:tcPr>
            <w:tcW w:w="1101"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6"/>
                <w:szCs w:val="16"/>
              </w:rPr>
              <w:t>CTO</w:t>
            </w:r>
          </w:p>
        </w:tc>
        <w:tc>
          <w:tcPr>
            <w:tcW w:w="1099"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6"/>
                <w:szCs w:val="16"/>
              </w:rPr>
              <w:t>PL</w:t>
            </w:r>
          </w:p>
        </w:tc>
        <w:tc>
          <w:tcPr>
            <w:tcW w:w="1126"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6"/>
                <w:szCs w:val="16"/>
              </w:rPr>
              <w:t>ENG</w:t>
            </w:r>
          </w:p>
        </w:tc>
      </w:tr>
      <w:tr>
        <w:trPr/>
        <w:tc>
          <w:tcPr>
            <w:tcW w:w="35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8"/>
                <w:szCs w:val="18"/>
              </w:rPr>
              <w:t>Maintain AI Risk Methodology (AIMS-RA-001)</w:t>
            </w:r>
          </w:p>
        </w:tc>
        <w:tc>
          <w:tcPr>
            <w:tcW w:w="10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I</w:t>
            </w:r>
          </w:p>
        </w:tc>
        <w:tc>
          <w:tcPr>
            <w:tcW w:w="11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A/R</w:t>
            </w:r>
          </w:p>
        </w:tc>
        <w:tc>
          <w:tcPr>
            <w:tcW w:w="1101"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C</w:t>
            </w:r>
          </w:p>
        </w:tc>
        <w:tc>
          <w:tcPr>
            <w:tcW w:w="10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C</w:t>
            </w:r>
          </w:p>
        </w:tc>
        <w:tc>
          <w:tcPr>
            <w:tcW w:w="1126"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I</w:t>
            </w:r>
          </w:p>
        </w:tc>
      </w:tr>
      <w:tr>
        <w:trPr/>
        <w:tc>
          <w:tcPr>
            <w:tcW w:w="35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18"/>
                <w:szCs w:val="18"/>
              </w:rPr>
              <w:t>Maintain AI Risk Register (AI-REG-RISK-001)</w:t>
            </w:r>
          </w:p>
        </w:tc>
        <w:tc>
          <w:tcPr>
            <w:tcW w:w="10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I</w:t>
            </w:r>
          </w:p>
        </w:tc>
        <w:tc>
          <w:tcPr>
            <w:tcW w:w="11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A</w:t>
            </w:r>
          </w:p>
        </w:tc>
        <w:tc>
          <w:tcPr>
            <w:tcW w:w="1101"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R</w:t>
            </w:r>
          </w:p>
        </w:tc>
        <w:tc>
          <w:tcPr>
            <w:tcW w:w="10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R</w:t>
            </w:r>
          </w:p>
        </w:tc>
        <w:tc>
          <w:tcPr>
            <w:tcW w:w="1126"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C</w:t>
            </w:r>
          </w:p>
        </w:tc>
      </w:tr>
      <w:tr>
        <w:trPr/>
        <w:tc>
          <w:tcPr>
            <w:tcW w:w="35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8"/>
                <w:szCs w:val="18"/>
              </w:rPr>
              <w:t>Accept Critical residual risk</w:t>
            </w:r>
          </w:p>
        </w:tc>
        <w:tc>
          <w:tcPr>
            <w:tcW w:w="10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A</w:t>
            </w:r>
          </w:p>
        </w:tc>
        <w:tc>
          <w:tcPr>
            <w:tcW w:w="11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R</w:t>
            </w:r>
          </w:p>
        </w:tc>
        <w:tc>
          <w:tcPr>
            <w:tcW w:w="1101"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C</w:t>
            </w:r>
          </w:p>
        </w:tc>
        <w:tc>
          <w:tcPr>
            <w:tcW w:w="10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C</w:t>
            </w:r>
          </w:p>
        </w:tc>
        <w:tc>
          <w:tcPr>
            <w:tcW w:w="1126"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I</w:t>
            </w:r>
          </w:p>
        </w:tc>
      </w:tr>
      <w:tr>
        <w:trPr/>
        <w:tc>
          <w:tcPr>
            <w:tcW w:w="35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18"/>
                <w:szCs w:val="18"/>
              </w:rPr>
              <w:t>Accept High residual risk</w:t>
            </w:r>
          </w:p>
        </w:tc>
        <w:tc>
          <w:tcPr>
            <w:tcW w:w="10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I</w:t>
            </w:r>
          </w:p>
        </w:tc>
        <w:tc>
          <w:tcPr>
            <w:tcW w:w="11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A</w:t>
            </w:r>
          </w:p>
        </w:tc>
        <w:tc>
          <w:tcPr>
            <w:tcW w:w="1101"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C</w:t>
            </w:r>
          </w:p>
        </w:tc>
        <w:tc>
          <w:tcPr>
            <w:tcW w:w="10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C</w:t>
            </w:r>
          </w:p>
        </w:tc>
        <w:tc>
          <w:tcPr>
            <w:tcW w:w="1126"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I</w:t>
            </w:r>
          </w:p>
        </w:tc>
      </w:tr>
      <w:tr>
        <w:trPr/>
        <w:tc>
          <w:tcPr>
            <w:tcW w:w="35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8"/>
                <w:szCs w:val="18"/>
              </w:rPr>
              <w:t>Conduct AISIA (AI-PRO-002)</w:t>
            </w:r>
          </w:p>
        </w:tc>
        <w:tc>
          <w:tcPr>
            <w:tcW w:w="10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I</w:t>
            </w:r>
          </w:p>
        </w:tc>
        <w:tc>
          <w:tcPr>
            <w:tcW w:w="11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A</w:t>
            </w:r>
          </w:p>
        </w:tc>
        <w:tc>
          <w:tcPr>
            <w:tcW w:w="1101"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C</w:t>
            </w:r>
          </w:p>
        </w:tc>
        <w:tc>
          <w:tcPr>
            <w:tcW w:w="10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C</w:t>
            </w:r>
          </w:p>
        </w:tc>
        <w:tc>
          <w:tcPr>
            <w:tcW w:w="1126"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R</w:t>
            </w:r>
          </w:p>
        </w:tc>
      </w:tr>
      <w:tr>
        <w:trPr/>
        <w:tc>
          <w:tcPr>
            <w:tcW w:w="35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18"/>
                <w:szCs w:val="18"/>
              </w:rPr>
              <w:t>Sign-off AISIA outputs</w:t>
            </w:r>
          </w:p>
        </w:tc>
        <w:tc>
          <w:tcPr>
            <w:tcW w:w="10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C (high-impact)</w:t>
            </w:r>
          </w:p>
        </w:tc>
        <w:tc>
          <w:tcPr>
            <w:tcW w:w="11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A/R</w:t>
            </w:r>
          </w:p>
        </w:tc>
        <w:tc>
          <w:tcPr>
            <w:tcW w:w="1101"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C</w:t>
            </w:r>
          </w:p>
        </w:tc>
        <w:tc>
          <w:tcPr>
            <w:tcW w:w="10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C</w:t>
            </w:r>
          </w:p>
        </w:tc>
        <w:tc>
          <w:tcPr>
            <w:tcW w:w="1126"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I</w:t>
            </w:r>
          </w:p>
        </w:tc>
      </w:tr>
    </w:tbl>
    <w:p>
      <w:pPr>
        <w:pStyle w:val="Heading2"/>
        <w:spacing w:before="280" w:after="140"/>
        <w:rPr/>
      </w:pPr>
      <w:r>
        <w:rPr>
          <w:rFonts w:eastAsia="Arial" w:cs="Arial" w:ascii="Arial" w:hAnsi="Arial"/>
          <w:b/>
          <w:bCs/>
          <w:color w:val="0000FF"/>
          <w:sz w:val="28"/>
          <w:szCs w:val="28"/>
        </w:rPr>
        <w:t>6.3 AI Lifecycle</w:t>
      </w:r>
    </w:p>
    <w:p>
      <w:pPr>
        <w:pStyle w:val="Normal"/>
        <w:spacing w:before="60" w:after="60"/>
        <w:rPr/>
      </w:pPr>
      <w:r>
        <w:rPr/>
      </w:r>
    </w:p>
    <w:tbl>
      <w:tblPr>
        <w:tblW w:w="9026" w:type="dxa"/>
        <w:jc w:val="start"/>
        <w:tblInd w:w="0" w:type="dxa"/>
        <w:tblLayout w:type="fixed"/>
        <w:tblCellMar>
          <w:top w:w="100" w:type="dxa"/>
          <w:start w:w="140" w:type="dxa"/>
          <w:bottom w:w="100" w:type="dxa"/>
          <w:end w:w="140" w:type="dxa"/>
        </w:tblCellMar>
      </w:tblPr>
      <w:tblGrid>
        <w:gridCol w:w="3500"/>
        <w:gridCol w:w="1099"/>
        <w:gridCol w:w="1100"/>
        <w:gridCol w:w="1101"/>
        <w:gridCol w:w="1099"/>
        <w:gridCol w:w="1126"/>
      </w:tblGrid>
      <w:tr>
        <w:trPr>
          <w:tblHeader w:val="true"/>
        </w:trPr>
        <w:tc>
          <w:tcPr>
            <w:tcW w:w="3500"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6"/>
                <w:szCs w:val="16"/>
              </w:rPr>
              <w:t>ACTIVITY</w:t>
            </w:r>
          </w:p>
        </w:tc>
        <w:tc>
          <w:tcPr>
            <w:tcW w:w="1099"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6"/>
                <w:szCs w:val="16"/>
              </w:rPr>
              <w:t>CEO</w:t>
            </w:r>
          </w:p>
        </w:tc>
        <w:tc>
          <w:tcPr>
            <w:tcW w:w="1100"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6"/>
                <w:szCs w:val="16"/>
              </w:rPr>
              <w:t>AIGL</w:t>
            </w:r>
          </w:p>
        </w:tc>
        <w:tc>
          <w:tcPr>
            <w:tcW w:w="1101"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6"/>
                <w:szCs w:val="16"/>
              </w:rPr>
              <w:t>CTO</w:t>
            </w:r>
          </w:p>
        </w:tc>
        <w:tc>
          <w:tcPr>
            <w:tcW w:w="1099"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6"/>
                <w:szCs w:val="16"/>
              </w:rPr>
              <w:t>PL</w:t>
            </w:r>
          </w:p>
        </w:tc>
        <w:tc>
          <w:tcPr>
            <w:tcW w:w="1126"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6"/>
                <w:szCs w:val="16"/>
              </w:rPr>
              <w:t>ENG</w:t>
            </w:r>
          </w:p>
        </w:tc>
      </w:tr>
      <w:tr>
        <w:trPr/>
        <w:tc>
          <w:tcPr>
            <w:tcW w:w="35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8"/>
                <w:szCs w:val="18"/>
              </w:rPr>
              <w:t>AI System Lifecycle Procedure (AI-PRO-001) execution</w:t>
            </w:r>
          </w:p>
        </w:tc>
        <w:tc>
          <w:tcPr>
            <w:tcW w:w="10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I</w:t>
            </w:r>
          </w:p>
        </w:tc>
        <w:tc>
          <w:tcPr>
            <w:tcW w:w="11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C</w:t>
            </w:r>
          </w:p>
        </w:tc>
        <w:tc>
          <w:tcPr>
            <w:tcW w:w="1101"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A</w:t>
            </w:r>
          </w:p>
        </w:tc>
        <w:tc>
          <w:tcPr>
            <w:tcW w:w="10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C</w:t>
            </w:r>
          </w:p>
        </w:tc>
        <w:tc>
          <w:tcPr>
            <w:tcW w:w="1126"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R</w:t>
            </w:r>
          </w:p>
        </w:tc>
      </w:tr>
      <w:tr>
        <w:trPr/>
        <w:tc>
          <w:tcPr>
            <w:tcW w:w="35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18"/>
                <w:szCs w:val="18"/>
              </w:rPr>
              <w:t>Stage Gate A (Concept review)</w:t>
            </w:r>
          </w:p>
        </w:tc>
        <w:tc>
          <w:tcPr>
            <w:tcW w:w="10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I</w:t>
            </w:r>
          </w:p>
        </w:tc>
        <w:tc>
          <w:tcPr>
            <w:tcW w:w="11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A</w:t>
            </w:r>
          </w:p>
        </w:tc>
        <w:tc>
          <w:tcPr>
            <w:tcW w:w="1101"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R</w:t>
            </w:r>
          </w:p>
        </w:tc>
        <w:tc>
          <w:tcPr>
            <w:tcW w:w="10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C</w:t>
            </w:r>
          </w:p>
        </w:tc>
        <w:tc>
          <w:tcPr>
            <w:tcW w:w="1126"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R</w:t>
            </w:r>
          </w:p>
        </w:tc>
      </w:tr>
      <w:tr>
        <w:trPr/>
        <w:tc>
          <w:tcPr>
            <w:tcW w:w="35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8"/>
                <w:szCs w:val="18"/>
              </w:rPr>
              <w:t>Stage Gate B (Pre-deployment review)</w:t>
            </w:r>
          </w:p>
        </w:tc>
        <w:tc>
          <w:tcPr>
            <w:tcW w:w="10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I</w:t>
            </w:r>
          </w:p>
        </w:tc>
        <w:tc>
          <w:tcPr>
            <w:tcW w:w="11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A</w:t>
            </w:r>
          </w:p>
        </w:tc>
        <w:tc>
          <w:tcPr>
            <w:tcW w:w="1101"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R</w:t>
            </w:r>
          </w:p>
        </w:tc>
        <w:tc>
          <w:tcPr>
            <w:tcW w:w="10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C</w:t>
            </w:r>
          </w:p>
        </w:tc>
        <w:tc>
          <w:tcPr>
            <w:tcW w:w="1126"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R</w:t>
            </w:r>
          </w:p>
        </w:tc>
      </w:tr>
      <w:tr>
        <w:trPr/>
        <w:tc>
          <w:tcPr>
            <w:tcW w:w="35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18"/>
                <w:szCs w:val="18"/>
              </w:rPr>
              <w:t>Stage Gate C (Production release)</w:t>
            </w:r>
          </w:p>
        </w:tc>
        <w:tc>
          <w:tcPr>
            <w:tcW w:w="10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I</w:t>
            </w:r>
          </w:p>
        </w:tc>
        <w:tc>
          <w:tcPr>
            <w:tcW w:w="11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C</w:t>
            </w:r>
          </w:p>
        </w:tc>
        <w:tc>
          <w:tcPr>
            <w:tcW w:w="1101"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A/R</w:t>
            </w:r>
          </w:p>
        </w:tc>
        <w:tc>
          <w:tcPr>
            <w:tcW w:w="10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I</w:t>
            </w:r>
          </w:p>
        </w:tc>
        <w:tc>
          <w:tcPr>
            <w:tcW w:w="1126"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R</w:t>
            </w:r>
          </w:p>
        </w:tc>
      </w:tr>
      <w:tr>
        <w:trPr/>
        <w:tc>
          <w:tcPr>
            <w:tcW w:w="35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8"/>
                <w:szCs w:val="18"/>
              </w:rPr>
              <w:t>Stage Gate D (Decommissioning decision)</w:t>
            </w:r>
          </w:p>
        </w:tc>
        <w:tc>
          <w:tcPr>
            <w:tcW w:w="10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I</w:t>
            </w:r>
          </w:p>
        </w:tc>
        <w:tc>
          <w:tcPr>
            <w:tcW w:w="11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C</w:t>
            </w:r>
          </w:p>
        </w:tc>
        <w:tc>
          <w:tcPr>
            <w:tcW w:w="1101"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A</w:t>
            </w:r>
          </w:p>
        </w:tc>
        <w:tc>
          <w:tcPr>
            <w:tcW w:w="10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I</w:t>
            </w:r>
          </w:p>
        </w:tc>
        <w:tc>
          <w:tcPr>
            <w:tcW w:w="1126"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R</w:t>
            </w:r>
          </w:p>
        </w:tc>
      </w:tr>
    </w:tbl>
    <w:p>
      <w:pPr>
        <w:pStyle w:val="Heading2"/>
        <w:spacing w:before="280" w:after="140"/>
        <w:rPr/>
      </w:pPr>
      <w:r>
        <w:rPr>
          <w:rFonts w:eastAsia="Arial" w:cs="Arial" w:ascii="Arial" w:hAnsi="Arial"/>
          <w:b/>
          <w:bCs/>
          <w:color w:val="0000FF"/>
          <w:sz w:val="28"/>
          <w:szCs w:val="28"/>
        </w:rPr>
        <w:t>6.4 Data and Models</w:t>
      </w:r>
    </w:p>
    <w:p>
      <w:pPr>
        <w:pStyle w:val="Normal"/>
        <w:spacing w:before="60" w:after="60"/>
        <w:rPr/>
      </w:pPr>
      <w:r>
        <w:rPr/>
      </w:r>
    </w:p>
    <w:tbl>
      <w:tblPr>
        <w:tblW w:w="9026" w:type="dxa"/>
        <w:jc w:val="start"/>
        <w:tblInd w:w="0" w:type="dxa"/>
        <w:tblLayout w:type="fixed"/>
        <w:tblCellMar>
          <w:top w:w="100" w:type="dxa"/>
          <w:start w:w="140" w:type="dxa"/>
          <w:bottom w:w="100" w:type="dxa"/>
          <w:end w:w="140" w:type="dxa"/>
        </w:tblCellMar>
      </w:tblPr>
      <w:tblGrid>
        <w:gridCol w:w="3500"/>
        <w:gridCol w:w="1099"/>
        <w:gridCol w:w="1100"/>
        <w:gridCol w:w="1101"/>
        <w:gridCol w:w="1099"/>
        <w:gridCol w:w="1126"/>
      </w:tblGrid>
      <w:tr>
        <w:trPr>
          <w:tblHeader w:val="true"/>
        </w:trPr>
        <w:tc>
          <w:tcPr>
            <w:tcW w:w="3500"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6"/>
                <w:szCs w:val="16"/>
              </w:rPr>
              <w:t>ACTIVITY</w:t>
            </w:r>
          </w:p>
        </w:tc>
        <w:tc>
          <w:tcPr>
            <w:tcW w:w="1099"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6"/>
                <w:szCs w:val="16"/>
              </w:rPr>
              <w:t>CEO</w:t>
            </w:r>
          </w:p>
        </w:tc>
        <w:tc>
          <w:tcPr>
            <w:tcW w:w="1100"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6"/>
                <w:szCs w:val="16"/>
              </w:rPr>
              <w:t>AIGL</w:t>
            </w:r>
          </w:p>
        </w:tc>
        <w:tc>
          <w:tcPr>
            <w:tcW w:w="1101"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6"/>
                <w:szCs w:val="16"/>
              </w:rPr>
              <w:t>CTO</w:t>
            </w:r>
          </w:p>
        </w:tc>
        <w:tc>
          <w:tcPr>
            <w:tcW w:w="1099"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6"/>
                <w:szCs w:val="16"/>
              </w:rPr>
              <w:t>PL</w:t>
            </w:r>
          </w:p>
        </w:tc>
        <w:tc>
          <w:tcPr>
            <w:tcW w:w="1126"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6"/>
                <w:szCs w:val="16"/>
              </w:rPr>
              <w:t>ENG</w:t>
            </w:r>
          </w:p>
        </w:tc>
      </w:tr>
      <w:tr>
        <w:trPr/>
        <w:tc>
          <w:tcPr>
            <w:tcW w:w="35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8"/>
                <w:szCs w:val="18"/>
              </w:rPr>
              <w:t>Maintain AI-REG-DATA-001</w:t>
            </w:r>
          </w:p>
        </w:tc>
        <w:tc>
          <w:tcPr>
            <w:tcW w:w="10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I</w:t>
            </w:r>
          </w:p>
        </w:tc>
        <w:tc>
          <w:tcPr>
            <w:tcW w:w="11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C</w:t>
            </w:r>
          </w:p>
        </w:tc>
        <w:tc>
          <w:tcPr>
            <w:tcW w:w="1101"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A</w:t>
            </w:r>
          </w:p>
        </w:tc>
        <w:tc>
          <w:tcPr>
            <w:tcW w:w="10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C</w:t>
            </w:r>
          </w:p>
        </w:tc>
        <w:tc>
          <w:tcPr>
            <w:tcW w:w="1126"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R</w:t>
            </w:r>
          </w:p>
        </w:tc>
      </w:tr>
      <w:tr>
        <w:trPr/>
        <w:tc>
          <w:tcPr>
            <w:tcW w:w="35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18"/>
                <w:szCs w:val="18"/>
              </w:rPr>
              <w:t>Approve novel data acquisition</w:t>
            </w:r>
          </w:p>
        </w:tc>
        <w:tc>
          <w:tcPr>
            <w:tcW w:w="10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I</w:t>
            </w:r>
          </w:p>
        </w:tc>
        <w:tc>
          <w:tcPr>
            <w:tcW w:w="11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A/C</w:t>
            </w:r>
          </w:p>
        </w:tc>
        <w:tc>
          <w:tcPr>
            <w:tcW w:w="1101"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R</w:t>
            </w:r>
          </w:p>
        </w:tc>
        <w:tc>
          <w:tcPr>
            <w:tcW w:w="10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C</w:t>
            </w:r>
          </w:p>
        </w:tc>
        <w:tc>
          <w:tcPr>
            <w:tcW w:w="1126"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R</w:t>
            </w:r>
          </w:p>
        </w:tc>
      </w:tr>
      <w:tr>
        <w:trPr/>
        <w:tc>
          <w:tcPr>
            <w:tcW w:w="35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8"/>
                <w:szCs w:val="18"/>
              </w:rPr>
              <w:t>Personal data in AI — lawful basis confirmation</w:t>
            </w:r>
          </w:p>
        </w:tc>
        <w:tc>
          <w:tcPr>
            <w:tcW w:w="10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I</w:t>
            </w:r>
          </w:p>
        </w:tc>
        <w:tc>
          <w:tcPr>
            <w:tcW w:w="11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C</w:t>
            </w:r>
          </w:p>
        </w:tc>
        <w:tc>
          <w:tcPr>
            <w:tcW w:w="1101"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C</w:t>
            </w:r>
          </w:p>
        </w:tc>
        <w:tc>
          <w:tcPr>
            <w:tcW w:w="10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A/R</w:t>
            </w:r>
          </w:p>
        </w:tc>
        <w:tc>
          <w:tcPr>
            <w:tcW w:w="1126"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C</w:t>
            </w:r>
          </w:p>
        </w:tc>
      </w:tr>
      <w:tr>
        <w:trPr/>
        <w:tc>
          <w:tcPr>
            <w:tcW w:w="35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18"/>
                <w:szCs w:val="18"/>
              </w:rPr>
              <w:t>Customer data usage decisions (training / improvement)</w:t>
            </w:r>
          </w:p>
        </w:tc>
        <w:tc>
          <w:tcPr>
            <w:tcW w:w="10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I</w:t>
            </w:r>
          </w:p>
        </w:tc>
        <w:tc>
          <w:tcPr>
            <w:tcW w:w="11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A</w:t>
            </w:r>
          </w:p>
        </w:tc>
        <w:tc>
          <w:tcPr>
            <w:tcW w:w="1101"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R</w:t>
            </w:r>
          </w:p>
        </w:tc>
        <w:tc>
          <w:tcPr>
            <w:tcW w:w="10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C</w:t>
            </w:r>
          </w:p>
        </w:tc>
        <w:tc>
          <w:tcPr>
            <w:tcW w:w="1126"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C</w:t>
            </w:r>
          </w:p>
        </w:tc>
      </w:tr>
    </w:tbl>
    <w:p>
      <w:pPr>
        <w:pStyle w:val="Heading2"/>
        <w:spacing w:before="280" w:after="140"/>
        <w:rPr/>
      </w:pPr>
      <w:r>
        <w:rPr>
          <w:rFonts w:eastAsia="Arial" w:cs="Arial" w:ascii="Arial" w:hAnsi="Arial"/>
          <w:b/>
          <w:bCs/>
          <w:color w:val="0000FF"/>
          <w:sz w:val="28"/>
          <w:szCs w:val="28"/>
        </w:rPr>
        <w:t>6.5 Third-Party AI</w:t>
      </w:r>
    </w:p>
    <w:p>
      <w:pPr>
        <w:pStyle w:val="Normal"/>
        <w:spacing w:before="60" w:after="60"/>
        <w:rPr/>
      </w:pPr>
      <w:r>
        <w:rPr/>
      </w:r>
    </w:p>
    <w:tbl>
      <w:tblPr>
        <w:tblW w:w="9026" w:type="dxa"/>
        <w:jc w:val="start"/>
        <w:tblInd w:w="0" w:type="dxa"/>
        <w:tblLayout w:type="fixed"/>
        <w:tblCellMar>
          <w:top w:w="100" w:type="dxa"/>
          <w:start w:w="140" w:type="dxa"/>
          <w:bottom w:w="100" w:type="dxa"/>
          <w:end w:w="140" w:type="dxa"/>
        </w:tblCellMar>
      </w:tblPr>
      <w:tblGrid>
        <w:gridCol w:w="3500"/>
        <w:gridCol w:w="1099"/>
        <w:gridCol w:w="1100"/>
        <w:gridCol w:w="1101"/>
        <w:gridCol w:w="1099"/>
        <w:gridCol w:w="1126"/>
      </w:tblGrid>
      <w:tr>
        <w:trPr>
          <w:tblHeader w:val="true"/>
        </w:trPr>
        <w:tc>
          <w:tcPr>
            <w:tcW w:w="3500"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6"/>
                <w:szCs w:val="16"/>
              </w:rPr>
              <w:t>ACTIVITY</w:t>
            </w:r>
          </w:p>
        </w:tc>
        <w:tc>
          <w:tcPr>
            <w:tcW w:w="1099"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6"/>
                <w:szCs w:val="16"/>
              </w:rPr>
              <w:t>CEO</w:t>
            </w:r>
          </w:p>
        </w:tc>
        <w:tc>
          <w:tcPr>
            <w:tcW w:w="1100"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6"/>
                <w:szCs w:val="16"/>
              </w:rPr>
              <w:t>AIGL</w:t>
            </w:r>
          </w:p>
        </w:tc>
        <w:tc>
          <w:tcPr>
            <w:tcW w:w="1101"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6"/>
                <w:szCs w:val="16"/>
              </w:rPr>
              <w:t>CTO</w:t>
            </w:r>
          </w:p>
        </w:tc>
        <w:tc>
          <w:tcPr>
            <w:tcW w:w="1099"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6"/>
                <w:szCs w:val="16"/>
              </w:rPr>
              <w:t>PL</w:t>
            </w:r>
          </w:p>
        </w:tc>
        <w:tc>
          <w:tcPr>
            <w:tcW w:w="1126"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6"/>
                <w:szCs w:val="16"/>
              </w:rPr>
              <w:t>ENG</w:t>
            </w:r>
          </w:p>
        </w:tc>
      </w:tr>
      <w:tr>
        <w:trPr/>
        <w:tc>
          <w:tcPr>
            <w:tcW w:w="35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8"/>
                <w:szCs w:val="18"/>
              </w:rPr>
              <w:t>Onboard new AI provider (AI-POL-009)</w:t>
            </w:r>
          </w:p>
        </w:tc>
        <w:tc>
          <w:tcPr>
            <w:tcW w:w="10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I</w:t>
            </w:r>
          </w:p>
        </w:tc>
        <w:tc>
          <w:tcPr>
            <w:tcW w:w="11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A</w:t>
            </w:r>
          </w:p>
        </w:tc>
        <w:tc>
          <w:tcPr>
            <w:tcW w:w="1101"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R</w:t>
            </w:r>
          </w:p>
        </w:tc>
        <w:tc>
          <w:tcPr>
            <w:tcW w:w="10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C</w:t>
            </w:r>
          </w:p>
        </w:tc>
        <w:tc>
          <w:tcPr>
            <w:tcW w:w="1126"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C</w:t>
            </w:r>
          </w:p>
        </w:tc>
      </w:tr>
      <w:tr>
        <w:trPr/>
        <w:tc>
          <w:tcPr>
            <w:tcW w:w="35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18"/>
                <w:szCs w:val="18"/>
              </w:rPr>
              <w:t>Maintain AI-REG-3P-001</w:t>
            </w:r>
          </w:p>
        </w:tc>
        <w:tc>
          <w:tcPr>
            <w:tcW w:w="10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I</w:t>
            </w:r>
          </w:p>
        </w:tc>
        <w:tc>
          <w:tcPr>
            <w:tcW w:w="11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A/R</w:t>
            </w:r>
          </w:p>
        </w:tc>
        <w:tc>
          <w:tcPr>
            <w:tcW w:w="1101"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C</w:t>
            </w:r>
          </w:p>
        </w:tc>
        <w:tc>
          <w:tcPr>
            <w:tcW w:w="10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C</w:t>
            </w:r>
          </w:p>
        </w:tc>
        <w:tc>
          <w:tcPr>
            <w:tcW w:w="1126"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I</w:t>
            </w:r>
          </w:p>
        </w:tc>
      </w:tr>
      <w:tr>
        <w:trPr/>
        <w:tc>
          <w:tcPr>
            <w:tcW w:w="35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8"/>
                <w:szCs w:val="18"/>
              </w:rPr>
              <w:t>Sub-processor disclosure to customers</w:t>
            </w:r>
          </w:p>
        </w:tc>
        <w:tc>
          <w:tcPr>
            <w:tcW w:w="10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I</w:t>
            </w:r>
          </w:p>
        </w:tc>
        <w:tc>
          <w:tcPr>
            <w:tcW w:w="11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C</w:t>
            </w:r>
          </w:p>
        </w:tc>
        <w:tc>
          <w:tcPr>
            <w:tcW w:w="1101"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I</w:t>
            </w:r>
          </w:p>
        </w:tc>
        <w:tc>
          <w:tcPr>
            <w:tcW w:w="10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A/R</w:t>
            </w:r>
          </w:p>
        </w:tc>
        <w:tc>
          <w:tcPr>
            <w:tcW w:w="1126"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I</w:t>
            </w:r>
          </w:p>
        </w:tc>
      </w:tr>
      <w:tr>
        <w:trPr/>
        <w:tc>
          <w:tcPr>
            <w:tcW w:w="35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18"/>
                <w:szCs w:val="18"/>
              </w:rPr>
              <w:t>Tier 1 provider quarterly review</w:t>
            </w:r>
          </w:p>
        </w:tc>
        <w:tc>
          <w:tcPr>
            <w:tcW w:w="10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I</w:t>
            </w:r>
          </w:p>
        </w:tc>
        <w:tc>
          <w:tcPr>
            <w:tcW w:w="11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A</w:t>
            </w:r>
          </w:p>
        </w:tc>
        <w:tc>
          <w:tcPr>
            <w:tcW w:w="1101"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R</w:t>
            </w:r>
          </w:p>
        </w:tc>
        <w:tc>
          <w:tcPr>
            <w:tcW w:w="10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C</w:t>
            </w:r>
          </w:p>
        </w:tc>
        <w:tc>
          <w:tcPr>
            <w:tcW w:w="1126"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C</w:t>
            </w:r>
          </w:p>
        </w:tc>
      </w:tr>
    </w:tbl>
    <w:p>
      <w:pPr>
        <w:pStyle w:val="Heading2"/>
        <w:spacing w:before="280" w:after="140"/>
        <w:rPr/>
      </w:pPr>
      <w:r>
        <w:rPr>
          <w:rFonts w:eastAsia="Arial" w:cs="Arial" w:ascii="Arial" w:hAnsi="Arial"/>
          <w:b/>
          <w:bCs/>
          <w:color w:val="0000FF"/>
          <w:sz w:val="28"/>
          <w:szCs w:val="28"/>
        </w:rPr>
        <w:t>6.6 Operations and Monitoring</w:t>
      </w:r>
    </w:p>
    <w:p>
      <w:pPr>
        <w:pStyle w:val="Normal"/>
        <w:spacing w:before="60" w:after="60"/>
        <w:rPr/>
      </w:pPr>
      <w:r>
        <w:rPr/>
      </w:r>
    </w:p>
    <w:tbl>
      <w:tblPr>
        <w:tblW w:w="9026" w:type="dxa"/>
        <w:jc w:val="start"/>
        <w:tblInd w:w="0" w:type="dxa"/>
        <w:tblLayout w:type="fixed"/>
        <w:tblCellMar>
          <w:top w:w="100" w:type="dxa"/>
          <w:start w:w="140" w:type="dxa"/>
          <w:bottom w:w="100" w:type="dxa"/>
          <w:end w:w="140" w:type="dxa"/>
        </w:tblCellMar>
      </w:tblPr>
      <w:tblGrid>
        <w:gridCol w:w="3500"/>
        <w:gridCol w:w="1099"/>
        <w:gridCol w:w="1100"/>
        <w:gridCol w:w="1101"/>
        <w:gridCol w:w="1099"/>
        <w:gridCol w:w="1126"/>
      </w:tblGrid>
      <w:tr>
        <w:trPr>
          <w:tblHeader w:val="true"/>
        </w:trPr>
        <w:tc>
          <w:tcPr>
            <w:tcW w:w="3500"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6"/>
                <w:szCs w:val="16"/>
              </w:rPr>
              <w:t>ACTIVITY</w:t>
            </w:r>
          </w:p>
        </w:tc>
        <w:tc>
          <w:tcPr>
            <w:tcW w:w="1099"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6"/>
                <w:szCs w:val="16"/>
              </w:rPr>
              <w:t>CEO</w:t>
            </w:r>
          </w:p>
        </w:tc>
        <w:tc>
          <w:tcPr>
            <w:tcW w:w="1100"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6"/>
                <w:szCs w:val="16"/>
              </w:rPr>
              <w:t>AIGL</w:t>
            </w:r>
          </w:p>
        </w:tc>
        <w:tc>
          <w:tcPr>
            <w:tcW w:w="1101"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6"/>
                <w:szCs w:val="16"/>
              </w:rPr>
              <w:t>CTO</w:t>
            </w:r>
          </w:p>
        </w:tc>
        <w:tc>
          <w:tcPr>
            <w:tcW w:w="1099"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6"/>
                <w:szCs w:val="16"/>
              </w:rPr>
              <w:t>PL</w:t>
            </w:r>
          </w:p>
        </w:tc>
        <w:tc>
          <w:tcPr>
            <w:tcW w:w="1126"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6"/>
                <w:szCs w:val="16"/>
              </w:rPr>
              <w:t>ENG</w:t>
            </w:r>
          </w:p>
        </w:tc>
      </w:tr>
      <w:tr>
        <w:trPr/>
        <w:tc>
          <w:tcPr>
            <w:tcW w:w="35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8"/>
                <w:szCs w:val="18"/>
              </w:rPr>
              <w:t>Production AI monitoring</w:t>
            </w:r>
          </w:p>
        </w:tc>
        <w:tc>
          <w:tcPr>
            <w:tcW w:w="10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I</w:t>
            </w:r>
          </w:p>
        </w:tc>
        <w:tc>
          <w:tcPr>
            <w:tcW w:w="11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C</w:t>
            </w:r>
          </w:p>
        </w:tc>
        <w:tc>
          <w:tcPr>
            <w:tcW w:w="1101"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A</w:t>
            </w:r>
          </w:p>
        </w:tc>
        <w:tc>
          <w:tcPr>
            <w:tcW w:w="10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C</w:t>
            </w:r>
          </w:p>
        </w:tc>
        <w:tc>
          <w:tcPr>
            <w:tcW w:w="1126"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R</w:t>
            </w:r>
          </w:p>
        </w:tc>
      </w:tr>
      <w:tr>
        <w:trPr/>
        <w:tc>
          <w:tcPr>
            <w:tcW w:w="35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18"/>
                <w:szCs w:val="18"/>
              </w:rPr>
              <w:t>Compliance Monitoring Schedule (AI-PROG-COMP-001)</w:t>
            </w:r>
          </w:p>
        </w:tc>
        <w:tc>
          <w:tcPr>
            <w:tcW w:w="10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I</w:t>
            </w:r>
          </w:p>
        </w:tc>
        <w:tc>
          <w:tcPr>
            <w:tcW w:w="11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A/R</w:t>
            </w:r>
          </w:p>
        </w:tc>
        <w:tc>
          <w:tcPr>
            <w:tcW w:w="1101"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C</w:t>
            </w:r>
          </w:p>
        </w:tc>
        <w:tc>
          <w:tcPr>
            <w:tcW w:w="10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C</w:t>
            </w:r>
          </w:p>
        </w:tc>
        <w:tc>
          <w:tcPr>
            <w:tcW w:w="1126"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C</w:t>
            </w:r>
          </w:p>
        </w:tc>
      </w:tr>
      <w:tr>
        <w:trPr/>
        <w:tc>
          <w:tcPr>
            <w:tcW w:w="35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8"/>
                <w:szCs w:val="18"/>
              </w:rPr>
              <w:t>AISIA refresh on operational triggers</w:t>
            </w:r>
          </w:p>
        </w:tc>
        <w:tc>
          <w:tcPr>
            <w:tcW w:w="10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I</w:t>
            </w:r>
          </w:p>
        </w:tc>
        <w:tc>
          <w:tcPr>
            <w:tcW w:w="11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A</w:t>
            </w:r>
          </w:p>
        </w:tc>
        <w:tc>
          <w:tcPr>
            <w:tcW w:w="1101"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C</w:t>
            </w:r>
          </w:p>
        </w:tc>
        <w:tc>
          <w:tcPr>
            <w:tcW w:w="10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C</w:t>
            </w:r>
          </w:p>
        </w:tc>
        <w:tc>
          <w:tcPr>
            <w:tcW w:w="1126"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R</w:t>
            </w:r>
          </w:p>
        </w:tc>
      </w:tr>
      <w:tr>
        <w:trPr/>
        <w:tc>
          <w:tcPr>
            <w:tcW w:w="35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18"/>
                <w:szCs w:val="18"/>
              </w:rPr>
              <w:t>Maintain AI-REG-INV-001</w:t>
            </w:r>
          </w:p>
        </w:tc>
        <w:tc>
          <w:tcPr>
            <w:tcW w:w="10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I</w:t>
            </w:r>
          </w:p>
        </w:tc>
        <w:tc>
          <w:tcPr>
            <w:tcW w:w="11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C</w:t>
            </w:r>
          </w:p>
        </w:tc>
        <w:tc>
          <w:tcPr>
            <w:tcW w:w="1101"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A</w:t>
            </w:r>
          </w:p>
        </w:tc>
        <w:tc>
          <w:tcPr>
            <w:tcW w:w="10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C</w:t>
            </w:r>
          </w:p>
        </w:tc>
        <w:tc>
          <w:tcPr>
            <w:tcW w:w="1126"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R</w:t>
            </w:r>
          </w:p>
        </w:tc>
      </w:tr>
    </w:tbl>
    <w:p>
      <w:pPr>
        <w:pStyle w:val="Heading2"/>
        <w:spacing w:before="280" w:after="140"/>
        <w:rPr/>
      </w:pPr>
      <w:r>
        <w:rPr>
          <w:rFonts w:eastAsia="Arial" w:cs="Arial" w:ascii="Arial" w:hAnsi="Arial"/>
          <w:b/>
          <w:bCs/>
          <w:color w:val="0000FF"/>
          <w:sz w:val="28"/>
          <w:szCs w:val="28"/>
        </w:rPr>
        <w:t>6.7 Incident Response</w:t>
      </w:r>
    </w:p>
    <w:p>
      <w:pPr>
        <w:pStyle w:val="Normal"/>
        <w:spacing w:before="60" w:after="60"/>
        <w:rPr/>
      </w:pPr>
      <w:r>
        <w:rPr/>
      </w:r>
    </w:p>
    <w:tbl>
      <w:tblPr>
        <w:tblW w:w="9026" w:type="dxa"/>
        <w:jc w:val="start"/>
        <w:tblInd w:w="0" w:type="dxa"/>
        <w:tblLayout w:type="fixed"/>
        <w:tblCellMar>
          <w:top w:w="100" w:type="dxa"/>
          <w:start w:w="140" w:type="dxa"/>
          <w:bottom w:w="100" w:type="dxa"/>
          <w:end w:w="140" w:type="dxa"/>
        </w:tblCellMar>
      </w:tblPr>
      <w:tblGrid>
        <w:gridCol w:w="3500"/>
        <w:gridCol w:w="1099"/>
        <w:gridCol w:w="1100"/>
        <w:gridCol w:w="1101"/>
        <w:gridCol w:w="1099"/>
        <w:gridCol w:w="1126"/>
      </w:tblGrid>
      <w:tr>
        <w:trPr>
          <w:tblHeader w:val="true"/>
        </w:trPr>
        <w:tc>
          <w:tcPr>
            <w:tcW w:w="3500"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6"/>
                <w:szCs w:val="16"/>
              </w:rPr>
              <w:t>ACTIVITY</w:t>
            </w:r>
          </w:p>
        </w:tc>
        <w:tc>
          <w:tcPr>
            <w:tcW w:w="1099"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6"/>
                <w:szCs w:val="16"/>
              </w:rPr>
              <w:t>CEO</w:t>
            </w:r>
          </w:p>
        </w:tc>
        <w:tc>
          <w:tcPr>
            <w:tcW w:w="1100"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6"/>
                <w:szCs w:val="16"/>
              </w:rPr>
              <w:t>AIGL</w:t>
            </w:r>
          </w:p>
        </w:tc>
        <w:tc>
          <w:tcPr>
            <w:tcW w:w="1101"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6"/>
                <w:szCs w:val="16"/>
              </w:rPr>
              <w:t>CTO</w:t>
            </w:r>
          </w:p>
        </w:tc>
        <w:tc>
          <w:tcPr>
            <w:tcW w:w="1099"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6"/>
                <w:szCs w:val="16"/>
              </w:rPr>
              <w:t>PL</w:t>
            </w:r>
          </w:p>
        </w:tc>
        <w:tc>
          <w:tcPr>
            <w:tcW w:w="1126"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6"/>
                <w:szCs w:val="16"/>
              </w:rPr>
              <w:t>ENG</w:t>
            </w:r>
          </w:p>
        </w:tc>
      </w:tr>
      <w:tr>
        <w:trPr/>
        <w:tc>
          <w:tcPr>
            <w:tcW w:w="35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8"/>
                <w:szCs w:val="18"/>
              </w:rPr>
              <w:t>Activate AI-PLAN-IRP-001</w:t>
            </w:r>
          </w:p>
        </w:tc>
        <w:tc>
          <w:tcPr>
            <w:tcW w:w="10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I</w:t>
            </w:r>
          </w:p>
        </w:tc>
        <w:tc>
          <w:tcPr>
            <w:tcW w:w="11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A/R</w:t>
            </w:r>
          </w:p>
        </w:tc>
        <w:tc>
          <w:tcPr>
            <w:tcW w:w="1101"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C</w:t>
            </w:r>
          </w:p>
        </w:tc>
        <w:tc>
          <w:tcPr>
            <w:tcW w:w="10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C</w:t>
            </w:r>
          </w:p>
        </w:tc>
        <w:tc>
          <w:tcPr>
            <w:tcW w:w="1126"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R</w:t>
            </w:r>
          </w:p>
        </w:tc>
      </w:tr>
      <w:tr>
        <w:trPr/>
        <w:tc>
          <w:tcPr>
            <w:tcW w:w="35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18"/>
                <w:szCs w:val="18"/>
              </w:rPr>
              <w:t>Containment decisions (Major / Critical)</w:t>
            </w:r>
          </w:p>
        </w:tc>
        <w:tc>
          <w:tcPr>
            <w:tcW w:w="10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C</w:t>
            </w:r>
          </w:p>
        </w:tc>
        <w:tc>
          <w:tcPr>
            <w:tcW w:w="11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A</w:t>
            </w:r>
          </w:p>
        </w:tc>
        <w:tc>
          <w:tcPr>
            <w:tcW w:w="1101"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R</w:t>
            </w:r>
          </w:p>
        </w:tc>
        <w:tc>
          <w:tcPr>
            <w:tcW w:w="10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C</w:t>
            </w:r>
          </w:p>
        </w:tc>
        <w:tc>
          <w:tcPr>
            <w:tcW w:w="1126"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R</w:t>
            </w:r>
          </w:p>
        </w:tc>
      </w:tr>
      <w:tr>
        <w:trPr/>
        <w:tc>
          <w:tcPr>
            <w:tcW w:w="35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8"/>
                <w:szCs w:val="18"/>
              </w:rPr>
              <w:t>Customer communication during AI incident</w:t>
            </w:r>
          </w:p>
        </w:tc>
        <w:tc>
          <w:tcPr>
            <w:tcW w:w="10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C (Critical)</w:t>
            </w:r>
          </w:p>
        </w:tc>
        <w:tc>
          <w:tcPr>
            <w:tcW w:w="11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A</w:t>
            </w:r>
          </w:p>
        </w:tc>
        <w:tc>
          <w:tcPr>
            <w:tcW w:w="1101"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C</w:t>
            </w:r>
          </w:p>
        </w:tc>
        <w:tc>
          <w:tcPr>
            <w:tcW w:w="10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C</w:t>
            </w:r>
          </w:p>
        </w:tc>
        <w:tc>
          <w:tcPr>
            <w:tcW w:w="1126"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I</w:t>
            </w:r>
          </w:p>
        </w:tc>
      </w:tr>
      <w:tr>
        <w:trPr/>
        <w:tc>
          <w:tcPr>
            <w:tcW w:w="35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18"/>
                <w:szCs w:val="18"/>
              </w:rPr>
              <w:t>Regulator engagement (ICO etc.)</w:t>
            </w:r>
          </w:p>
        </w:tc>
        <w:tc>
          <w:tcPr>
            <w:tcW w:w="10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A</w:t>
            </w:r>
          </w:p>
        </w:tc>
        <w:tc>
          <w:tcPr>
            <w:tcW w:w="11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R</w:t>
            </w:r>
          </w:p>
        </w:tc>
        <w:tc>
          <w:tcPr>
            <w:tcW w:w="1101"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C</w:t>
            </w:r>
          </w:p>
        </w:tc>
        <w:tc>
          <w:tcPr>
            <w:tcW w:w="10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R</w:t>
            </w:r>
          </w:p>
        </w:tc>
        <w:tc>
          <w:tcPr>
            <w:tcW w:w="1126"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I</w:t>
            </w:r>
          </w:p>
        </w:tc>
      </w:tr>
      <w:tr>
        <w:trPr/>
        <w:tc>
          <w:tcPr>
            <w:tcW w:w="35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8"/>
                <w:szCs w:val="18"/>
              </w:rPr>
              <w:t>Post-incident review (Major / Critical)</w:t>
            </w:r>
          </w:p>
        </w:tc>
        <w:tc>
          <w:tcPr>
            <w:tcW w:w="10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I</w:t>
            </w:r>
          </w:p>
        </w:tc>
        <w:tc>
          <w:tcPr>
            <w:tcW w:w="11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A/R</w:t>
            </w:r>
          </w:p>
        </w:tc>
        <w:tc>
          <w:tcPr>
            <w:tcW w:w="1101"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C</w:t>
            </w:r>
          </w:p>
        </w:tc>
        <w:tc>
          <w:tcPr>
            <w:tcW w:w="10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C</w:t>
            </w:r>
          </w:p>
        </w:tc>
        <w:tc>
          <w:tcPr>
            <w:tcW w:w="1126"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C</w:t>
            </w:r>
          </w:p>
        </w:tc>
      </w:tr>
      <w:tr>
        <w:trPr/>
        <w:tc>
          <w:tcPr>
            <w:tcW w:w="35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18"/>
                <w:szCs w:val="18"/>
              </w:rPr>
              <w:t>Maintain AI-REG-INC-001</w:t>
            </w:r>
          </w:p>
        </w:tc>
        <w:tc>
          <w:tcPr>
            <w:tcW w:w="10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I</w:t>
            </w:r>
          </w:p>
        </w:tc>
        <w:tc>
          <w:tcPr>
            <w:tcW w:w="11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A</w:t>
            </w:r>
          </w:p>
        </w:tc>
        <w:tc>
          <w:tcPr>
            <w:tcW w:w="1101"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C</w:t>
            </w:r>
          </w:p>
        </w:tc>
        <w:tc>
          <w:tcPr>
            <w:tcW w:w="10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C</w:t>
            </w:r>
          </w:p>
        </w:tc>
        <w:tc>
          <w:tcPr>
            <w:tcW w:w="1126"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R</w:t>
            </w:r>
          </w:p>
        </w:tc>
      </w:tr>
    </w:tbl>
    <w:p>
      <w:pPr>
        <w:pStyle w:val="Heading2"/>
        <w:spacing w:before="280" w:after="140"/>
        <w:rPr/>
      </w:pPr>
      <w:r>
        <w:rPr>
          <w:rFonts w:eastAsia="Arial" w:cs="Arial" w:ascii="Arial" w:hAnsi="Arial"/>
          <w:b/>
          <w:bCs/>
          <w:color w:val="0000FF"/>
          <w:sz w:val="28"/>
          <w:szCs w:val="28"/>
        </w:rPr>
        <w:t>6.8 Audit and Compliance</w:t>
      </w:r>
    </w:p>
    <w:p>
      <w:pPr>
        <w:pStyle w:val="Normal"/>
        <w:spacing w:before="60" w:after="60"/>
        <w:rPr/>
      </w:pPr>
      <w:r>
        <w:rPr/>
      </w:r>
    </w:p>
    <w:tbl>
      <w:tblPr>
        <w:tblW w:w="9026" w:type="dxa"/>
        <w:jc w:val="start"/>
        <w:tblInd w:w="0" w:type="dxa"/>
        <w:tblLayout w:type="fixed"/>
        <w:tblCellMar>
          <w:top w:w="100" w:type="dxa"/>
          <w:start w:w="140" w:type="dxa"/>
          <w:bottom w:w="100" w:type="dxa"/>
          <w:end w:w="140" w:type="dxa"/>
        </w:tblCellMar>
      </w:tblPr>
      <w:tblGrid>
        <w:gridCol w:w="3500"/>
        <w:gridCol w:w="1099"/>
        <w:gridCol w:w="1100"/>
        <w:gridCol w:w="1101"/>
        <w:gridCol w:w="1099"/>
        <w:gridCol w:w="1126"/>
      </w:tblGrid>
      <w:tr>
        <w:trPr>
          <w:tblHeader w:val="true"/>
        </w:trPr>
        <w:tc>
          <w:tcPr>
            <w:tcW w:w="3500"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6"/>
                <w:szCs w:val="16"/>
              </w:rPr>
              <w:t>ACTIVITY</w:t>
            </w:r>
          </w:p>
        </w:tc>
        <w:tc>
          <w:tcPr>
            <w:tcW w:w="1099"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6"/>
                <w:szCs w:val="16"/>
              </w:rPr>
              <w:t>CEO</w:t>
            </w:r>
          </w:p>
        </w:tc>
        <w:tc>
          <w:tcPr>
            <w:tcW w:w="1100"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6"/>
                <w:szCs w:val="16"/>
              </w:rPr>
              <w:t>AIGL</w:t>
            </w:r>
          </w:p>
        </w:tc>
        <w:tc>
          <w:tcPr>
            <w:tcW w:w="1101"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6"/>
                <w:szCs w:val="16"/>
              </w:rPr>
              <w:t>CTO</w:t>
            </w:r>
          </w:p>
        </w:tc>
        <w:tc>
          <w:tcPr>
            <w:tcW w:w="1099"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6"/>
                <w:szCs w:val="16"/>
              </w:rPr>
              <w:t>PL</w:t>
            </w:r>
          </w:p>
        </w:tc>
        <w:tc>
          <w:tcPr>
            <w:tcW w:w="1126"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6"/>
                <w:szCs w:val="16"/>
              </w:rPr>
              <w:t>AUD</w:t>
            </w:r>
          </w:p>
        </w:tc>
      </w:tr>
      <w:tr>
        <w:trPr/>
        <w:tc>
          <w:tcPr>
            <w:tcW w:w="35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8"/>
                <w:szCs w:val="18"/>
              </w:rPr>
              <w:t>AIMS Internal Audit Programme (AI-PROG-AUDIT-001)</w:t>
            </w:r>
          </w:p>
        </w:tc>
        <w:tc>
          <w:tcPr>
            <w:tcW w:w="10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I</w:t>
            </w:r>
          </w:p>
        </w:tc>
        <w:tc>
          <w:tcPr>
            <w:tcW w:w="11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A</w:t>
            </w:r>
          </w:p>
        </w:tc>
        <w:tc>
          <w:tcPr>
            <w:tcW w:w="1101"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C</w:t>
            </w:r>
          </w:p>
        </w:tc>
        <w:tc>
          <w:tcPr>
            <w:tcW w:w="10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C</w:t>
            </w:r>
          </w:p>
        </w:tc>
        <w:tc>
          <w:tcPr>
            <w:tcW w:w="1126"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R</w:t>
            </w:r>
          </w:p>
        </w:tc>
      </w:tr>
      <w:tr>
        <w:trPr/>
        <w:tc>
          <w:tcPr>
            <w:tcW w:w="35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18"/>
                <w:szCs w:val="18"/>
              </w:rPr>
              <w:t>AIMS internal audit conduct</w:t>
            </w:r>
          </w:p>
        </w:tc>
        <w:tc>
          <w:tcPr>
            <w:tcW w:w="10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I</w:t>
            </w:r>
          </w:p>
        </w:tc>
        <w:tc>
          <w:tcPr>
            <w:tcW w:w="11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C</w:t>
            </w:r>
          </w:p>
        </w:tc>
        <w:tc>
          <w:tcPr>
            <w:tcW w:w="1101"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C</w:t>
            </w:r>
          </w:p>
        </w:tc>
        <w:tc>
          <w:tcPr>
            <w:tcW w:w="10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C</w:t>
            </w:r>
          </w:p>
        </w:tc>
        <w:tc>
          <w:tcPr>
            <w:tcW w:w="1126"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A/R</w:t>
            </w:r>
          </w:p>
        </w:tc>
      </w:tr>
      <w:tr>
        <w:trPr/>
        <w:tc>
          <w:tcPr>
            <w:tcW w:w="35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8"/>
                <w:szCs w:val="18"/>
              </w:rPr>
              <w:t>Track findings to closure (REG-CAR-001)</w:t>
            </w:r>
          </w:p>
        </w:tc>
        <w:tc>
          <w:tcPr>
            <w:tcW w:w="10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I</w:t>
            </w:r>
          </w:p>
        </w:tc>
        <w:tc>
          <w:tcPr>
            <w:tcW w:w="11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A/R</w:t>
            </w:r>
          </w:p>
        </w:tc>
        <w:tc>
          <w:tcPr>
            <w:tcW w:w="1101"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C</w:t>
            </w:r>
          </w:p>
        </w:tc>
        <w:tc>
          <w:tcPr>
            <w:tcW w:w="10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C</w:t>
            </w:r>
          </w:p>
        </w:tc>
        <w:tc>
          <w:tcPr>
            <w:tcW w:w="1126"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C</w:t>
            </w:r>
          </w:p>
        </w:tc>
      </w:tr>
      <w:tr>
        <w:trPr/>
        <w:tc>
          <w:tcPr>
            <w:tcW w:w="35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18"/>
                <w:szCs w:val="18"/>
              </w:rPr>
              <w:t>Report compliance to management review</w:t>
            </w:r>
          </w:p>
        </w:tc>
        <w:tc>
          <w:tcPr>
            <w:tcW w:w="10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I</w:t>
            </w:r>
          </w:p>
        </w:tc>
        <w:tc>
          <w:tcPr>
            <w:tcW w:w="11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A/R</w:t>
            </w:r>
          </w:p>
        </w:tc>
        <w:tc>
          <w:tcPr>
            <w:tcW w:w="1101"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C</w:t>
            </w:r>
          </w:p>
        </w:tc>
        <w:tc>
          <w:tcPr>
            <w:tcW w:w="10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C</w:t>
            </w:r>
          </w:p>
        </w:tc>
        <w:tc>
          <w:tcPr>
            <w:tcW w:w="1126"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C</w:t>
            </w:r>
          </w:p>
        </w:tc>
      </w:tr>
    </w:tbl>
    <w:p>
      <w:pPr>
        <w:pStyle w:val="Heading2"/>
        <w:spacing w:before="280" w:after="140"/>
        <w:rPr/>
      </w:pPr>
      <w:r>
        <w:rPr>
          <w:rFonts w:eastAsia="Arial" w:cs="Arial" w:ascii="Arial" w:hAnsi="Arial"/>
          <w:b/>
          <w:bCs/>
          <w:color w:val="0000FF"/>
          <w:sz w:val="28"/>
          <w:szCs w:val="28"/>
        </w:rPr>
        <w:t>6.9 People and Training</w:t>
      </w:r>
    </w:p>
    <w:p>
      <w:pPr>
        <w:pStyle w:val="Normal"/>
        <w:spacing w:before="60" w:after="60"/>
        <w:rPr/>
      </w:pPr>
      <w:r>
        <w:rPr/>
      </w:r>
    </w:p>
    <w:tbl>
      <w:tblPr>
        <w:tblW w:w="9026" w:type="dxa"/>
        <w:jc w:val="start"/>
        <w:tblInd w:w="0" w:type="dxa"/>
        <w:tblLayout w:type="fixed"/>
        <w:tblCellMar>
          <w:top w:w="100" w:type="dxa"/>
          <w:start w:w="140" w:type="dxa"/>
          <w:bottom w:w="100" w:type="dxa"/>
          <w:end w:w="140" w:type="dxa"/>
        </w:tblCellMar>
      </w:tblPr>
      <w:tblGrid>
        <w:gridCol w:w="3500"/>
        <w:gridCol w:w="1099"/>
        <w:gridCol w:w="1100"/>
        <w:gridCol w:w="1101"/>
        <w:gridCol w:w="1099"/>
        <w:gridCol w:w="1126"/>
      </w:tblGrid>
      <w:tr>
        <w:trPr>
          <w:tblHeader w:val="true"/>
        </w:trPr>
        <w:tc>
          <w:tcPr>
            <w:tcW w:w="3500"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6"/>
                <w:szCs w:val="16"/>
              </w:rPr>
              <w:t>ACTIVITY</w:t>
            </w:r>
          </w:p>
        </w:tc>
        <w:tc>
          <w:tcPr>
            <w:tcW w:w="1099"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6"/>
                <w:szCs w:val="16"/>
              </w:rPr>
              <w:t>CEO</w:t>
            </w:r>
          </w:p>
        </w:tc>
        <w:tc>
          <w:tcPr>
            <w:tcW w:w="1100"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6"/>
                <w:szCs w:val="16"/>
              </w:rPr>
              <w:t>AIGL</w:t>
            </w:r>
          </w:p>
        </w:tc>
        <w:tc>
          <w:tcPr>
            <w:tcW w:w="1101"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6"/>
                <w:szCs w:val="16"/>
              </w:rPr>
              <w:t>CTO</w:t>
            </w:r>
          </w:p>
        </w:tc>
        <w:tc>
          <w:tcPr>
            <w:tcW w:w="1099"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6"/>
                <w:szCs w:val="16"/>
              </w:rPr>
              <w:t>PL</w:t>
            </w:r>
          </w:p>
        </w:tc>
        <w:tc>
          <w:tcPr>
            <w:tcW w:w="1126"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6"/>
                <w:szCs w:val="16"/>
              </w:rPr>
              <w:t>LM</w:t>
            </w:r>
          </w:p>
        </w:tc>
      </w:tr>
      <w:tr>
        <w:trPr/>
        <w:tc>
          <w:tcPr>
            <w:tcW w:w="35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8"/>
                <w:szCs w:val="18"/>
              </w:rPr>
              <w:t>AI Awareness and Training Programme (AI-PROG-TRAIN-001)</w:t>
            </w:r>
          </w:p>
        </w:tc>
        <w:tc>
          <w:tcPr>
            <w:tcW w:w="10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I</w:t>
            </w:r>
          </w:p>
        </w:tc>
        <w:tc>
          <w:tcPr>
            <w:tcW w:w="11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A/R</w:t>
            </w:r>
          </w:p>
        </w:tc>
        <w:tc>
          <w:tcPr>
            <w:tcW w:w="1101"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C</w:t>
            </w:r>
          </w:p>
        </w:tc>
        <w:tc>
          <w:tcPr>
            <w:tcW w:w="10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C</w:t>
            </w:r>
          </w:p>
        </w:tc>
        <w:tc>
          <w:tcPr>
            <w:tcW w:w="1126"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C</w:t>
            </w:r>
          </w:p>
        </w:tc>
      </w:tr>
      <w:tr>
        <w:trPr/>
        <w:tc>
          <w:tcPr>
            <w:tcW w:w="35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18"/>
                <w:szCs w:val="18"/>
              </w:rPr>
              <w:t>Personnel training completion tracking</w:t>
            </w:r>
          </w:p>
        </w:tc>
        <w:tc>
          <w:tcPr>
            <w:tcW w:w="10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I</w:t>
            </w:r>
          </w:p>
        </w:tc>
        <w:tc>
          <w:tcPr>
            <w:tcW w:w="11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A</w:t>
            </w:r>
          </w:p>
        </w:tc>
        <w:tc>
          <w:tcPr>
            <w:tcW w:w="1101"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I</w:t>
            </w:r>
          </w:p>
        </w:tc>
        <w:tc>
          <w:tcPr>
            <w:tcW w:w="10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I</w:t>
            </w:r>
          </w:p>
        </w:tc>
        <w:tc>
          <w:tcPr>
            <w:tcW w:w="1126"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R</w:t>
            </w:r>
          </w:p>
        </w:tc>
      </w:tr>
      <w:tr>
        <w:trPr/>
        <w:tc>
          <w:tcPr>
            <w:tcW w:w="35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8"/>
                <w:szCs w:val="18"/>
              </w:rPr>
              <w:t>AI competence for AI Builders</w:t>
            </w:r>
          </w:p>
        </w:tc>
        <w:tc>
          <w:tcPr>
            <w:tcW w:w="10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I</w:t>
            </w:r>
          </w:p>
        </w:tc>
        <w:tc>
          <w:tcPr>
            <w:tcW w:w="11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C</w:t>
            </w:r>
          </w:p>
        </w:tc>
        <w:tc>
          <w:tcPr>
            <w:tcW w:w="1101"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A/R</w:t>
            </w:r>
          </w:p>
        </w:tc>
        <w:tc>
          <w:tcPr>
            <w:tcW w:w="10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I</w:t>
            </w:r>
          </w:p>
        </w:tc>
        <w:tc>
          <w:tcPr>
            <w:tcW w:w="1126"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C</w:t>
            </w:r>
          </w:p>
        </w:tc>
      </w:tr>
      <w:tr>
        <w:trPr/>
        <w:tc>
          <w:tcPr>
            <w:tcW w:w="35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18"/>
                <w:szCs w:val="18"/>
              </w:rPr>
              <w:t>AI concerns reporting channel (AI-POL-002 §8)</w:t>
            </w:r>
          </w:p>
        </w:tc>
        <w:tc>
          <w:tcPr>
            <w:tcW w:w="10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I</w:t>
            </w:r>
          </w:p>
        </w:tc>
        <w:tc>
          <w:tcPr>
            <w:tcW w:w="11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A/R</w:t>
            </w:r>
          </w:p>
        </w:tc>
        <w:tc>
          <w:tcPr>
            <w:tcW w:w="1101"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C</w:t>
            </w:r>
          </w:p>
        </w:tc>
        <w:tc>
          <w:tcPr>
            <w:tcW w:w="10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C</w:t>
            </w:r>
          </w:p>
        </w:tc>
        <w:tc>
          <w:tcPr>
            <w:tcW w:w="1126"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C</w:t>
            </w:r>
          </w:p>
        </w:tc>
      </w:tr>
    </w:tbl>
    <w:p>
      <w:pPr>
        <w:pStyle w:val="Heading1"/>
        <w:spacing w:before="360" w:after="180"/>
        <w:rPr/>
      </w:pPr>
      <w:r>
        <w:rPr>
          <w:rFonts w:eastAsia="Arial" w:cs="Arial" w:ascii="Arial" w:hAnsi="Arial"/>
          <w:b/>
          <w:bCs/>
          <w:color w:val="0000FF"/>
          <w:sz w:val="36"/>
          <w:szCs w:val="36"/>
        </w:rPr>
        <w:t>7. Cloudax-Sized Realities</w:t>
      </w:r>
    </w:p>
    <w:p>
      <w:pPr>
        <w:pStyle w:val="Normal"/>
        <w:pBdr>
          <w:bottom w:val="single" w:sz="12" w:space="1" w:color="0000FF"/>
        </w:pBdr>
        <w:spacing w:before="0" w:after="200"/>
        <w:rPr/>
      </w:pPr>
      <w:r>
        <w:rPr/>
      </w:r>
    </w:p>
    <w:p>
      <w:pPr>
        <w:pStyle w:val="ListParagraph"/>
        <w:numPr>
          <w:ilvl w:val="0"/>
          <w:numId w:val="1"/>
        </w:numPr>
        <w:spacing w:lineRule="exact" w:line="280" w:before="40" w:after="40"/>
        <w:rPr/>
      </w:pPr>
      <w:r>
        <w:rPr>
          <w:rFonts w:eastAsia="Arial" w:cs="Arial"/>
          <w:color w:val="1A1A1A"/>
          <w:sz w:val="22"/>
          <w:szCs w:val="22"/>
        </w:rPr>
        <w:t>At Cloudax’s current size, the AI Governance Lead and Information Security Manager may be the same individual. Where this is the case, that individual acts distinctly in each role.</w:t>
      </w:r>
    </w:p>
    <w:p>
      <w:pPr>
        <w:pStyle w:val="ListParagraph"/>
        <w:numPr>
          <w:ilvl w:val="0"/>
          <w:numId w:val="1"/>
        </w:numPr>
        <w:spacing w:lineRule="exact" w:line="280" w:before="40" w:after="40"/>
        <w:rPr/>
      </w:pPr>
      <w:r>
        <w:rPr>
          <w:rFonts w:eastAsia="Arial" w:cs="Arial"/>
          <w:color w:val="1A1A1A"/>
          <w:sz w:val="22"/>
          <w:szCs w:val="22"/>
        </w:rPr>
        <w:t>Internal audit independence: where in-house separation is not feasible, an external auditor is engaged (per AI-PROG-AUDIT-001 §6).</w:t>
      </w:r>
    </w:p>
    <w:p>
      <w:pPr>
        <w:pStyle w:val="ListParagraph"/>
        <w:numPr>
          <w:ilvl w:val="0"/>
          <w:numId w:val="1"/>
        </w:numPr>
        <w:spacing w:lineRule="exact" w:line="280" w:before="40" w:after="40"/>
        <w:rPr/>
      </w:pPr>
      <w:r>
        <w:rPr>
          <w:rFonts w:eastAsia="Arial" w:cs="Arial"/>
          <w:color w:val="1A1A1A"/>
          <w:sz w:val="22"/>
          <w:szCs w:val="22"/>
        </w:rPr>
        <w:t>As the team grows, role-to-individual allocations are reviewed and updated in the live RACI workbook.</w:t>
      </w:r>
    </w:p>
    <w:p>
      <w:pPr>
        <w:pStyle w:val="Heading1"/>
        <w:spacing w:before="360" w:after="180"/>
        <w:rPr/>
      </w:pPr>
      <w:r>
        <w:rPr>
          <w:rFonts w:eastAsia="Arial" w:cs="Arial" w:ascii="Arial" w:hAnsi="Arial"/>
          <w:b/>
          <w:bCs/>
          <w:color w:val="0000FF"/>
          <w:sz w:val="36"/>
          <w:szCs w:val="36"/>
        </w:rPr>
        <w:t>8. Coordination with the ISMS RACI</w:t>
      </w:r>
    </w:p>
    <w:p>
      <w:pPr>
        <w:pStyle w:val="Normal"/>
        <w:pBdr>
          <w:bottom w:val="single" w:sz="12" w:space="1" w:color="0000FF"/>
        </w:pBdr>
        <w:spacing w:before="0" w:after="200"/>
        <w:rPr/>
      </w:pPr>
      <w:r>
        <w:rPr/>
      </w:r>
    </w:p>
    <w:p>
      <w:pPr>
        <w:pStyle w:val="ListParagraph"/>
        <w:numPr>
          <w:ilvl w:val="0"/>
          <w:numId w:val="1"/>
        </w:numPr>
        <w:spacing w:lineRule="exact" w:line="280" w:before="40" w:after="40"/>
        <w:rPr/>
      </w:pPr>
      <w:r>
        <w:rPr>
          <w:rFonts w:eastAsia="Arial" w:cs="Arial"/>
          <w:color w:val="1A1A1A"/>
          <w:sz w:val="22"/>
          <w:szCs w:val="22"/>
        </w:rPr>
        <w:t>This RACI is reconciled with ISMS-RACI-001.</w:t>
      </w:r>
    </w:p>
    <w:p>
      <w:pPr>
        <w:pStyle w:val="ListParagraph"/>
        <w:numPr>
          <w:ilvl w:val="0"/>
          <w:numId w:val="1"/>
        </w:numPr>
        <w:spacing w:lineRule="exact" w:line="280" w:before="40" w:after="40"/>
        <w:rPr/>
      </w:pPr>
      <w:r>
        <w:rPr>
          <w:rFonts w:eastAsia="Arial" w:cs="Arial"/>
          <w:color w:val="1A1A1A"/>
          <w:sz w:val="22"/>
          <w:szCs w:val="22"/>
        </w:rPr>
        <w:t>Where activities span both management systems (e.g. incident response with both AI and security dimensions, supplier review for AI providers), the RACIs reference each other.</w:t>
      </w:r>
    </w:p>
    <w:p>
      <w:pPr>
        <w:pStyle w:val="ListParagraph"/>
        <w:numPr>
          <w:ilvl w:val="0"/>
          <w:numId w:val="1"/>
        </w:numPr>
        <w:spacing w:lineRule="exact" w:line="280" w:before="40" w:after="40"/>
        <w:rPr/>
      </w:pPr>
      <w:r>
        <w:rPr>
          <w:rFonts w:eastAsia="Arial" w:cs="Arial"/>
          <w:color w:val="1A1A1A"/>
          <w:sz w:val="22"/>
          <w:szCs w:val="22"/>
        </w:rPr>
        <w:t>Reconciliation is performed annually and on material change to either RACI.</w:t>
      </w:r>
    </w:p>
    <w:p>
      <w:pPr>
        <w:pStyle w:val="Heading1"/>
        <w:spacing w:before="360" w:after="180"/>
        <w:rPr/>
      </w:pPr>
      <w:r>
        <w:rPr>
          <w:rFonts w:eastAsia="Arial" w:cs="Arial" w:ascii="Arial" w:hAnsi="Arial"/>
          <w:b/>
          <w:bCs/>
          <w:color w:val="0000FF"/>
          <w:sz w:val="36"/>
          <w:szCs w:val="36"/>
        </w:rPr>
        <w:t>9. Maintenance</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This document is reviewed at least annually and on material change to AIMS roles, structure, or activities. Material changes are approved by the Chief Executive Officer and recorded in Annex B.</w:t>
      </w:r>
    </w:p>
    <w:p>
      <w:pPr>
        <w:pStyle w:val="Normal"/>
        <w:spacing w:before="60" w:after="60"/>
        <w:rPr/>
      </w:pPr>
      <w:r>
        <w:rPr/>
      </w:r>
    </w:p>
    <w:tbl>
      <w:tblPr>
        <w:tblW w:w="9026" w:type="dxa"/>
        <w:jc w:val="start"/>
        <w:tblInd w:w="0" w:type="dxa"/>
        <w:tblLayout w:type="fixed"/>
        <w:tblCellMar>
          <w:top w:w="600" w:type="dxa"/>
          <w:start w:w="0" w:type="dxa"/>
          <w:bottom w:w="40" w:type="dxa"/>
          <w:end w:w="0" w:type="dxa"/>
        </w:tblCellMar>
      </w:tblPr>
      <w:tblGrid>
        <w:gridCol w:w="4513"/>
        <w:gridCol w:w="4512"/>
      </w:tblGrid>
      <w:tr>
        <w:trPr/>
        <w:tc>
          <w:tcPr>
            <w:tcW w:w="4513" w:type="dxa"/>
            <w:tcBorders/>
          </w:tcPr>
          <w:p>
            <w:pPr>
              <w:pStyle w:val="Normal"/>
              <w:rPr/>
            </w:pPr>
            <w:r>
              <w:rPr/>
            </w:r>
          </w:p>
        </w:tc>
        <w:tc>
          <w:tcPr>
            <w:tcW w:w="4512" w:type="dxa"/>
            <w:tcBorders/>
          </w:tcPr>
          <w:p>
            <w:pPr>
              <w:pStyle w:val="Normal"/>
              <w:rPr/>
            </w:pPr>
            <w:r>
              <w:rPr/>
            </w:r>
          </w:p>
        </w:tc>
      </w:tr>
      <w:tr>
        <w:trPr/>
        <w:tc>
          <w:tcPr>
            <w:tcW w:w="4513" w:type="dxa"/>
            <w:tcBorders>
              <w:top w:val="single" w:sz="4" w:space="0" w:color="1A1A1A"/>
            </w:tcBorders>
            <w:tcMar>
              <w:top w:w="300" w:type="dxa"/>
              <w:start w:w="200" w:type="dxa"/>
              <w:bottom w:w="300" w:type="dxa"/>
              <w:end w:w="200" w:type="dxa"/>
            </w:tcMar>
          </w:tcPr>
          <w:p>
            <w:pPr>
              <w:pStyle w:val="Normal"/>
              <w:rPr/>
            </w:pPr>
            <w:r>
              <w:rPr>
                <w:rFonts w:eastAsia="Arial" w:cs="Arial"/>
                <w:color w:val="1A1A1A"/>
                <w:spacing w:val="40"/>
                <w:sz w:val="20"/>
                <w:szCs w:val="20"/>
              </w:rPr>
              <w:t>NAME</w:t>
            </w:r>
          </w:p>
        </w:tc>
        <w:tc>
          <w:tcPr>
            <w:tcW w:w="4512" w:type="dxa"/>
            <w:tcBorders>
              <w:top w:val="single" w:sz="4" w:space="0" w:color="1A1A1A"/>
            </w:tcBorders>
            <w:tcMar>
              <w:top w:w="300" w:type="dxa"/>
              <w:start w:w="200" w:type="dxa"/>
              <w:bottom w:w="300" w:type="dxa"/>
              <w:end w:w="200" w:type="dxa"/>
            </w:tcMar>
          </w:tcPr>
          <w:p>
            <w:pPr>
              <w:pStyle w:val="Normal"/>
              <w:rPr/>
            </w:pPr>
            <w:r>
              <w:rPr>
                <w:rFonts w:eastAsia="Arial" w:cs="Arial"/>
                <w:color w:val="1A1A1A"/>
                <w:spacing w:val="40"/>
                <w:sz w:val="20"/>
                <w:szCs w:val="20"/>
              </w:rPr>
              <w:t>SIGNATURE</w:t>
            </w:r>
          </w:p>
        </w:tc>
      </w:tr>
      <w:tr>
        <w:trPr/>
        <w:tc>
          <w:tcPr>
            <w:tcW w:w="4513" w:type="dxa"/>
            <w:tcBorders/>
          </w:tcPr>
          <w:p>
            <w:pPr>
              <w:pStyle w:val="Normal"/>
              <w:rPr/>
            </w:pPr>
            <w:r>
              <w:rPr/>
            </w:r>
          </w:p>
        </w:tc>
        <w:tc>
          <w:tcPr>
            <w:tcW w:w="4512" w:type="dxa"/>
            <w:tcBorders/>
          </w:tcPr>
          <w:p>
            <w:pPr>
              <w:pStyle w:val="Normal"/>
              <w:rPr/>
            </w:pPr>
            <w:r>
              <w:rPr/>
            </w:r>
          </w:p>
        </w:tc>
      </w:tr>
      <w:tr>
        <w:trPr/>
        <w:tc>
          <w:tcPr>
            <w:tcW w:w="4513" w:type="dxa"/>
            <w:tcBorders>
              <w:top w:val="single" w:sz="4" w:space="0" w:color="1A1A1A"/>
            </w:tcBorders>
            <w:tcMar>
              <w:top w:w="300" w:type="dxa"/>
              <w:start w:w="200" w:type="dxa"/>
              <w:bottom w:w="300" w:type="dxa"/>
              <w:end w:w="200" w:type="dxa"/>
            </w:tcMar>
          </w:tcPr>
          <w:p>
            <w:pPr>
              <w:pStyle w:val="Normal"/>
              <w:rPr/>
            </w:pPr>
            <w:r>
              <w:rPr>
                <w:rFonts w:eastAsia="Arial" w:cs="Arial"/>
                <w:color w:val="1A1A1A"/>
                <w:spacing w:val="40"/>
                <w:sz w:val="20"/>
                <w:szCs w:val="20"/>
              </w:rPr>
              <w:t>ROLE</w:t>
            </w:r>
          </w:p>
        </w:tc>
        <w:tc>
          <w:tcPr>
            <w:tcW w:w="4512" w:type="dxa"/>
            <w:tcBorders>
              <w:top w:val="single" w:sz="4" w:space="0" w:color="1A1A1A"/>
            </w:tcBorders>
            <w:tcMar>
              <w:top w:w="300" w:type="dxa"/>
              <w:start w:w="200" w:type="dxa"/>
              <w:bottom w:w="300" w:type="dxa"/>
              <w:end w:w="200" w:type="dxa"/>
            </w:tcMar>
          </w:tcPr>
          <w:p>
            <w:pPr>
              <w:pStyle w:val="Normal"/>
              <w:rPr/>
            </w:pPr>
            <w:r>
              <w:rPr>
                <w:rFonts w:eastAsia="Arial" w:cs="Arial"/>
                <w:color w:val="1A1A1A"/>
                <w:spacing w:val="40"/>
                <w:sz w:val="20"/>
                <w:szCs w:val="20"/>
              </w:rPr>
              <w:t>DATE</w:t>
            </w:r>
          </w:p>
        </w:tc>
      </w:tr>
    </w:tbl>
    <w:p>
      <w:pPr>
        <w:pStyle w:val="Normal"/>
        <w:rPr/>
      </w:pPr>
      <w:r>
        <w:rPr/>
      </w:r>
      <w:r>
        <w:br w:type="page"/>
      </w:r>
    </w:p>
    <w:p>
      <w:pPr>
        <w:pStyle w:val="Heading1"/>
        <w:spacing w:before="0" w:after="180"/>
        <w:rPr/>
      </w:pPr>
      <w:r>
        <w:rPr>
          <w:rFonts w:eastAsia="Arial" w:cs="Arial" w:ascii="Arial" w:hAnsi="Arial"/>
          <w:b/>
          <w:bCs/>
          <w:color w:val="0000FF"/>
          <w:sz w:val="36"/>
          <w:szCs w:val="36"/>
        </w:rPr>
        <w:t>Annex A — ISO/IEC 42001:2023 Clause Mapping</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This document gives effect to the following clauses of ISO/IEC 42001:2023. The authoritative AIMS scope and Annex A control selection are recorded in the AIMS Statement of Applicability (AIMS-SOA-001 v1.0).</w:t>
      </w:r>
    </w:p>
    <w:tbl>
      <w:tblPr>
        <w:tblW w:w="9026" w:type="dxa"/>
        <w:jc w:val="start"/>
        <w:tblInd w:w="0" w:type="dxa"/>
        <w:tblLayout w:type="fixed"/>
        <w:tblCellMar>
          <w:top w:w="100" w:type="dxa"/>
          <w:start w:w="140" w:type="dxa"/>
          <w:bottom w:w="100" w:type="dxa"/>
          <w:end w:w="140" w:type="dxa"/>
        </w:tblCellMar>
      </w:tblPr>
      <w:tblGrid>
        <w:gridCol w:w="1299"/>
        <w:gridCol w:w="2400"/>
        <w:gridCol w:w="5327"/>
      </w:tblGrid>
      <w:tr>
        <w:trPr>
          <w:tblHeader w:val="true"/>
        </w:trPr>
        <w:tc>
          <w:tcPr>
            <w:tcW w:w="1299"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6"/>
                <w:szCs w:val="16"/>
              </w:rPr>
              <w:t>CLAUSE</w:t>
            </w:r>
          </w:p>
        </w:tc>
        <w:tc>
          <w:tcPr>
            <w:tcW w:w="2400"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6"/>
                <w:szCs w:val="16"/>
              </w:rPr>
              <w:t>TITLE</w:t>
            </w:r>
          </w:p>
        </w:tc>
        <w:tc>
          <w:tcPr>
            <w:tcW w:w="5327"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6"/>
                <w:szCs w:val="16"/>
              </w:rPr>
              <w:t>HOW THIS DOCUMENT GIVES EFFECT</w:t>
            </w:r>
          </w:p>
        </w:tc>
      </w:tr>
      <w:tr>
        <w:trPr/>
        <w:tc>
          <w:tcPr>
            <w:tcW w:w="12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8"/>
                <w:szCs w:val="18"/>
              </w:rPr>
              <w:t>5.3</w:t>
            </w:r>
          </w:p>
        </w:tc>
        <w:tc>
          <w:tcPr>
            <w:tcW w:w="24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Roles, responsibilities and authorities</w:t>
            </w:r>
          </w:p>
        </w:tc>
        <w:tc>
          <w:tcPr>
            <w:tcW w:w="5327"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Sections 4 and 6 establish roles and accountabilities.</w:t>
            </w:r>
          </w:p>
        </w:tc>
      </w:tr>
      <w:tr>
        <w:trPr/>
        <w:tc>
          <w:tcPr>
            <w:tcW w:w="12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18"/>
                <w:szCs w:val="18"/>
              </w:rPr>
              <w:t>A.3.2</w:t>
            </w:r>
          </w:p>
        </w:tc>
        <w:tc>
          <w:tcPr>
            <w:tcW w:w="24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AI roles and responsibilities</w:t>
            </w:r>
          </w:p>
        </w:tc>
        <w:tc>
          <w:tcPr>
            <w:tcW w:w="5327"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Section 6 RACI matrix.</w:t>
            </w:r>
          </w:p>
        </w:tc>
      </w:tr>
      <w:tr>
        <w:trPr/>
        <w:tc>
          <w:tcPr>
            <w:tcW w:w="12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8"/>
                <w:szCs w:val="18"/>
              </w:rPr>
              <w:t>A.3.3</w:t>
            </w:r>
          </w:p>
        </w:tc>
        <w:tc>
          <w:tcPr>
            <w:tcW w:w="24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Reporting of concerns</w:t>
            </w:r>
          </w:p>
        </w:tc>
        <w:tc>
          <w:tcPr>
            <w:tcW w:w="5327"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Section 6.9 includes the reporting channel activity.</w:t>
            </w:r>
          </w:p>
        </w:tc>
      </w:tr>
    </w:tbl>
    <w:p>
      <w:pPr>
        <w:pStyle w:val="Normal"/>
        <w:rPr/>
      </w:pPr>
      <w:r>
        <w:rPr/>
      </w:r>
      <w:r>
        <w:br w:type="page"/>
      </w:r>
    </w:p>
    <w:p>
      <w:pPr>
        <w:pStyle w:val="Heading1"/>
        <w:spacing w:before="0" w:after="180"/>
        <w:rPr/>
      </w:pPr>
      <w:r>
        <w:rPr>
          <w:rFonts w:eastAsia="Arial" w:cs="Arial" w:ascii="Arial" w:hAnsi="Arial"/>
          <w:b/>
          <w:bCs/>
          <w:color w:val="0000FF"/>
          <w:sz w:val="36"/>
          <w:szCs w:val="36"/>
        </w:rPr>
        <w:t>Annex B — Version History</w:t>
      </w:r>
    </w:p>
    <w:p>
      <w:pPr>
        <w:pStyle w:val="Normal"/>
        <w:pBdr>
          <w:bottom w:val="single" w:sz="12" w:space="1" w:color="0000FF"/>
        </w:pBdr>
        <w:spacing w:before="0" w:after="200"/>
        <w:rPr/>
      </w:pPr>
      <w:r>
        <w:rPr/>
      </w:r>
    </w:p>
    <w:tbl>
      <w:tblPr>
        <w:tblW w:w="9026" w:type="dxa"/>
        <w:jc w:val="start"/>
        <w:tblInd w:w="0" w:type="dxa"/>
        <w:tblLayout w:type="fixed"/>
        <w:tblCellMar>
          <w:top w:w="120" w:type="dxa"/>
          <w:start w:w="160" w:type="dxa"/>
          <w:bottom w:w="120" w:type="dxa"/>
          <w:end w:w="160" w:type="dxa"/>
        </w:tblCellMar>
      </w:tblPr>
      <w:tblGrid>
        <w:gridCol w:w="1299"/>
        <w:gridCol w:w="1500"/>
        <w:gridCol w:w="2201"/>
        <w:gridCol w:w="4025"/>
      </w:tblGrid>
      <w:tr>
        <w:trPr>
          <w:tblHeader w:val="true"/>
        </w:trPr>
        <w:tc>
          <w:tcPr>
            <w:tcW w:w="1299"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8"/>
                <w:szCs w:val="18"/>
              </w:rPr>
              <w:t>VERSION</w:t>
            </w:r>
          </w:p>
        </w:tc>
        <w:tc>
          <w:tcPr>
            <w:tcW w:w="1500"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8"/>
                <w:szCs w:val="18"/>
              </w:rPr>
              <w:t>DATE</w:t>
            </w:r>
          </w:p>
        </w:tc>
        <w:tc>
          <w:tcPr>
            <w:tcW w:w="2201"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8"/>
                <w:szCs w:val="18"/>
              </w:rPr>
              <w:t>AUTHOR</w:t>
            </w:r>
          </w:p>
        </w:tc>
        <w:tc>
          <w:tcPr>
            <w:tcW w:w="4025"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8"/>
                <w:szCs w:val="18"/>
              </w:rPr>
              <w:t>SUMMARY OF CHANGES</w:t>
            </w:r>
          </w:p>
        </w:tc>
      </w:tr>
      <w:tr>
        <w:trPr/>
        <w:tc>
          <w:tcPr>
            <w:tcW w:w="12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color w:val="1A1A1A"/>
                <w:sz w:val="20"/>
                <w:szCs w:val="20"/>
              </w:rPr>
              <w:t>1.0</w:t>
            </w:r>
          </w:p>
        </w:tc>
        <w:tc>
          <w:tcPr>
            <w:tcW w:w="15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color w:val="1A1A1A"/>
                <w:sz w:val="20"/>
                <w:szCs w:val="20"/>
              </w:rPr>
              <w:t>April 2026</w:t>
            </w:r>
          </w:p>
        </w:tc>
        <w:tc>
          <w:tcPr>
            <w:tcW w:w="2201"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color w:val="1A1A1A"/>
                <w:sz w:val="20"/>
                <w:szCs w:val="20"/>
              </w:rPr>
              <w:t>AI Governance Lead</w:t>
            </w:r>
          </w:p>
        </w:tc>
        <w:tc>
          <w:tcPr>
            <w:tcW w:w="4025"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color w:val="1A1A1A"/>
                <w:sz w:val="20"/>
                <w:szCs w:val="20"/>
              </w:rPr>
              <w:t>Initial issue. Aligned to ISO/IEC 42001:2023.</w:t>
            </w:r>
          </w:p>
        </w:tc>
      </w:tr>
    </w:tbl>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1440" w:right="1440" w:gutter="0" w:header="708" w:top="1440" w:footer="708"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Arial">
    <w:charset w:val="01"/>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6" w:space="4" w:color="0000FF"/>
      </w:pBdr>
      <w:tabs>
        <w:tab w:val="clear" w:pos="720"/>
        <w:tab w:val="center" w:pos="4513" w:leader="none"/>
        <w:tab w:val="right" w:pos="9026" w:leader="none"/>
      </w:tabs>
      <w:spacing w:before="0" w:after="0"/>
      <w:rPr/>
    </w:pPr>
    <w:r>
      <w:rPr>
        <w:rFonts w:eastAsia="Arial" w:cs="Arial"/>
        <w:color w:val="1A1A1A"/>
        <w:sz w:val="18"/>
        <w:szCs w:val="18"/>
      </w:rPr>
      <w:t xml:space="preserve">AI-MGT-RACI-001 AIMS Roles and RACI  •  Internal  </w:t>
      <w:tab/>
      <w:t>v1.0  •  April 2026</w:t>
      <w:tab/>
      <w:t xml:space="preserve">Page </w:t>
    </w:r>
    <w:r>
      <w:rPr/>
      <w:fldChar w:fldCharType="begin"/>
    </w:r>
    <w:r>
      <w:rPr/>
      <w:instrText xml:space="preserve"> PAGE </w:instrText>
    </w:r>
    <w:r>
      <w:rPr/>
      <w:fldChar w:fldCharType="separate"/>
    </w:r>
    <w:r>
      <w:rPr/>
      <w:t>9</w:t>
    </w:r>
    <w:r>
      <w:rPr/>
      <w:fldChar w:fldCharType="end"/>
    </w:r>
    <w:r>
      <w:rPr>
        <w:rFonts w:eastAsia="Arial" w:cs="Arial"/>
        <w:color w:val="1A1A1A"/>
        <w:sz w:val="18"/>
        <w:szCs w:val="18"/>
      </w:rPr>
      <w:t xml:space="preserve"> of </w:t>
    </w:r>
    <w:r>
      <w:rPr/>
      <w:fldChar w:fldCharType="begin"/>
    </w:r>
    <w:r>
      <w:rPr/>
      <w:instrText xml:space="preserve"> NUMPAGES </w:instrText>
    </w:r>
    <w:r>
      <w:rPr/>
      <w:fldChar w:fldCharType="separate"/>
    </w:r>
    <w:r>
      <w:rPr/>
      <w:t>9</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6" w:space="4" w:color="0000FF"/>
      </w:pBdr>
      <w:tabs>
        <w:tab w:val="clear" w:pos="720"/>
        <w:tab w:val="center" w:pos="4513" w:leader="none"/>
        <w:tab w:val="right" w:pos="9026" w:leader="none"/>
      </w:tabs>
      <w:spacing w:before="0" w:after="0"/>
      <w:rPr/>
    </w:pPr>
    <w:r>
      <w:rPr>
        <w:rFonts w:eastAsia="Arial" w:cs="Arial"/>
        <w:color w:val="1A1A1A"/>
        <w:sz w:val="18"/>
        <w:szCs w:val="18"/>
      </w:rPr>
      <w:t xml:space="preserve">AI-MGT-RACI-001 AIMS Roles and RACI  •  Internal  </w:t>
      <w:tab/>
      <w:t>v1.0  •  April 2026</w:t>
      <w:tab/>
      <w:t xml:space="preserve">Page </w:t>
    </w:r>
    <w:r>
      <w:rPr/>
      <w:fldChar w:fldCharType="begin"/>
    </w:r>
    <w:r>
      <w:rPr/>
      <w:instrText xml:space="preserve"> PAGE </w:instrText>
    </w:r>
    <w:r>
      <w:rPr/>
      <w:fldChar w:fldCharType="separate"/>
    </w:r>
    <w:r>
      <w:rPr/>
      <w:t>9</w:t>
    </w:r>
    <w:r>
      <w:rPr/>
      <w:fldChar w:fldCharType="end"/>
    </w:r>
    <w:r>
      <w:rPr>
        <w:rFonts w:eastAsia="Arial" w:cs="Arial"/>
        <w:color w:val="1A1A1A"/>
        <w:sz w:val="18"/>
        <w:szCs w:val="18"/>
      </w:rPr>
      <w:t xml:space="preserve"> of </w:t>
    </w:r>
    <w:r>
      <w:rPr/>
      <w:fldChar w:fldCharType="begin"/>
    </w:r>
    <w:r>
      <w:rPr/>
      <w:instrText xml:space="preserve"> NUMPAGES </w:instrText>
    </w:r>
    <w:r>
      <w:rPr/>
      <w:fldChar w:fldCharType="separate"/>
    </w:r>
    <w:r>
      <w:rPr/>
      <w:t>9</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4" w:color="0000FF"/>
      </w:pBdr>
      <w:spacing w:before="0" w:after="80"/>
      <w:jc w:val="end"/>
      <w:rPr/>
    </w:pPr>
    <w:r>
      <w:rPr/>
      <w:drawing>
        <wp:inline distT="0" distB="0" distL="0" distR="0">
          <wp:extent cx="857250" cy="171450"/>
          <wp:effectExtent l="0" t="0" r="0" b="0"/>
          <wp:docPr id="2"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
                  <pic:cNvPicPr>
                    <a:picLocks noChangeAspect="1" noChangeArrowheads="1"/>
                  </pic:cNvPicPr>
                </pic:nvPicPr>
                <pic:blipFill>
                  <a:blip r:embed="rId1"/>
                  <a:stretch>
                    <a:fillRect/>
                  </a:stretch>
                </pic:blipFill>
                <pic:spPr bwMode="auto">
                  <a:xfrm>
                    <a:off x="0" y="0"/>
                    <a:ext cx="857250" cy="171450"/>
                  </a:xfrm>
                  <a:prstGeom prst="rect">
                    <a:avLst/>
                  </a:prstGeom>
                </pic:spPr>
              </pic:pic>
            </a:graphicData>
          </a:graphic>
        </wp:inline>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4" w:color="0000FF"/>
      </w:pBdr>
      <w:spacing w:before="0" w:after="80"/>
      <w:jc w:val="end"/>
      <w:rPr/>
    </w:pPr>
    <w:r>
      <w:rPr/>
      <w:drawing>
        <wp:inline distT="0" distB="0" distL="0" distR="0">
          <wp:extent cx="857250" cy="171450"/>
          <wp:effectExtent l="0" t="0" r="0" b="0"/>
          <wp:docPr id="3"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title=""/>
                  <pic:cNvPicPr>
                    <a:picLocks noChangeAspect="1" noChangeArrowheads="1"/>
                  </pic:cNvPicPr>
                </pic:nvPicPr>
                <pic:blipFill>
                  <a:blip r:embed="rId1"/>
                  <a:stretch>
                    <a:fillRect/>
                  </a:stretch>
                </pic:blipFill>
                <pic:spPr bwMode="auto">
                  <a:xfrm>
                    <a:off x="0" y="0"/>
                    <a:ext cx="857250" cy="171450"/>
                  </a:xfrm>
                  <a:prstGeom prst="rect">
                    <a:avLst/>
                  </a:prstGeom>
                </pic:spPr>
              </pic:pic>
            </a:graphicData>
          </a:graphic>
        </wp:inline>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540" w:hanging="260"/>
      </w:pPr>
      <w:rPr>
        <w:rFonts w:ascii="Arial" w:hAnsi="Arial" w:cs="Arial" w:hint="default"/>
        <w:color w:val="0000FF"/>
      </w:rPr>
    </w:lvl>
    <w:lvl w:ilvl="1">
      <w:start w:val="1"/>
      <w:numFmt w:val="bullet"/>
      <w:lvlText w:val="◦"/>
      <w:lvlJc w:val="start"/>
      <w:pPr>
        <w:tabs>
          <w:tab w:val="num" w:pos="0"/>
        </w:tabs>
        <w:ind w:start="1080" w:hanging="260"/>
      </w:pPr>
      <w:rPr>
        <w:rFonts w:ascii="Arial" w:hAnsi="Arial" w:cs="Arial" w:hint="default"/>
        <w:color w:val="0000FF"/>
      </w:r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color w:val="1A1A1A"/>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1A1A1A"/>
      <w:kern w:val="0"/>
      <w:sz w:val="22"/>
      <w:szCs w:val="22"/>
      <w:lang w:val="en-US" w:eastAsia="zh-CN" w:bidi="hi-IN"/>
    </w:rPr>
  </w:style>
  <w:style w:type="paragraph" w:styleId="Heading1">
    <w:name w:val="Heading 1"/>
    <w:basedOn w:val="Heading"/>
    <w:qFormat/>
    <w:pPr>
      <w:spacing w:before="360" w:after="180"/>
      <w:outlineLvl w:val="0"/>
    </w:pPr>
    <w:rPr>
      <w:rFonts w:ascii="Arial" w:hAnsi="Arial" w:eastAsia="Arial" w:cs="Arial"/>
      <w:b/>
      <w:bCs/>
      <w:color w:val="0000FF"/>
      <w:sz w:val="36"/>
      <w:szCs w:val="36"/>
    </w:rPr>
  </w:style>
  <w:style w:type="paragraph" w:styleId="Heading2">
    <w:name w:val="Heading 2"/>
    <w:basedOn w:val="Heading"/>
    <w:qFormat/>
    <w:pPr>
      <w:spacing w:before="280" w:after="140"/>
      <w:outlineLvl w:val="1"/>
    </w:pPr>
    <w:rPr>
      <w:rFonts w:ascii="Arial" w:hAnsi="Arial" w:eastAsia="Arial" w:cs="Arial"/>
      <w:b/>
      <w:bCs/>
      <w:color w:val="0000FF"/>
      <w:sz w:val="28"/>
      <w:szCs w:val="28"/>
    </w:rPr>
  </w:style>
  <w:style w:type="paragraph" w:styleId="Heading3">
    <w:name w:val="Heading 3"/>
    <w:basedOn w:val="Heading"/>
    <w:qFormat/>
    <w:pPr>
      <w:spacing w:before="200" w:after="100"/>
      <w:outlineLvl w:val="2"/>
    </w:pPr>
    <w:rPr>
      <w:rFonts w:ascii="Arial" w:hAnsi="Arial" w:eastAsia="Arial" w:cs="Arial"/>
      <w:b/>
      <w:bCs/>
      <w:color w:val="1A1A1A"/>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1A1A1A"/>
      <w:kern w:val="0"/>
      <w:sz w:val="22"/>
      <w:szCs w:val="22"/>
      <w:lang w:val="en-US" w:eastAsia="zh-CN" w:bidi="hi-IN"/>
    </w:rPr>
  </w:style>
  <w:style w:type="paragraph" w:styleId="ListParagraph">
    <w:name w:val="List Paragraph"/>
    <w:qFormat/>
    <w:pPr>
      <w:widowControl/>
      <w:bidi w:val="0"/>
      <w:spacing w:before="0" w:after="0"/>
      <w:jc w:val="start"/>
    </w:pPr>
    <w:rPr>
      <w:rFonts w:ascii="Arial" w:hAnsi="Arial" w:eastAsia="Arial" w:cs="Arial"/>
      <w:color w:val="1A1A1A"/>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_rels/header2.xml.rels><?xml version="1.0" encoding="UTF-8"?>
<Relationships xmlns="http://schemas.openxmlformats.org/package/2006/relationships"><Relationship Id="rId1" Type="http://schemas.openxmlformats.org/officeDocument/2006/relationships/image" Target="media/image2.png"/>
</Relationships>
</file>

<file path=word/_rels/header3.xml.rels><?xml version="1.0" encoding="UTF-8"?>
<Relationships xmlns="http://schemas.openxmlformats.org/package/2006/relationships"><Relationship Id="rId1" Type="http://schemas.openxmlformats.org/officeDocument/2006/relationships/image" Target="media/image2.png"/>
</Relationships>
</file>

<file path=word/theme/theme1.xml><?xml version="1.0" encoding="utf-8"?>
<a:theme xmlns:a="http://schemas.openxmlformats.org/drawingml/2006/main" xmlns:r="http://schemas.openxmlformats.org/officeDocument/2006/relationships" name="Office">
  <a:themeElements>
    <a:clrScheme nam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Microsoft Office Word</Application>
  <AppVersion>16.0000</AppVersion>
  <Company>Cloudax Ltd.</Company>
  <DocSecurity>0</DocSecurity>
  <ScaleCrop>false</ScaleCrop>
  <LinksUpToDate>false</LinksUpToDate>
  <SharedDoc>false</SharedDoc>
  <HyperlinksChanged>false</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2026-04-30T15:50:28Z</dcterms:created>
  <dc:creator>David Stokes</dc:creator>
  <dc:description/>
  <dc:language>en-US</dc:language>
  <cp:lastModifiedBy>David Stokes</cp:lastModifiedBy>
  <dcterms:modified xsi:type="dcterms:W3CDTF">2026-04-30T17:44:28Z</dcterms:modified>
  <cp:revision>1</cp:revision>
  <dc:subject/>
  <dc:title>Cloudax AIMS Roles and RACI</dc:title>
</cp:coreProperties>
</file>

<file path=docProps/custom.xml><?xml version="1.0" encoding="utf-8"?>
<Properties xmlns="http://schemas.openxmlformats.org/officeDocument/2006/custom-properties" xmlns:vt="http://schemas.openxmlformats.org/officeDocument/2006/docPropsVTypes"/>
</file>