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42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AI Change Management Procedure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AI-PRO-005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Change Management Procedure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AI Change Categories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The AI Change Lifecycle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AI-Specific Pre-Change Requirements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Material AI Changes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Foundation Model Changes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Roll-Out and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Roll-Back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Coordination with POL-025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ISO/IEC 42001:2023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governs changes to AI systems within the AIMS scope. It extends the existing Change Management Policy (POL-025) for AI-specific considerations — model changes, training data changes, third-party provider changes, prompt changes, evaluation criteria changes.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A.6.2.5 AI system deployment; A.6.2.6 AI system operation and monitoring; A.6.1.3 Processes for responsible design and development of AI systems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applies to all changes affecting AI systems within the AIMS scope, whether the change is to: code, model, training data, evaluation data, third-party provider, prompts, configuration, or monitoring.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AI change: </w:t>
      </w:r>
      <w:r>
        <w:rPr>
          <w:rFonts w:eastAsia="Arial" w:cs="Arial"/>
          <w:color w:val="1A1A1A"/>
          <w:sz w:val="22"/>
          <w:szCs w:val="22"/>
        </w:rPr>
        <w:t>any change to an AI system within the AIMS scope, regardless of source.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Material AI change: </w:t>
      </w:r>
      <w:r>
        <w:rPr>
          <w:rFonts w:eastAsia="Arial" w:cs="Arial"/>
          <w:color w:val="1A1A1A"/>
          <w:sz w:val="22"/>
          <w:szCs w:val="22"/>
        </w:rPr>
        <w:t>an AI change that may alter system behaviour, accuracy, fairness, or impact — triggering AISIA refresh and full V&amp;V.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Change requester: identifies the change and provides the proposed change package.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change authority for AI changes; technical owner of execution.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Governance Lead: change authority for changes that trigger material AISIA implications; signs off material AI changes.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contributes review for changes affecting personal data processing.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Engineering: implements the change and the rollback path.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AI Change Categories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199"/>
        <w:gridCol w:w="3301"/>
        <w:gridCol w:w="3526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CATEGORY</w:t>
            </w:r>
          </w:p>
        </w:tc>
        <w:tc>
          <w:tcPr>
            <w:tcW w:w="33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EXAMPLE</w:t>
            </w:r>
          </w:p>
        </w:tc>
        <w:tc>
          <w:tcPr>
            <w:tcW w:w="35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MATERIALITY ASSESSMENT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Code change</w:t>
            </w:r>
          </w:p>
        </w:tc>
        <w:tc>
          <w:tcPr>
            <w:tcW w:w="3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Bug fix in inference path; new feature flag</w:t>
            </w:r>
          </w:p>
        </w:tc>
        <w:tc>
          <w:tcPr>
            <w:tcW w:w="35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Generally non-material unless behaviour-altering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Model change</w:t>
            </w:r>
          </w:p>
        </w:tc>
        <w:tc>
          <w:tcPr>
            <w:tcW w:w="3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New trained model version; new fine-tuned variant</w:t>
            </w:r>
          </w:p>
        </w:tc>
        <w:tc>
          <w:tcPr>
            <w:tcW w:w="35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Generally material — V&amp;V refresh required; AISIA review required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Training data change</w:t>
            </w:r>
          </w:p>
        </w:tc>
        <w:tc>
          <w:tcPr>
            <w:tcW w:w="3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Addition / removal of dataset; updated dataset</w:t>
            </w:r>
          </w:p>
        </w:tc>
        <w:tc>
          <w:tcPr>
            <w:tcW w:w="35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Generally material — evaluation refresh required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Third-party provider change</w:t>
            </w:r>
          </w:p>
        </w:tc>
        <w:tc>
          <w:tcPr>
            <w:tcW w:w="3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Switch to a different LLM provider; provider model version change</w:t>
            </w:r>
          </w:p>
        </w:tc>
        <w:tc>
          <w:tcPr>
            <w:tcW w:w="35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Material — AISIA refresh; supplier review; customer notification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Prompt change</w:t>
            </w:r>
          </w:p>
        </w:tc>
        <w:tc>
          <w:tcPr>
            <w:tcW w:w="3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Material change to system prompts or guardrails</w:t>
            </w:r>
          </w:p>
        </w:tc>
        <w:tc>
          <w:tcPr>
            <w:tcW w:w="35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Material if behaviour-altering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Configuration change</w:t>
            </w:r>
          </w:p>
        </w:tc>
        <w:tc>
          <w:tcPr>
            <w:tcW w:w="3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Threshold adjustment; rate limit change</w:t>
            </w:r>
          </w:p>
        </w:tc>
        <w:tc>
          <w:tcPr>
            <w:tcW w:w="35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Generally non-material; behavioural changes are material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Monitoring change</w:t>
            </w:r>
          </w:p>
        </w:tc>
        <w:tc>
          <w:tcPr>
            <w:tcW w:w="3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New metric; alert threshold change</w:t>
            </w:r>
          </w:p>
        </w:tc>
        <w:tc>
          <w:tcPr>
            <w:tcW w:w="35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Generally non-material if monitoring scope is preserved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Decommissioning</w:t>
            </w:r>
          </w:p>
        </w:tc>
        <w:tc>
          <w:tcPr>
            <w:tcW w:w="3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Removal of AI feature from production</w:t>
            </w:r>
          </w:p>
        </w:tc>
        <w:tc>
          <w:tcPr>
            <w:tcW w:w="35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Material — customer notification per AI-POL-005 §7.6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The AI Change Lifecycle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Request: change requester opens the change with: description, scope, expected impact, AI system(s) affected, materiality assessment.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Review: change authority confirms materiality classification and required pre-change activity (Section 7).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Pre-change activity: V&amp;V refresh, AISIA refresh, customer notification (if required), supplier confirmation.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Approval: change authority signs off.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Execution: change is implemented per POL-025 process and AI-PRO-001 deployment stage.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Post-change verification: monitoring confirms expected behaviour; staged rollout where appropriate.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Closure: change record is closed in the change management system; AI System Inventory updated; post-implementation review where material.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AI-Specific Pre-Change Requirements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Material AI changes require: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AISIA refresh under AI-PRO-002 (light, standard, or enhanced as appropriate).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Verification and Validation refresh per AI-PRO-001 §8.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Bias evaluation refresh where the change may affect fairness.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documentation update per AI-POL-007.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notification per the customer DPA.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Risk Register update per AIMS-RA-001.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Material AI Changes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The following AI changes are always treated as material and follow the full pre-change requirements: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New AI feature in customer-facing scope.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Replacement of an AI model with a different model architecture or training corpus.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Switch of foundation model provider.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change to system prompts or guardrails.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Expansion of an AI feature to a new user population, geography, or use case.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Change in data classification of inputs or outputs (e.g. moving from non-personal to personal data).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Removal of, or material change to, monitoring or human oversight.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Foundation Model Changes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Foundation model providers may issue model updates with limited notice. Cloudax monitors provider notifications under AI-POL-009.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Cloudax has the option to pin a model version, default is to pin and to test the new version before adopting.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pinning is not available and the provider transitions to a new version, Cloudax assesses behaviour change and may take mitigating action (containment under AI-PLAN-IRP-001 if material adverse change).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notification of foundation model changes follows AI-POL-009 §7.3 and the customer DPA.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Roll-Out and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AI changes are rolled out in stages where feasible — internal canary, limited customer pilot, broader rollout.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stage has go / no-go criteria based on monitoring signals.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Rollout is paused or rolled back if monitoring indicates material adverse behaviour.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Roll-Back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Every material AI change has a tested rollback path documented before deployment.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Roll-back may include: reverting code, switching to the previous model version, restoring previous configuration, falling back to a baseline model.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Roll-back decisions are taken by the CTO or AI Incident Manager based on monitoring signals or incident reports.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AI change is recorded in the change management system with: scope, materiality, pre-change activity completed, approver, deployment record, monitoring outcomes.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AI changes are also reflected in: AI-REG-INV-001 (system version), AI-REG-AISIA-001 (AISIA refresh), AI-REG-DATA-001 (where data changed), AI-REG-3P-001 (where provider changed).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Coordination with POL-025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does not replace POL-025 Change Management Policy. POL-025 governs all platform changes; this Procedure adds AI-specific requirements for AI changes. AI changes follow both: the POL-025 process plus the AI-specific pre-change requirements in Section 7.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is monitored under AI-PROG-COMP-001 and audited under AI-PROG-AUDIT-001.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Auditors will typically sample recent AI changes and verify the AI-specific pre-change activity occurred.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is reviewed at least annually.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Engineering personnel and the CTO acknowledge this Procedure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ISO/IEC 42001:2023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42001:2023 Annex A controls, as recorded in the Cloudax AIMS Statement of Applicability (AIMS-SOA-001 v1.0).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A.6.2.5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system deployment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A.6.2.6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system operation and monitoring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A.6.1.3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Processes for responsible design and development of AI systems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42001:2023 and Cloudax AIMS Statement of Applicability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AI-PRO-005 AI Change Management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AI-PRO-005 AI Change Management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2026-04-13T07:43:43Z</dcterms:created>
  <dc:creator>David Stokes</dc:creator>
  <dc:description/>
  <dc:language>en-US</dc:language>
  <cp:lastModifiedBy>David Stokes</cp:lastModifiedBy>
  <dcterms:modified xsi:type="dcterms:W3CDTF">2026-04-13T09:41:43Z</dcterms:modified>
  <cp:revision>1</cp:revision>
  <dc:subject/>
  <dc:title>Cloudax AI Change Management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