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400" w:type="dxa"/>
        <w:jc w:val="start"/>
        <w:tblInd w:w="0" w:type="dxa"/>
        <w:tblLayout w:type="fixed"/>
        <w:tblCellMar>
          <w:top w:w="700" w:type="dxa"/>
          <w:start w:w="600" w:type="dxa"/>
          <w:bottom w:w="700" w:type="dxa"/>
          <w:end w:w="600" w:type="dxa"/>
        </w:tblCellMar>
      </w:tblPr>
      <w:tblGrid>
        <w:gridCol w:w="14400"/>
      </w:tblGrid>
      <w:tr>
        <w:trPr>
          <w:trHeight w:val="3800" w:hRule="atLeast"/>
        </w:trPr>
        <w:tc>
          <w:tcPr>
            <w:tcW w:w="14400"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AI System Inventory</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14400" w:type="dxa"/>
        <w:jc w:val="start"/>
        <w:tblInd w:w="0" w:type="dxa"/>
        <w:tblLayout w:type="fixed"/>
        <w:tblCellMar>
          <w:top w:w="140" w:type="dxa"/>
          <w:start w:w="200" w:type="dxa"/>
          <w:bottom w:w="140" w:type="dxa"/>
          <w:end w:w="200" w:type="dxa"/>
        </w:tblCellMar>
      </w:tblPr>
      <w:tblGrid>
        <w:gridCol w:w="7200"/>
        <w:gridCol w:w="7199"/>
      </w:tblGrid>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AI-REG-INV-001</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 System Inventory</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How to Use This Register</w:t>
      </w:r>
    </w:p>
    <w:p>
      <w:pPr>
        <w:pStyle w:val="Normal"/>
        <w:spacing w:before="40" w:after="40"/>
        <w:rPr/>
      </w:pPr>
      <w:r>
        <w:rPr>
          <w:rFonts w:eastAsia="Arial" w:cs="Arial"/>
          <w:color w:val="1A1A1A"/>
          <w:sz w:val="22"/>
          <w:szCs w:val="22"/>
        </w:rPr>
        <w:t>6. Inventory Schema</w:t>
      </w:r>
    </w:p>
    <w:p>
      <w:pPr>
        <w:pStyle w:val="Normal"/>
        <w:spacing w:before="40" w:after="40"/>
        <w:rPr/>
      </w:pPr>
      <w:r>
        <w:rPr>
          <w:rFonts w:eastAsia="Arial" w:cs="Arial"/>
          <w:color w:val="1A1A1A"/>
          <w:sz w:val="22"/>
          <w:szCs w:val="22"/>
        </w:rPr>
        <w:t>7. The Inventory (template + worked examples)</w:t>
      </w:r>
    </w:p>
    <w:p>
      <w:pPr>
        <w:pStyle w:val="Normal"/>
        <w:spacing w:before="40" w:after="40"/>
        <w:rPr/>
      </w:pPr>
      <w:r>
        <w:rPr>
          <w:rFonts w:eastAsia="Arial" w:cs="Arial"/>
          <w:color w:val="1A1A1A"/>
          <w:sz w:val="22"/>
          <w:szCs w:val="22"/>
        </w:rPr>
        <w:t>8. Relationships with Other Registers</w:t>
      </w:r>
    </w:p>
    <w:p>
      <w:pPr>
        <w:pStyle w:val="Normal"/>
        <w:spacing w:before="40" w:after="40"/>
        <w:rPr/>
      </w:pPr>
      <w:r>
        <w:rPr>
          <w:rFonts w:eastAsia="Arial" w:cs="Arial"/>
          <w:color w:val="1A1A1A"/>
          <w:sz w:val="22"/>
          <w:szCs w:val="22"/>
        </w:rPr>
        <w:t>9. Review Cadence</w:t>
      </w:r>
    </w:p>
    <w:p>
      <w:pPr>
        <w:pStyle w:val="Normal"/>
        <w:spacing w:before="40" w:after="40"/>
        <w:rPr/>
      </w:pPr>
      <w:r>
        <w:rPr>
          <w:rFonts w:eastAsia="Arial" w:cs="Arial"/>
          <w:color w:val="1A1A1A"/>
          <w:sz w:val="22"/>
          <w:szCs w:val="22"/>
        </w:rPr>
        <w:t>10. Maintenance</w:t>
      </w:r>
    </w:p>
    <w:p>
      <w:pPr>
        <w:pStyle w:val="Normal"/>
        <w:spacing w:before="40" w:after="40"/>
        <w:rPr/>
      </w:pPr>
      <w:r>
        <w:rPr>
          <w:rFonts w:eastAsia="Arial" w:cs="Arial"/>
          <w:color w:val="1A1A1A"/>
          <w:sz w:val="22"/>
          <w:szCs w:val="22"/>
        </w:rPr>
        <w:t>Annex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Register is the authoritative inventory of every AI system within the Cloudax AIMS scope. It supports A.4.2 (Resource documentation) and provides the anchor that other AI registers (data, AISIA, providers, incidents) point back to.</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A.4.2 Resource documentation; A.4.4 Tooling resources; A.4.5 System and computing resources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Register covers all AI systems within the AIMS scope per AIMS-SCOPE-001 — the Cloudax conversational AI platform components, third-party AI services consumed by the platform, and AI tools used internally by Cloudax personnel where they carry organisational risk.</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AI system: </w:t>
      </w:r>
      <w:r>
        <w:rPr>
          <w:rFonts w:eastAsia="Arial" w:cs="Arial"/>
          <w:color w:val="1A1A1A"/>
          <w:sz w:val="22"/>
          <w:szCs w:val="22"/>
        </w:rPr>
        <w:t>a system that infers, from inputs, outputs that influence environments (per ISO/IEC 22989:2022).</w:t>
      </w:r>
    </w:p>
    <w:p>
      <w:pPr>
        <w:pStyle w:val="ListParagraph"/>
        <w:numPr>
          <w:ilvl w:val="0"/>
          <w:numId w:val="1"/>
        </w:numPr>
        <w:spacing w:lineRule="exact" w:line="280" w:before="40" w:after="40"/>
        <w:rPr/>
      </w:pPr>
      <w:r>
        <w:rPr>
          <w:rFonts w:eastAsia="Arial" w:cs="Arial"/>
          <w:b/>
          <w:bCs/>
          <w:color w:val="1A1A1A"/>
          <w:sz w:val="22"/>
          <w:szCs w:val="22"/>
        </w:rPr>
        <w:t xml:space="preserve">AI component: </w:t>
      </w:r>
      <w:r>
        <w:rPr>
          <w:rFonts w:eastAsia="Arial" w:cs="Arial"/>
          <w:color w:val="1A1A1A"/>
          <w:sz w:val="22"/>
          <w:szCs w:val="22"/>
        </w:rPr>
        <w:t>an identifiable part of an AI system that has independent governance attention (e.g. ASR component, LLM-mediated summarisation component).</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Chief Technology Officer: owns this Register; ensures completeness.</w:t>
      </w:r>
    </w:p>
    <w:p>
      <w:pPr>
        <w:pStyle w:val="ListParagraph"/>
        <w:numPr>
          <w:ilvl w:val="0"/>
          <w:numId w:val="1"/>
        </w:numPr>
        <w:spacing w:lineRule="exact" w:line="280" w:before="40" w:after="40"/>
        <w:rPr/>
      </w:pPr>
      <w:r>
        <w:rPr>
          <w:rFonts w:eastAsia="Arial" w:cs="Arial"/>
          <w:color w:val="1A1A1A"/>
          <w:sz w:val="22"/>
          <w:szCs w:val="22"/>
        </w:rPr>
        <w:t>AI Governance Lead: reviews entries for governance completeness; uses the Register as the entry point to AISIA, data, provider, and incident records.</w:t>
      </w:r>
    </w:p>
    <w:p>
      <w:pPr>
        <w:pStyle w:val="ListParagraph"/>
        <w:numPr>
          <w:ilvl w:val="0"/>
          <w:numId w:val="1"/>
        </w:numPr>
        <w:spacing w:lineRule="exact" w:line="280" w:before="40" w:after="40"/>
        <w:rPr/>
      </w:pPr>
      <w:r>
        <w:rPr>
          <w:rFonts w:eastAsia="Arial" w:cs="Arial"/>
          <w:color w:val="1A1A1A"/>
          <w:sz w:val="22"/>
          <w:szCs w:val="22"/>
        </w:rPr>
        <w:t>AI Builders: maintain entries for the AI systems they own.</w:t>
      </w:r>
    </w:p>
    <w:p>
      <w:pPr>
        <w:pStyle w:val="Heading1"/>
        <w:spacing w:before="360" w:after="180"/>
        <w:rPr/>
      </w:pPr>
      <w:r>
        <w:rPr>
          <w:rFonts w:eastAsia="Arial" w:cs="Arial" w:ascii="Arial" w:hAnsi="Arial"/>
          <w:b/>
          <w:bCs/>
          <w:color w:val="0000FF"/>
          <w:sz w:val="36"/>
          <w:szCs w:val="36"/>
        </w:rPr>
        <w:t>5. How to Use This Register</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AI system has a unique identifier (AI-SYS-NNN).</w:t>
      </w:r>
    </w:p>
    <w:p>
      <w:pPr>
        <w:pStyle w:val="ListParagraph"/>
        <w:numPr>
          <w:ilvl w:val="0"/>
          <w:numId w:val="1"/>
        </w:numPr>
        <w:spacing w:lineRule="exact" w:line="280" w:before="40" w:after="40"/>
        <w:rPr/>
      </w:pPr>
      <w:r>
        <w:rPr>
          <w:rFonts w:eastAsia="Arial" w:cs="Arial"/>
          <w:color w:val="1A1A1A"/>
          <w:sz w:val="22"/>
          <w:szCs w:val="22"/>
        </w:rPr>
        <w:t>Entries persist across the lifecycle — status reflects current stage.</w:t>
      </w:r>
    </w:p>
    <w:p>
      <w:pPr>
        <w:pStyle w:val="ListParagraph"/>
        <w:numPr>
          <w:ilvl w:val="0"/>
          <w:numId w:val="1"/>
        </w:numPr>
        <w:spacing w:lineRule="exact" w:line="280" w:before="40" w:after="40"/>
        <w:rPr/>
      </w:pPr>
      <w:r>
        <w:rPr>
          <w:rFonts w:eastAsia="Arial" w:cs="Arial"/>
          <w:color w:val="1A1A1A"/>
          <w:sz w:val="22"/>
          <w:szCs w:val="22"/>
        </w:rPr>
        <w:t>This document holds a representative set of worked examples; the live register is maintained as a structured store (Excel, Notion, or equivalent) with the same column structure.</w:t>
      </w:r>
    </w:p>
    <w:p>
      <w:pPr>
        <w:pStyle w:val="ListParagraph"/>
        <w:numPr>
          <w:ilvl w:val="0"/>
          <w:numId w:val="1"/>
        </w:numPr>
        <w:spacing w:lineRule="exact" w:line="280" w:before="40" w:after="40"/>
        <w:rPr/>
      </w:pPr>
      <w:r>
        <w:rPr>
          <w:rFonts w:eastAsia="Arial" w:cs="Arial"/>
          <w:color w:val="1A1A1A"/>
          <w:sz w:val="22"/>
          <w:szCs w:val="22"/>
        </w:rPr>
        <w:t>Cross-references to AI-REG-AISIA-001, AI-REG-DATA-001, AI-REG-3P-001, and AI-REG-INC-001 use the AI-SYS-NNN identifier.</w:t>
      </w:r>
    </w:p>
    <w:p>
      <w:pPr>
        <w:pStyle w:val="Heading1"/>
        <w:spacing w:before="360" w:after="180"/>
        <w:rPr/>
      </w:pPr>
      <w:r>
        <w:rPr>
          <w:rFonts w:eastAsia="Arial" w:cs="Arial" w:ascii="Arial" w:hAnsi="Arial"/>
          <w:b/>
          <w:bCs/>
          <w:color w:val="0000FF"/>
          <w:sz w:val="36"/>
          <w:szCs w:val="36"/>
        </w:rPr>
        <w:t>6. Inventory Schema</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Each AI system entry contains:</w:t>
      </w:r>
    </w:p>
    <w:p>
      <w:pPr>
        <w:pStyle w:val="ListParagraph"/>
        <w:numPr>
          <w:ilvl w:val="0"/>
          <w:numId w:val="1"/>
        </w:numPr>
        <w:spacing w:lineRule="exact" w:line="280" w:before="40" w:after="40"/>
        <w:rPr/>
      </w:pPr>
      <w:r>
        <w:rPr>
          <w:rFonts w:eastAsia="Arial" w:cs="Arial"/>
          <w:color w:val="1A1A1A"/>
          <w:sz w:val="22"/>
          <w:szCs w:val="22"/>
        </w:rPr>
        <w:t>Identifier (AI-SYS-NNN).</w:t>
      </w:r>
    </w:p>
    <w:p>
      <w:pPr>
        <w:pStyle w:val="ListParagraph"/>
        <w:numPr>
          <w:ilvl w:val="0"/>
          <w:numId w:val="1"/>
        </w:numPr>
        <w:spacing w:lineRule="exact" w:line="280" w:before="40" w:after="40"/>
        <w:rPr/>
      </w:pPr>
      <w:r>
        <w:rPr>
          <w:rFonts w:eastAsia="Arial" w:cs="Arial"/>
          <w:color w:val="1A1A1A"/>
          <w:sz w:val="22"/>
          <w:szCs w:val="22"/>
        </w:rPr>
        <w:t>Name and brief description.</w:t>
      </w:r>
    </w:p>
    <w:p>
      <w:pPr>
        <w:pStyle w:val="ListParagraph"/>
        <w:numPr>
          <w:ilvl w:val="0"/>
          <w:numId w:val="1"/>
        </w:numPr>
        <w:spacing w:lineRule="exact" w:line="280" w:before="40" w:after="40"/>
        <w:rPr/>
      </w:pPr>
      <w:r>
        <w:rPr>
          <w:rFonts w:eastAsia="Arial" w:cs="Arial"/>
          <w:color w:val="1A1A1A"/>
          <w:sz w:val="22"/>
          <w:szCs w:val="22"/>
        </w:rPr>
        <w:t>Lifecycle stage (Concept / Development / V&amp;V / Deployed / Decommissioning / Retired).</w:t>
      </w:r>
    </w:p>
    <w:p>
      <w:pPr>
        <w:pStyle w:val="ListParagraph"/>
        <w:numPr>
          <w:ilvl w:val="0"/>
          <w:numId w:val="1"/>
        </w:numPr>
        <w:spacing w:lineRule="exact" w:line="280" w:before="40" w:after="40"/>
        <w:rPr/>
      </w:pPr>
      <w:r>
        <w:rPr>
          <w:rFonts w:eastAsia="Arial" w:cs="Arial"/>
          <w:color w:val="1A1A1A"/>
          <w:sz w:val="22"/>
          <w:szCs w:val="22"/>
        </w:rPr>
        <w:t>Owner (named individual).</w:t>
      </w:r>
    </w:p>
    <w:p>
      <w:pPr>
        <w:pStyle w:val="ListParagraph"/>
        <w:numPr>
          <w:ilvl w:val="0"/>
          <w:numId w:val="1"/>
        </w:numPr>
        <w:spacing w:lineRule="exact" w:line="280" w:before="40" w:after="40"/>
        <w:rPr/>
      </w:pPr>
      <w:r>
        <w:rPr>
          <w:rFonts w:eastAsia="Arial" w:cs="Arial"/>
          <w:color w:val="1A1A1A"/>
          <w:sz w:val="22"/>
          <w:szCs w:val="22"/>
        </w:rPr>
        <w:t>Lifecycle role (Developer / Operator / User / Supplier / Customer of providers, per AIMS-SCOPE-001 §5).</w:t>
      </w:r>
    </w:p>
    <w:p>
      <w:pPr>
        <w:pStyle w:val="ListParagraph"/>
        <w:numPr>
          <w:ilvl w:val="0"/>
          <w:numId w:val="1"/>
        </w:numPr>
        <w:spacing w:lineRule="exact" w:line="280" w:before="40" w:after="40"/>
        <w:rPr/>
      </w:pPr>
      <w:r>
        <w:rPr>
          <w:rFonts w:eastAsia="Arial" w:cs="Arial"/>
          <w:color w:val="1A1A1A"/>
          <w:sz w:val="22"/>
          <w:szCs w:val="22"/>
        </w:rPr>
        <w:t>Customer-facing (Yes / No / Internal-only).</w:t>
      </w:r>
    </w:p>
    <w:p>
      <w:pPr>
        <w:pStyle w:val="ListParagraph"/>
        <w:numPr>
          <w:ilvl w:val="0"/>
          <w:numId w:val="1"/>
        </w:numPr>
        <w:spacing w:lineRule="exact" w:line="280" w:before="40" w:after="40"/>
        <w:rPr/>
      </w:pPr>
      <w:r>
        <w:rPr>
          <w:rFonts w:eastAsia="Arial" w:cs="Arial"/>
          <w:color w:val="1A1A1A"/>
          <w:sz w:val="22"/>
          <w:szCs w:val="22"/>
        </w:rPr>
        <w:t>Personal data involved (Yes / No / Pseudonymised).</w:t>
      </w:r>
    </w:p>
    <w:p>
      <w:pPr>
        <w:pStyle w:val="ListParagraph"/>
        <w:numPr>
          <w:ilvl w:val="0"/>
          <w:numId w:val="1"/>
        </w:numPr>
        <w:spacing w:lineRule="exact" w:line="280" w:before="40" w:after="40"/>
        <w:rPr/>
      </w:pPr>
      <w:r>
        <w:rPr>
          <w:rFonts w:eastAsia="Arial" w:cs="Arial"/>
          <w:color w:val="1A1A1A"/>
          <w:sz w:val="22"/>
          <w:szCs w:val="22"/>
        </w:rPr>
        <w:t>Latest AISIA reference (AISIA-NNN) and date.</w:t>
      </w:r>
    </w:p>
    <w:p>
      <w:pPr>
        <w:pStyle w:val="ListParagraph"/>
        <w:numPr>
          <w:ilvl w:val="0"/>
          <w:numId w:val="1"/>
        </w:numPr>
        <w:spacing w:lineRule="exact" w:line="280" w:before="40" w:after="40"/>
        <w:rPr/>
      </w:pPr>
      <w:r>
        <w:rPr>
          <w:rFonts w:eastAsia="Arial" w:cs="Arial"/>
          <w:color w:val="1A1A1A"/>
          <w:sz w:val="22"/>
          <w:szCs w:val="22"/>
        </w:rPr>
        <w:t>Risk rating (overall, derived from AISIA + AI Risk Register).</w:t>
      </w:r>
    </w:p>
    <w:p>
      <w:pPr>
        <w:pStyle w:val="ListParagraph"/>
        <w:numPr>
          <w:ilvl w:val="0"/>
          <w:numId w:val="1"/>
        </w:numPr>
        <w:spacing w:lineRule="exact" w:line="280" w:before="40" w:after="40"/>
        <w:rPr/>
      </w:pPr>
      <w:r>
        <w:rPr>
          <w:rFonts w:eastAsia="Arial" w:cs="Arial"/>
          <w:color w:val="1A1A1A"/>
          <w:sz w:val="22"/>
          <w:szCs w:val="22"/>
        </w:rPr>
        <w:t>Third-party providers involved (cross-reference to AI-REG-3P-001).</w:t>
      </w:r>
    </w:p>
    <w:p>
      <w:pPr>
        <w:pStyle w:val="ListParagraph"/>
        <w:numPr>
          <w:ilvl w:val="0"/>
          <w:numId w:val="1"/>
        </w:numPr>
        <w:spacing w:lineRule="exact" w:line="280" w:before="40" w:after="40"/>
        <w:rPr/>
      </w:pPr>
      <w:r>
        <w:rPr>
          <w:rFonts w:eastAsia="Arial" w:cs="Arial"/>
          <w:color w:val="1A1A1A"/>
          <w:sz w:val="22"/>
          <w:szCs w:val="22"/>
        </w:rPr>
        <w:t>Datasets involved (cross-reference to AI-REG-DATA-001).</w:t>
      </w:r>
    </w:p>
    <w:p>
      <w:pPr>
        <w:pStyle w:val="ListParagraph"/>
        <w:numPr>
          <w:ilvl w:val="0"/>
          <w:numId w:val="1"/>
        </w:numPr>
        <w:spacing w:lineRule="exact" w:line="280" w:before="40" w:after="40"/>
        <w:rPr/>
      </w:pPr>
      <w:r>
        <w:rPr>
          <w:rFonts w:eastAsia="Arial" w:cs="Arial"/>
          <w:color w:val="1A1A1A"/>
          <w:sz w:val="22"/>
          <w:szCs w:val="22"/>
        </w:rPr>
        <w:t>Monitoring summary (link to dashboards).</w:t>
      </w:r>
    </w:p>
    <w:p>
      <w:pPr>
        <w:pStyle w:val="ListParagraph"/>
        <w:numPr>
          <w:ilvl w:val="0"/>
          <w:numId w:val="1"/>
        </w:numPr>
        <w:spacing w:lineRule="exact" w:line="280" w:before="40" w:after="40"/>
        <w:rPr/>
      </w:pPr>
      <w:r>
        <w:rPr>
          <w:rFonts w:eastAsia="Arial" w:cs="Arial"/>
          <w:color w:val="1A1A1A"/>
          <w:sz w:val="22"/>
          <w:szCs w:val="22"/>
        </w:rPr>
        <w:t>Review date.</w:t>
      </w:r>
    </w:p>
    <w:p>
      <w:pPr>
        <w:pStyle w:val="Heading1"/>
        <w:spacing w:before="360" w:after="180"/>
        <w:rPr/>
      </w:pPr>
      <w:r>
        <w:rPr>
          <w:rFonts w:eastAsia="Arial" w:cs="Arial" w:ascii="Arial" w:hAnsi="Arial"/>
          <w:b/>
          <w:bCs/>
          <w:color w:val="0000FF"/>
          <w:sz w:val="36"/>
          <w:szCs w:val="36"/>
        </w:rPr>
        <w:t>7. The Inventory (template + worked examples)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Worked examples illustrating the structure for the kinds of AI system Cloudax operates. Replace with real entries as systems are inventoried.</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900"/>
        <w:gridCol w:w="2999"/>
        <w:gridCol w:w="1100"/>
        <w:gridCol w:w="801"/>
        <w:gridCol w:w="1499"/>
        <w:gridCol w:w="1300"/>
        <w:gridCol w:w="1100"/>
        <w:gridCol w:w="1501"/>
        <w:gridCol w:w="700"/>
        <w:gridCol w:w="1699"/>
        <w:gridCol w:w="799"/>
      </w:tblGrid>
      <w:tr>
        <w:trPr>
          <w:tblHeader w:val="true"/>
        </w:trPr>
        <w:tc>
          <w:tcPr>
            <w:tcW w:w="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ID</w:t>
            </w:r>
          </w:p>
        </w:tc>
        <w:tc>
          <w:tcPr>
            <w:tcW w:w="2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NAME</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STAGE</w:t>
            </w:r>
          </w:p>
        </w:tc>
        <w:tc>
          <w:tcPr>
            <w:tcW w:w="8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OWNER</w:t>
            </w:r>
          </w:p>
        </w:tc>
        <w:tc>
          <w:tcPr>
            <w:tcW w:w="1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ROLE</w:t>
            </w:r>
          </w:p>
        </w:tc>
        <w:tc>
          <w:tcPr>
            <w:tcW w:w="13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CUSTOMER-FACING</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PD</w:t>
            </w:r>
          </w:p>
        </w:tc>
        <w:tc>
          <w:tcPr>
            <w:tcW w:w="15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AISIA</w:t>
            </w:r>
          </w:p>
        </w:tc>
        <w:tc>
          <w:tcPr>
            <w:tcW w:w="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RISK</w:t>
            </w:r>
          </w:p>
        </w:tc>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PROVIDERS</w:t>
            </w:r>
          </w:p>
        </w:tc>
        <w:tc>
          <w:tcPr>
            <w:tcW w:w="7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REVIEW</w:t>
            </w:r>
          </w:p>
        </w:tc>
      </w:tr>
      <w:tr>
        <w:trPr/>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AI-SYS-001</w:t>
            </w:r>
          </w:p>
        </w:tc>
        <w:tc>
          <w:tcPr>
            <w:tcW w:w="2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Cloudax conversational orchestrator (LLM-mediated dialogue)</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Deployed</w:t>
            </w:r>
          </w:p>
        </w:tc>
        <w:tc>
          <w:tcPr>
            <w:tcW w:w="8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CTO</w:t>
            </w:r>
          </w:p>
        </w:tc>
        <w:tc>
          <w:tcPr>
            <w:tcW w:w="1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Developer + Operator</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AISIA-001 (Apr 2026)</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High</w:t>
            </w:r>
          </w:p>
        </w:tc>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AI-3P-001 (LLM provider A)</w:t>
            </w:r>
          </w:p>
        </w:tc>
        <w:tc>
          <w:tcPr>
            <w:tcW w:w="7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Quarterly</w:t>
            </w:r>
          </w:p>
        </w:tc>
      </w:tr>
      <w:tr>
        <w:trPr/>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AI-SYS-002</w:t>
            </w:r>
          </w:p>
        </w:tc>
        <w:tc>
          <w:tcPr>
            <w:tcW w:w="2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Voice-to-text component (third-party ASR)</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Deployed</w:t>
            </w:r>
          </w:p>
        </w:tc>
        <w:tc>
          <w:tcPr>
            <w:tcW w:w="8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CTO</w:t>
            </w:r>
          </w:p>
        </w:tc>
        <w:tc>
          <w:tcPr>
            <w:tcW w:w="1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Operator + Customer</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AISIA-002 (Apr 2026)</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Mod</w:t>
            </w:r>
          </w:p>
        </w:tc>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AI-3P-002 (ASR provider)</w:t>
            </w:r>
          </w:p>
        </w:tc>
        <w:tc>
          <w:tcPr>
            <w:tcW w:w="7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Quarterly</w:t>
            </w:r>
          </w:p>
        </w:tc>
      </w:tr>
      <w:tr>
        <w:trPr/>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AI-SYS-003</w:t>
            </w:r>
          </w:p>
        </w:tc>
        <w:tc>
          <w:tcPr>
            <w:tcW w:w="2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Text-to-voice component (third-party TTS)</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Deployed</w:t>
            </w:r>
          </w:p>
        </w:tc>
        <w:tc>
          <w:tcPr>
            <w:tcW w:w="8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CTO</w:t>
            </w:r>
          </w:p>
        </w:tc>
        <w:tc>
          <w:tcPr>
            <w:tcW w:w="1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Operator + Customer</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No (synthetic voice)</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AISIA-003 (Apr 2026)</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Low</w:t>
            </w:r>
          </w:p>
        </w:tc>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AI-3P-003 (TTS provider)</w:t>
            </w:r>
          </w:p>
        </w:tc>
        <w:tc>
          <w:tcPr>
            <w:tcW w:w="7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Annual</w:t>
            </w:r>
          </w:p>
        </w:tc>
      </w:tr>
      <w:tr>
        <w:trPr/>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AI-SYS-004</w:t>
            </w:r>
          </w:p>
        </w:tc>
        <w:tc>
          <w:tcPr>
            <w:tcW w:w="2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Transcript summarisation (LLM-mediated)</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Deployed</w:t>
            </w:r>
          </w:p>
        </w:tc>
        <w:tc>
          <w:tcPr>
            <w:tcW w:w="8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CTO</w:t>
            </w:r>
          </w:p>
        </w:tc>
        <w:tc>
          <w:tcPr>
            <w:tcW w:w="1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Developer + Operator</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 (transcript content)</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AISIA-004 (Apr 2026)</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Mod</w:t>
            </w:r>
          </w:p>
        </w:tc>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AI-3P-001 (LLM provider A)</w:t>
            </w:r>
          </w:p>
        </w:tc>
        <w:tc>
          <w:tcPr>
            <w:tcW w:w="7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Quarterly</w:t>
            </w:r>
          </w:p>
        </w:tc>
      </w:tr>
      <w:tr>
        <w:trPr/>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AI-SYS-005</w:t>
            </w:r>
          </w:p>
        </w:tc>
        <w:tc>
          <w:tcPr>
            <w:tcW w:w="2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Intent classification (in-house fine-tuned model)</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Deployed</w:t>
            </w:r>
          </w:p>
        </w:tc>
        <w:tc>
          <w:tcPr>
            <w:tcW w:w="8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CTO</w:t>
            </w:r>
          </w:p>
        </w:tc>
        <w:tc>
          <w:tcPr>
            <w:tcW w:w="1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Developer + Operator</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AISIA-005 (Apr 2026)</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Mod</w:t>
            </w:r>
          </w:p>
        </w:tc>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(in-house)</w:t>
            </w:r>
          </w:p>
        </w:tc>
        <w:tc>
          <w:tcPr>
            <w:tcW w:w="7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Annual</w:t>
            </w:r>
          </w:p>
        </w:tc>
      </w:tr>
      <w:tr>
        <w:trPr/>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AI-SYS-006</w:t>
            </w:r>
          </w:p>
        </w:tc>
        <w:tc>
          <w:tcPr>
            <w:tcW w:w="2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Internal coding assistant (third-party)</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Deployed</w:t>
            </w:r>
          </w:p>
        </w:tc>
        <w:tc>
          <w:tcPr>
            <w:tcW w:w="8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CTO</w:t>
            </w:r>
          </w:p>
        </w:tc>
        <w:tc>
          <w:tcPr>
            <w:tcW w:w="1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User</w:t>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No (internal-only)</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No (no PD submission)</w:t>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AISIA-006 (Apr 2026 - light)</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Low</w:t>
            </w:r>
          </w:p>
        </w:tc>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AI-3P-004 (coding assistant)</w:t>
            </w:r>
          </w:p>
        </w:tc>
        <w:tc>
          <w:tcPr>
            <w:tcW w:w="7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Annual</w:t>
            </w:r>
          </w:p>
        </w:tc>
      </w:tr>
      <w:tr>
        <w:trPr/>
        <w:tc>
          <w:tcPr>
            <w:tcW w:w="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AI-SYS-007</w:t>
            </w:r>
          </w:p>
        </w:tc>
        <w:tc>
          <w:tcPr>
            <w:tcW w:w="2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[Next AI feature — in concept stage]</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Concept</w:t>
            </w:r>
          </w:p>
        </w:tc>
        <w:tc>
          <w:tcPr>
            <w:tcW w:w="8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[Owner]</w:t>
            </w:r>
          </w:p>
        </w:tc>
        <w:tc>
          <w:tcPr>
            <w:tcW w:w="1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[Role]</w:t>
            </w:r>
          </w:p>
        </w:tc>
        <w:tc>
          <w:tcPr>
            <w:tcW w:w="1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[Y/N]</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[Y/N]</w:t>
            </w:r>
          </w:p>
        </w:tc>
        <w:tc>
          <w:tcPr>
            <w:tcW w:w="1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[AISIA initiating]</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[TBD]</w:t>
            </w:r>
          </w:p>
        </w:tc>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[TBD]</w:t>
            </w:r>
          </w:p>
        </w:tc>
        <w:tc>
          <w:tcPr>
            <w:tcW w:w="7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[At Gate A]</w:t>
            </w:r>
          </w:p>
        </w:tc>
      </w:tr>
      <w:tr>
        <w:trPr/>
        <w:tc>
          <w:tcPr>
            <w:tcW w:w="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AI-SYS-XXX</w:t>
            </w:r>
          </w:p>
        </w:tc>
        <w:tc>
          <w:tcPr>
            <w:tcW w:w="2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[Insert further AI systems]</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8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7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r>
    </w:tbl>
    <w:p>
      <w:pPr>
        <w:pStyle w:val="Heading1"/>
        <w:spacing w:before="360" w:after="180"/>
        <w:rPr/>
      </w:pPr>
      <w:r>
        <w:rPr>
          <w:rFonts w:eastAsia="Arial" w:cs="Arial" w:ascii="Arial" w:hAnsi="Arial"/>
          <w:b/>
          <w:bCs/>
          <w:color w:val="0000FF"/>
          <w:sz w:val="36"/>
          <w:szCs w:val="36"/>
        </w:rPr>
        <w:t>8. Relationships with Other Registers</w:t>
      </w:r>
    </w:p>
    <w:p>
      <w:pPr>
        <w:pStyle w:val="Normal"/>
        <w:pBdr>
          <w:bottom w:val="single" w:sz="12" w:space="1" w:color="0000FF"/>
        </w:pBdr>
        <w:spacing w:before="0" w:after="200"/>
        <w:rPr/>
      </w:pPr>
      <w:r>
        <w:rPr/>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5525"/>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RELATED REGISTER</w:t>
            </w:r>
          </w:p>
        </w:tc>
        <w:tc>
          <w:tcPr>
            <w:tcW w:w="55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RELATIONSHIP</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AI-REG-AISIA-001 — Impact Assessments</w:t>
            </w:r>
          </w:p>
        </w:tc>
        <w:tc>
          <w:tcPr>
            <w:tcW w:w="5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Each AI system has at least one AISIA; AISIA records reference AI-SYS-NNN.</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AI-REG-DATA-001 — Data and Models</w:t>
            </w:r>
          </w:p>
        </w:tc>
        <w:tc>
          <w:tcPr>
            <w:tcW w:w="5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Each AI system has associated datasets and models recorded in AI-REG-DATA-001 with cross-reference.</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AI-REG-3P-001 — Third-Party Providers</w:t>
            </w:r>
          </w:p>
        </w:tc>
        <w:tc>
          <w:tcPr>
            <w:tcW w:w="5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Each AI system’s third-party AI providers are recorded; cross-reference.</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AI-REG-INC-001 — AI Incidents</w:t>
            </w:r>
          </w:p>
        </w:tc>
        <w:tc>
          <w:tcPr>
            <w:tcW w:w="5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Incidents reference the affected AI system(s).</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AI-REG-RISK-001 — AI Risk Register</w:t>
            </w:r>
          </w:p>
        </w:tc>
        <w:tc>
          <w:tcPr>
            <w:tcW w:w="5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Risks reference affected AI system(s) where system-specific.</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REG-IAR-001 — Information Asset Register (ISMS)</w:t>
            </w:r>
          </w:p>
        </w:tc>
        <w:tc>
          <w:tcPr>
            <w:tcW w:w="5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systems that are also Cloudax information assets are cross-referenced.</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REG-ROPA-001 — Record of Processing Activities</w:t>
            </w:r>
          </w:p>
        </w:tc>
        <w:tc>
          <w:tcPr>
            <w:tcW w:w="5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systems processing personal data are reflected in ROPA entries.</w:t>
            </w:r>
          </w:p>
        </w:tc>
      </w:tr>
    </w:tbl>
    <w:p>
      <w:pPr>
        <w:pStyle w:val="Heading1"/>
        <w:spacing w:before="360" w:after="180"/>
        <w:rPr/>
      </w:pPr>
      <w:r>
        <w:rPr>
          <w:rFonts w:eastAsia="Arial" w:cs="Arial" w:ascii="Arial" w:hAnsi="Arial"/>
          <w:b/>
          <w:bCs/>
          <w:color w:val="0000FF"/>
          <w:sz w:val="36"/>
          <w:szCs w:val="36"/>
        </w:rPr>
        <w:t>9. Review Cadence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entry has a review date based on risk rating: High systems quarterly, Moderate annually, Low annually.</w:t>
      </w:r>
    </w:p>
    <w:p>
      <w:pPr>
        <w:pStyle w:val="ListParagraph"/>
        <w:numPr>
          <w:ilvl w:val="0"/>
          <w:numId w:val="1"/>
        </w:numPr>
        <w:spacing w:lineRule="exact" w:line="280" w:before="40" w:after="40"/>
        <w:rPr/>
      </w:pPr>
      <w:r>
        <w:rPr>
          <w:rFonts w:eastAsia="Arial" w:cs="Arial"/>
          <w:color w:val="1A1A1A"/>
          <w:sz w:val="22"/>
          <w:szCs w:val="22"/>
        </w:rPr>
        <w:t>Out-of-cycle review on material change to the AI system or following an incident.</w:t>
      </w:r>
    </w:p>
    <w:p>
      <w:pPr>
        <w:pStyle w:val="ListParagraph"/>
        <w:numPr>
          <w:ilvl w:val="0"/>
          <w:numId w:val="1"/>
        </w:numPr>
        <w:spacing w:lineRule="exact" w:line="280" w:before="40" w:after="40"/>
        <w:rPr/>
      </w:pPr>
      <w:r>
        <w:rPr>
          <w:rFonts w:eastAsia="Arial" w:cs="Arial"/>
          <w:color w:val="1A1A1A"/>
          <w:sz w:val="22"/>
          <w:szCs w:val="22"/>
        </w:rPr>
        <w:t>Full register review at least annually for completeness.</w:t>
      </w:r>
    </w:p>
    <w:p>
      <w:pPr>
        <w:pStyle w:val="Heading1"/>
        <w:spacing w:before="360" w:after="180"/>
        <w:rPr/>
      </w:pPr>
      <w:r>
        <w:rPr>
          <w:rFonts w:eastAsia="Arial" w:cs="Arial" w:ascii="Arial" w:hAnsi="Arial"/>
          <w:b/>
          <w:bCs/>
          <w:color w:val="0000FF"/>
          <w:sz w:val="36"/>
          <w:szCs w:val="36"/>
        </w:rPr>
        <w:t>10.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Register is updated continuously as AI systems are added, change stage, or are decommissioned.</w:t>
      </w:r>
    </w:p>
    <w:p>
      <w:pPr>
        <w:pStyle w:val="ListParagraph"/>
        <w:numPr>
          <w:ilvl w:val="0"/>
          <w:numId w:val="1"/>
        </w:numPr>
        <w:spacing w:lineRule="exact" w:line="280" w:before="40" w:after="40"/>
        <w:rPr/>
      </w:pPr>
      <w:r>
        <w:rPr>
          <w:rFonts w:eastAsia="Arial" w:cs="Arial"/>
          <w:color w:val="1A1A1A"/>
          <w:sz w:val="22"/>
          <w:szCs w:val="22"/>
        </w:rPr>
        <w:t>This document structure is reviewed at least annually.</w:t>
      </w:r>
    </w:p>
    <w:p>
      <w:pPr>
        <w:pStyle w:val="Normal"/>
        <w:spacing w:before="60" w:after="60"/>
        <w:rPr/>
      </w:pPr>
      <w:r>
        <w:rPr/>
      </w:r>
    </w:p>
    <w:p>
      <w:pPr>
        <w:pStyle w:val="Heading1"/>
        <w:spacing w:before="360" w:after="180"/>
        <w:rPr/>
      </w:pPr>
      <w:r>
        <w:rPr>
          <w:rFonts w:eastAsia="Arial" w:cs="Arial" w:ascii="Arial" w:hAnsi="Arial"/>
          <w:b/>
          <w:bCs/>
          <w:color w:val="0000FF"/>
          <w:sz w:val="36"/>
          <w:szCs w:val="36"/>
        </w:rPr>
        <w:t>Annex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Schema and worked examples representing the kinds of AI system Cloudax operates.</w:t>
            </w:r>
          </w:p>
        </w:tc>
      </w:tr>
    </w:tbl>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AI-REG-INV-001 AI System Inventory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AI-REG-INV-001 AI System Inventory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2026-04-14T11:02:52Z</dcterms:created>
  <dc:creator>David Stokes</dc:creator>
  <dc:description/>
  <dc:language>en-US</dc:language>
  <cp:lastModifiedBy>David Stokes</cp:lastModifiedBy>
  <dcterms:modified xsi:type="dcterms:W3CDTF">2026-04-14T12:17:52Z</dcterms:modified>
  <cp:revision>1</cp:revision>
  <dc:subject/>
  <dc:title>Cloudax AI System Inventory</dc:title>
</cp:coreProperties>
</file>

<file path=docProps/custom.xml><?xml version="1.0" encoding="utf-8"?>
<Properties xmlns="http://schemas.openxmlformats.org/officeDocument/2006/custom-properties" xmlns:vt="http://schemas.openxmlformats.org/officeDocument/2006/docPropsVTypes"/>
</file>