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ISMS Scope Statement</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ISMS-SCOPE-001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ISMS Scope Statement</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Statement of Scope</w:t>
      </w:r>
    </w:p>
    <w:p>
      <w:pPr>
        <w:pStyle w:val="Normal"/>
        <w:spacing w:before="40" w:after="40"/>
        <w:rPr/>
      </w:pPr>
      <w:r>
        <w:rPr>
          <w:rFonts w:eastAsia="Arial" w:cs="Arial"/>
          <w:color w:val="1A1A1A"/>
          <w:sz w:val="22"/>
          <w:szCs w:val="22"/>
        </w:rPr>
        <w:t>3. The Cloudax Organisation</w:t>
      </w:r>
    </w:p>
    <w:p>
      <w:pPr>
        <w:pStyle w:val="Normal"/>
        <w:spacing w:before="40" w:after="40"/>
        <w:rPr/>
      </w:pPr>
      <w:r>
        <w:rPr>
          <w:rFonts w:eastAsia="Arial" w:cs="Arial"/>
          <w:color w:val="1A1A1A"/>
          <w:sz w:val="22"/>
          <w:szCs w:val="22"/>
        </w:rPr>
        <w:t>4. Products and Services in Scope</w:t>
      </w:r>
    </w:p>
    <w:p>
      <w:pPr>
        <w:pStyle w:val="Normal"/>
        <w:spacing w:before="40" w:after="40"/>
        <w:rPr/>
      </w:pPr>
      <w:r>
        <w:rPr>
          <w:rFonts w:eastAsia="Arial" w:cs="Arial"/>
          <w:color w:val="1A1A1A"/>
          <w:sz w:val="22"/>
          <w:szCs w:val="22"/>
        </w:rPr>
        <w:t>5. Locations and Physical Boundaries</w:t>
      </w:r>
    </w:p>
    <w:p>
      <w:pPr>
        <w:pStyle w:val="Normal"/>
        <w:spacing w:before="40" w:after="40"/>
        <w:rPr/>
      </w:pPr>
      <w:r>
        <w:rPr>
          <w:rFonts w:eastAsia="Arial" w:cs="Arial"/>
          <w:color w:val="1A1A1A"/>
          <w:sz w:val="22"/>
          <w:szCs w:val="22"/>
        </w:rPr>
        <w:t>6. Personnel in Scope</w:t>
      </w:r>
    </w:p>
    <w:p>
      <w:pPr>
        <w:pStyle w:val="Normal"/>
        <w:spacing w:before="40" w:after="40"/>
        <w:rPr/>
      </w:pPr>
      <w:r>
        <w:rPr>
          <w:rFonts w:eastAsia="Arial" w:cs="Arial"/>
          <w:color w:val="1A1A1A"/>
          <w:sz w:val="22"/>
          <w:szCs w:val="22"/>
        </w:rPr>
        <w:t>7. Information Assets in Scope</w:t>
      </w:r>
    </w:p>
    <w:p>
      <w:pPr>
        <w:pStyle w:val="Normal"/>
        <w:spacing w:before="40" w:after="40"/>
        <w:rPr/>
      </w:pPr>
      <w:r>
        <w:rPr>
          <w:rFonts w:eastAsia="Arial" w:cs="Arial"/>
          <w:color w:val="1A1A1A"/>
          <w:sz w:val="22"/>
          <w:szCs w:val="22"/>
        </w:rPr>
        <w:t>8. Technology and Systems in Scope</w:t>
      </w:r>
    </w:p>
    <w:p>
      <w:pPr>
        <w:pStyle w:val="Normal"/>
        <w:spacing w:before="40" w:after="40"/>
        <w:rPr/>
      </w:pPr>
      <w:r>
        <w:rPr>
          <w:rFonts w:eastAsia="Arial" w:cs="Arial"/>
          <w:color w:val="1A1A1A"/>
          <w:sz w:val="22"/>
          <w:szCs w:val="22"/>
        </w:rPr>
        <w:t>9. Suppliers and Third Parties</w:t>
      </w:r>
    </w:p>
    <w:p>
      <w:pPr>
        <w:pStyle w:val="Normal"/>
        <w:spacing w:before="40" w:after="40"/>
        <w:rPr/>
      </w:pPr>
      <w:r>
        <w:rPr>
          <w:rFonts w:eastAsia="Arial" w:cs="Arial"/>
          <w:color w:val="1A1A1A"/>
          <w:sz w:val="22"/>
          <w:szCs w:val="22"/>
        </w:rPr>
        <w:t>10. Boundaries and Interfaces</w:t>
      </w:r>
    </w:p>
    <w:p>
      <w:pPr>
        <w:pStyle w:val="Normal"/>
        <w:spacing w:before="40" w:after="40"/>
        <w:rPr/>
      </w:pPr>
      <w:r>
        <w:rPr>
          <w:rFonts w:eastAsia="Arial" w:cs="Arial"/>
          <w:color w:val="1A1A1A"/>
          <w:sz w:val="22"/>
          <w:szCs w:val="22"/>
        </w:rPr>
        <w:t>11. Exclusions and Justification</w:t>
      </w:r>
    </w:p>
    <w:p>
      <w:pPr>
        <w:pStyle w:val="Normal"/>
        <w:spacing w:before="40" w:after="40"/>
        <w:rPr/>
      </w:pPr>
      <w:r>
        <w:rPr>
          <w:rFonts w:eastAsia="Arial" w:cs="Arial"/>
          <w:color w:val="1A1A1A"/>
          <w:sz w:val="22"/>
          <w:szCs w:val="22"/>
        </w:rPr>
        <w:t>12. Dependencies and Interested Parties</w:t>
      </w:r>
    </w:p>
    <w:p>
      <w:pPr>
        <w:pStyle w:val="Normal"/>
        <w:spacing w:before="40" w:after="40"/>
        <w:rPr/>
      </w:pPr>
      <w:r>
        <w:rPr>
          <w:rFonts w:eastAsia="Arial" w:cs="Arial"/>
          <w:color w:val="1A1A1A"/>
          <w:sz w:val="22"/>
          <w:szCs w:val="22"/>
        </w:rPr>
        <w:t>13. Statement of Applicability</w:t>
      </w:r>
    </w:p>
    <w:p>
      <w:pPr>
        <w:pStyle w:val="Normal"/>
        <w:spacing w:before="40" w:after="40"/>
        <w:rPr/>
      </w:pPr>
      <w:r>
        <w:rPr>
          <w:rFonts w:eastAsia="Arial" w:cs="Arial"/>
          <w:color w:val="1A1A1A"/>
          <w:sz w:val="22"/>
          <w:szCs w:val="22"/>
        </w:rPr>
        <w:t>14. Review and Maintenance</w:t>
      </w:r>
    </w:p>
    <w:p>
      <w:pPr>
        <w:pStyle w:val="Normal"/>
        <w:spacing w:before="40" w:after="40"/>
        <w:rPr/>
      </w:pPr>
      <w:r>
        <w:rPr>
          <w:rFonts w:eastAsia="Arial" w:cs="Arial"/>
          <w:color w:val="1A1A1A"/>
          <w:sz w:val="22"/>
          <w:szCs w:val="22"/>
        </w:rPr>
        <w:t>Annex A — ISO/IEC 27001:2022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ISMS Scope Statement defines the boundaries of the Cloudax Information Security Management System (ISMS) for the purposes of ISO/IEC 27001:2022 Clause 4.3.</w:t>
      </w:r>
    </w:p>
    <w:p>
      <w:pPr>
        <w:pStyle w:val="Normal"/>
        <w:spacing w:lineRule="exact" w:line="300" w:before="80" w:after="120"/>
        <w:rPr/>
      </w:pPr>
      <w:r>
        <w:rPr>
          <w:rFonts w:eastAsia="Arial" w:cs="Arial"/>
          <w:color w:val="1A1A1A"/>
          <w:sz w:val="22"/>
          <w:szCs w:val="22"/>
        </w:rPr>
        <w:t>It identifies what is included in scope, what is excluded, the boundaries and interfaces with parties outside the ISMS, and the rationale for the scope chosen.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4.3 Determining the scope of the ISMS</w:t>
      </w:r>
    </w:p>
    <w:p>
      <w:pPr>
        <w:pStyle w:val="Heading1"/>
        <w:spacing w:before="360" w:after="180"/>
        <w:rPr/>
      </w:pPr>
      <w:r>
        <w:rPr>
          <w:rFonts w:eastAsia="Arial" w:cs="Arial" w:ascii="Arial" w:hAnsi="Arial"/>
          <w:b/>
          <w:bCs/>
          <w:color w:val="0000FF"/>
          <w:sz w:val="36"/>
          <w:szCs w:val="36"/>
        </w:rPr>
        <w:t>2. Statement of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Cloudax ISMS covers the design, development, operation, support, and management of the Cloudax conversational AI platform and associated services delivered to enterprise customers, together with the corporate functions that support this delivery.</w:t>
      </w:r>
    </w:p>
    <w:p>
      <w:pPr>
        <w:pStyle w:val="Normal"/>
        <w:spacing w:before="60" w:after="60"/>
        <w:rPr/>
      </w:pPr>
      <w:r>
        <w:rPr/>
      </w:r>
    </w:p>
    <w:p>
      <w:pPr>
        <w:pStyle w:val="Normal"/>
        <w:spacing w:lineRule="exact" w:line="300" w:before="80" w:after="120"/>
        <w:rPr/>
      </w:pPr>
      <w:r>
        <w:rPr>
          <w:rFonts w:eastAsia="Arial" w:cs="Arial"/>
          <w:color w:val="1A1A1A"/>
          <w:sz w:val="22"/>
          <w:szCs w:val="22"/>
        </w:rPr>
        <w:t>This single statement of scope is the formal scope of the ISMS as approved by the Chief Executive Officer and is the scope to which any certification under ISO/IEC 27001:2022 will apply.</w:t>
      </w:r>
    </w:p>
    <w:p>
      <w:pPr>
        <w:pStyle w:val="Heading1"/>
        <w:spacing w:before="360" w:after="180"/>
        <w:rPr/>
      </w:pPr>
      <w:r>
        <w:rPr>
          <w:rFonts w:eastAsia="Arial" w:cs="Arial" w:ascii="Arial" w:hAnsi="Arial"/>
          <w:b/>
          <w:bCs/>
          <w:color w:val="0000FF"/>
          <w:sz w:val="36"/>
          <w:szCs w:val="36"/>
        </w:rPr>
        <w:t>3. The Cloudax Organisation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Ltd. is a UK private limited company incorporated under the laws of England and Wales (Companies House registration 14717183), trading as Cloudax. The Company’s tagline is “Conversational AI. Always connected.”</w:t>
      </w:r>
    </w:p>
    <w:p>
      <w:pPr>
        <w:pStyle w:val="Normal"/>
        <w:spacing w:lineRule="exact" w:line="300" w:before="80" w:after="120"/>
        <w:rPr/>
      </w:pPr>
      <w:r>
        <w:rPr>
          <w:rFonts w:eastAsia="Arial" w:cs="Arial"/>
          <w:color w:val="1A1A1A"/>
          <w:sz w:val="22"/>
          <w:szCs w:val="22"/>
        </w:rPr>
        <w:t>Cloudax is a small organisation. As at the issue date of this Statement, Cloudax is constituted as a team of six employees, supported by contractors and partners on a project basis. The flat organisational structure means that ISMS roles are typically combined; the ISMS-RACI-001 RACI document and POL-001 record the assignments.</w:t>
      </w:r>
    </w:p>
    <w:p>
      <w:pPr>
        <w:pStyle w:val="Heading1"/>
        <w:spacing w:before="360" w:after="180"/>
        <w:rPr/>
      </w:pPr>
      <w:r>
        <w:rPr>
          <w:rFonts w:eastAsia="Arial" w:cs="Arial" w:ascii="Arial" w:hAnsi="Arial"/>
          <w:b/>
          <w:bCs/>
          <w:color w:val="0000FF"/>
          <w:sz w:val="36"/>
          <w:szCs w:val="36"/>
        </w:rPr>
        <w:t>4. Products and Services in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ISMS covers the following Cloudax products and services:</w:t>
      </w:r>
    </w:p>
    <w:p>
      <w:pPr>
        <w:pStyle w:val="ListParagraph"/>
        <w:numPr>
          <w:ilvl w:val="0"/>
          <w:numId w:val="3"/>
        </w:numPr>
        <w:spacing w:lineRule="exact" w:line="280" w:before="40" w:after="40"/>
        <w:rPr/>
      </w:pPr>
      <w:r>
        <w:rPr>
          <w:rFonts w:eastAsia="Arial" w:cs="Arial"/>
          <w:color w:val="1A1A1A"/>
          <w:sz w:val="22"/>
          <w:szCs w:val="22"/>
        </w:rPr>
        <w:t>The Cloudax conversational AI platform, including its customer-facing application, APIs, and integrations.</w:t>
      </w:r>
    </w:p>
    <w:p>
      <w:pPr>
        <w:pStyle w:val="ListParagraph"/>
        <w:numPr>
          <w:ilvl w:val="0"/>
          <w:numId w:val="1"/>
        </w:numPr>
        <w:spacing w:lineRule="exact" w:line="280" w:before="40" w:after="40"/>
        <w:rPr/>
      </w:pPr>
      <w:r>
        <w:rPr>
          <w:rFonts w:eastAsia="Arial" w:cs="Arial"/>
          <w:color w:val="1A1A1A"/>
          <w:sz w:val="22"/>
          <w:szCs w:val="22"/>
        </w:rPr>
        <w:t>Customer-facing services that support and operate the platform, including configuration, customer success, and support.</w:t>
      </w:r>
    </w:p>
    <w:p>
      <w:pPr>
        <w:pStyle w:val="ListParagraph"/>
        <w:numPr>
          <w:ilvl w:val="0"/>
          <w:numId w:val="1"/>
        </w:numPr>
        <w:spacing w:lineRule="exact" w:line="280" w:before="40" w:after="40"/>
        <w:rPr/>
      </w:pPr>
      <w:r>
        <w:rPr>
          <w:rFonts w:eastAsia="Arial" w:cs="Arial"/>
          <w:color w:val="1A1A1A"/>
          <w:sz w:val="22"/>
          <w:szCs w:val="22"/>
        </w:rPr>
        <w:t>Internal services and tools that support the development, deployment, and operation of the platform.</w:t>
      </w:r>
    </w:p>
    <w:p>
      <w:pPr>
        <w:pStyle w:val="ListParagraph"/>
        <w:numPr>
          <w:ilvl w:val="0"/>
          <w:numId w:val="1"/>
        </w:numPr>
        <w:spacing w:lineRule="exact" w:line="280" w:before="40" w:after="40"/>
        <w:rPr/>
      </w:pPr>
      <w:r>
        <w:rPr>
          <w:rFonts w:eastAsia="Arial" w:cs="Arial"/>
          <w:color w:val="1A1A1A"/>
          <w:sz w:val="22"/>
          <w:szCs w:val="22"/>
        </w:rPr>
        <w:t>Corporate functions in support of the above — management, finance, people operations, legal, and procurement.</w:t>
      </w:r>
    </w:p>
    <w:p>
      <w:pPr>
        <w:pStyle w:val="Normal"/>
        <w:spacing w:lineRule="exact" w:line="300" w:before="80" w:after="120"/>
        <w:rPr/>
      </w:pPr>
      <w:r>
        <w:rPr>
          <w:rFonts w:eastAsia="Arial" w:cs="Arial"/>
          <w:color w:val="1A1A1A"/>
          <w:sz w:val="22"/>
          <w:szCs w:val="22"/>
        </w:rPr>
        <w:t>Where Cloudax processes customer voice recordings, transcripts, or derived data on behalf of customers, the processing is in scope of the ISMS.</w:t>
      </w:r>
    </w:p>
    <w:p>
      <w:pPr>
        <w:pStyle w:val="Heading1"/>
        <w:spacing w:before="360" w:after="180"/>
        <w:rPr/>
      </w:pPr>
      <w:r>
        <w:rPr>
          <w:rFonts w:eastAsia="Arial" w:cs="Arial" w:ascii="Arial" w:hAnsi="Arial"/>
          <w:b/>
          <w:bCs/>
          <w:color w:val="0000FF"/>
          <w:sz w:val="36"/>
          <w:szCs w:val="36"/>
        </w:rPr>
        <w:t>5. Locations and Physical Boundaries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Cloudax ISMS covers the following locations:</w:t>
      </w:r>
    </w:p>
    <w:p>
      <w:pPr>
        <w:pStyle w:val="ListParagraph"/>
        <w:numPr>
          <w:ilvl w:val="0"/>
          <w:numId w:val="1"/>
        </w:numPr>
        <w:spacing w:lineRule="exact" w:line="280" w:before="40" w:after="40"/>
        <w:rPr/>
      </w:pPr>
      <w:r>
        <w:rPr>
          <w:rFonts w:eastAsia="Arial" w:cs="Arial"/>
          <w:b/>
          <w:bCs/>
          <w:color w:val="1A1A1A"/>
          <w:sz w:val="22"/>
          <w:szCs w:val="22"/>
        </w:rPr>
        <w:t xml:space="preserve">Manchester shared workspace: </w:t>
      </w:r>
      <w:r>
        <w:rPr>
          <w:rFonts w:eastAsia="Arial" w:cs="Arial"/>
          <w:color w:val="1A1A1A"/>
          <w:sz w:val="22"/>
          <w:szCs w:val="22"/>
        </w:rPr>
        <w:t>Cloudax’s primary working location, a shared workspace in central Manchester operated by a third-party workspace provider. Cloudax personnel use designated zones, meeting rooms, and shared facilities. Physical security at the workspace is the operator’s responsibility, supplemented by Cloudax-specific controls in POL-012 Remote Working Policy and POL-003 Acceptable Use Policy.</w:t>
      </w:r>
    </w:p>
    <w:p>
      <w:pPr>
        <w:pStyle w:val="ListParagraph"/>
        <w:numPr>
          <w:ilvl w:val="0"/>
          <w:numId w:val="1"/>
        </w:numPr>
        <w:spacing w:lineRule="exact" w:line="280" w:before="40" w:after="40"/>
        <w:rPr/>
      </w:pPr>
      <w:r>
        <w:rPr>
          <w:rFonts w:eastAsia="Arial" w:cs="Arial"/>
          <w:b/>
          <w:bCs/>
          <w:color w:val="1A1A1A"/>
          <w:sz w:val="22"/>
          <w:szCs w:val="22"/>
        </w:rPr>
        <w:t xml:space="preserve">Hybrid and remote working locations: </w:t>
      </w:r>
      <w:r>
        <w:rPr>
          <w:rFonts w:eastAsia="Arial" w:cs="Arial"/>
          <w:color w:val="1A1A1A"/>
          <w:sz w:val="22"/>
          <w:szCs w:val="22"/>
        </w:rPr>
        <w:t>Cloudax personnel work hybrid, including from home, customer sites, and while travelling. These working locations are in scope, governed by POL-012 Remote Working Policy.</w:t>
      </w:r>
    </w:p>
    <w:p>
      <w:pPr>
        <w:pStyle w:val="ListParagraph"/>
        <w:numPr>
          <w:ilvl w:val="0"/>
          <w:numId w:val="1"/>
        </w:numPr>
        <w:spacing w:lineRule="exact" w:line="280" w:before="40" w:after="40"/>
        <w:rPr/>
      </w:pPr>
      <w:r>
        <w:rPr>
          <w:rFonts w:eastAsia="Arial" w:cs="Arial"/>
          <w:b/>
          <w:bCs/>
          <w:color w:val="1A1A1A"/>
          <w:sz w:val="22"/>
          <w:szCs w:val="22"/>
        </w:rPr>
        <w:t xml:space="preserve">Cloud service provider data centres: </w:t>
      </w:r>
      <w:r>
        <w:rPr>
          <w:rFonts w:eastAsia="Arial" w:cs="Arial"/>
          <w:color w:val="1A1A1A"/>
          <w:sz w:val="22"/>
          <w:szCs w:val="22"/>
        </w:rPr>
        <w:t>the data centres of Cloudax’s approved cloud service providers, where customer data and platform services are hosted. The physical security of these locations is the responsibility of the cloud provider; Cloudax verifies provider physical security through certifications and assurance reports under POL-006 Supplier Security Policy and POL-007 Cloud Services Policy.</w:t>
      </w:r>
    </w:p>
    <w:p>
      <w:pPr>
        <w:pStyle w:val="Normal"/>
        <w:spacing w:lineRule="exact" w:line="300" w:before="80" w:after="120"/>
        <w:rPr/>
      </w:pPr>
      <w:r>
        <w:rPr>
          <w:rFonts w:eastAsia="Arial" w:cs="Arial"/>
          <w:color w:val="1A1A1A"/>
          <w:sz w:val="22"/>
          <w:szCs w:val="22"/>
        </w:rPr>
        <w:t>Cloudax does not currently operate any data centres or other facilities of its own.</w:t>
      </w:r>
    </w:p>
    <w:p>
      <w:pPr>
        <w:pStyle w:val="Heading1"/>
        <w:spacing w:before="360" w:after="180"/>
        <w:rPr/>
      </w:pPr>
      <w:r>
        <w:rPr>
          <w:rFonts w:eastAsia="Arial" w:cs="Arial" w:ascii="Arial" w:hAnsi="Arial"/>
          <w:b/>
          <w:bCs/>
          <w:color w:val="0000FF"/>
          <w:sz w:val="36"/>
          <w:szCs w:val="36"/>
        </w:rPr>
        <w:t>6. Personnel in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acting for or on behalf of Cloudax are in scope of the ISMS, including:</w:t>
      </w:r>
    </w:p>
    <w:p>
      <w:pPr>
        <w:pStyle w:val="ListParagraph"/>
        <w:numPr>
          <w:ilvl w:val="0"/>
          <w:numId w:val="1"/>
        </w:numPr>
        <w:spacing w:lineRule="exact" w:line="280" w:before="40" w:after="40"/>
        <w:rPr/>
      </w:pPr>
      <w:r>
        <w:rPr>
          <w:rFonts w:eastAsia="Arial" w:cs="Arial"/>
          <w:color w:val="1A1A1A"/>
          <w:sz w:val="22"/>
          <w:szCs w:val="22"/>
        </w:rPr>
        <w:t>Directors, officers, and employees of Cloudax.</w:t>
      </w:r>
    </w:p>
    <w:p>
      <w:pPr>
        <w:pStyle w:val="ListParagraph"/>
        <w:numPr>
          <w:ilvl w:val="0"/>
          <w:numId w:val="1"/>
        </w:numPr>
        <w:spacing w:lineRule="exact" w:line="280" w:before="40" w:after="40"/>
        <w:rPr/>
      </w:pPr>
      <w:r>
        <w:rPr>
          <w:rFonts w:eastAsia="Arial" w:cs="Arial"/>
          <w:color w:val="1A1A1A"/>
          <w:sz w:val="22"/>
          <w:szCs w:val="22"/>
        </w:rPr>
        <w:t>Contractors, consultants, interns, apprentices, and agency workers engaged by Cloudax.</w:t>
      </w:r>
    </w:p>
    <w:p>
      <w:pPr>
        <w:pStyle w:val="ListParagraph"/>
        <w:numPr>
          <w:ilvl w:val="0"/>
          <w:numId w:val="1"/>
        </w:numPr>
        <w:spacing w:lineRule="exact" w:line="280" w:before="40" w:after="40"/>
        <w:rPr/>
      </w:pPr>
      <w:r>
        <w:rPr>
          <w:rFonts w:eastAsia="Arial" w:cs="Arial"/>
          <w:color w:val="1A1A1A"/>
          <w:sz w:val="22"/>
          <w:szCs w:val="22"/>
        </w:rPr>
        <w:t>Third-party personnel acting on Cloudax’s behalf where they have access to Cloudax information, systems, or facilities.</w:t>
      </w:r>
    </w:p>
    <w:p>
      <w:pPr>
        <w:pStyle w:val="Normal"/>
        <w:spacing w:lineRule="exact" w:line="300" w:before="80" w:after="120"/>
        <w:rPr/>
      </w:pPr>
      <w:r>
        <w:rPr>
          <w:rFonts w:eastAsia="Arial" w:cs="Arial"/>
          <w:color w:val="1A1A1A"/>
          <w:sz w:val="22"/>
          <w:szCs w:val="22"/>
        </w:rPr>
        <w:t>As at issue, the workforce comprises six employees together with contractors and partners as required.</w:t>
      </w:r>
    </w:p>
    <w:p>
      <w:pPr>
        <w:pStyle w:val="Heading1"/>
        <w:spacing w:before="360" w:after="180"/>
        <w:rPr/>
      </w:pPr>
      <w:r>
        <w:rPr>
          <w:rFonts w:eastAsia="Arial" w:cs="Arial" w:ascii="Arial" w:hAnsi="Arial"/>
          <w:b/>
          <w:bCs/>
          <w:color w:val="0000FF"/>
          <w:sz w:val="36"/>
          <w:szCs w:val="36"/>
        </w:rPr>
        <w:t>7. Information Assets in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ISMS covers all information assets created, received, held, or processed by Cloudax in any form (electronic, physical, verbal, or recorded), including:</w:t>
      </w:r>
    </w:p>
    <w:p>
      <w:pPr>
        <w:pStyle w:val="ListParagraph"/>
        <w:numPr>
          <w:ilvl w:val="0"/>
          <w:numId w:val="1"/>
        </w:numPr>
        <w:spacing w:lineRule="exact" w:line="280" w:before="40" w:after="40"/>
        <w:rPr/>
      </w:pPr>
      <w:r>
        <w:rPr>
          <w:rFonts w:eastAsia="Arial" w:cs="Arial"/>
          <w:color w:val="1A1A1A"/>
          <w:sz w:val="22"/>
          <w:szCs w:val="22"/>
        </w:rPr>
        <w:t>Customer data: voice recordings, transcripts, derived metadata, configuration, and integration content.</w:t>
      </w:r>
    </w:p>
    <w:p>
      <w:pPr>
        <w:pStyle w:val="ListParagraph"/>
        <w:numPr>
          <w:ilvl w:val="0"/>
          <w:numId w:val="1"/>
        </w:numPr>
        <w:spacing w:lineRule="exact" w:line="280" w:before="40" w:after="40"/>
        <w:rPr/>
      </w:pPr>
      <w:r>
        <w:rPr>
          <w:rFonts w:eastAsia="Arial" w:cs="Arial"/>
          <w:color w:val="1A1A1A"/>
          <w:sz w:val="22"/>
          <w:szCs w:val="22"/>
        </w:rPr>
        <w:t>Personal data of customers, customer end users, employees, contractors, suppliers, and other parties.</w:t>
      </w:r>
    </w:p>
    <w:p>
      <w:pPr>
        <w:pStyle w:val="ListParagraph"/>
        <w:numPr>
          <w:ilvl w:val="0"/>
          <w:numId w:val="1"/>
        </w:numPr>
        <w:spacing w:lineRule="exact" w:line="280" w:before="40" w:after="40"/>
        <w:rPr/>
      </w:pPr>
      <w:r>
        <w:rPr>
          <w:rFonts w:eastAsia="Arial" w:cs="Arial"/>
          <w:color w:val="1A1A1A"/>
          <w:sz w:val="22"/>
          <w:szCs w:val="22"/>
        </w:rPr>
        <w:t>Intellectual property: source code, models, training and evaluation data, designs, documentation, and trademarks.</w:t>
      </w:r>
    </w:p>
    <w:p>
      <w:pPr>
        <w:pStyle w:val="ListParagraph"/>
        <w:numPr>
          <w:ilvl w:val="0"/>
          <w:numId w:val="1"/>
        </w:numPr>
        <w:spacing w:lineRule="exact" w:line="280" w:before="40" w:after="40"/>
        <w:rPr/>
      </w:pPr>
      <w:r>
        <w:rPr>
          <w:rFonts w:eastAsia="Arial" w:cs="Arial"/>
          <w:color w:val="1A1A1A"/>
          <w:sz w:val="22"/>
          <w:szCs w:val="22"/>
        </w:rPr>
        <w:t>Commercial information: contracts, pricing, customer lists, financial records, and product roadmap.</w:t>
      </w:r>
    </w:p>
    <w:p>
      <w:pPr>
        <w:pStyle w:val="ListParagraph"/>
        <w:numPr>
          <w:ilvl w:val="0"/>
          <w:numId w:val="1"/>
        </w:numPr>
        <w:spacing w:lineRule="exact" w:line="280" w:before="40" w:after="40"/>
        <w:rPr/>
      </w:pPr>
      <w:r>
        <w:rPr>
          <w:rFonts w:eastAsia="Arial" w:cs="Arial"/>
          <w:color w:val="1A1A1A"/>
          <w:sz w:val="22"/>
          <w:szCs w:val="22"/>
        </w:rPr>
        <w:t>ISMS evidence: policies, procedures, registers, audit reports, training records, incident records, risk records.</w:t>
      </w:r>
    </w:p>
    <w:p>
      <w:pPr>
        <w:pStyle w:val="Normal"/>
        <w:spacing w:lineRule="exact" w:line="300" w:before="80" w:after="120"/>
        <w:rPr/>
      </w:pPr>
      <w:r>
        <w:rPr>
          <w:rFonts w:eastAsia="Arial" w:cs="Arial"/>
          <w:color w:val="1A1A1A"/>
          <w:sz w:val="22"/>
          <w:szCs w:val="22"/>
        </w:rPr>
        <w:t>Information assets are classified in accordance with POL-004 Information Classification Policy and recorded in REG-IAR-001 Asset Register.</w:t>
      </w:r>
    </w:p>
    <w:p>
      <w:pPr>
        <w:pStyle w:val="Heading1"/>
        <w:spacing w:before="360" w:after="180"/>
        <w:rPr/>
      </w:pPr>
      <w:r>
        <w:rPr>
          <w:rFonts w:eastAsia="Arial" w:cs="Arial" w:ascii="Arial" w:hAnsi="Arial"/>
          <w:b/>
          <w:bCs/>
          <w:color w:val="0000FF"/>
          <w:sz w:val="36"/>
          <w:szCs w:val="36"/>
        </w:rPr>
        <w:t>8. Technology and Systems in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ISMS covers all information processing facilities used by Cloudax, including:</w:t>
      </w:r>
    </w:p>
    <w:p>
      <w:pPr>
        <w:pStyle w:val="ListParagraph"/>
        <w:numPr>
          <w:ilvl w:val="0"/>
          <w:numId w:val="1"/>
        </w:numPr>
        <w:spacing w:lineRule="exact" w:line="280" w:before="40" w:after="40"/>
        <w:rPr/>
      </w:pPr>
      <w:r>
        <w:rPr>
          <w:rFonts w:eastAsia="Arial" w:cs="Arial"/>
          <w:color w:val="1A1A1A"/>
          <w:sz w:val="22"/>
          <w:szCs w:val="22"/>
        </w:rPr>
        <w:t>Cloud tenancies hosting the Cloudax platform: production, staging, and non-production environments.</w:t>
      </w:r>
    </w:p>
    <w:p>
      <w:pPr>
        <w:pStyle w:val="ListParagraph"/>
        <w:numPr>
          <w:ilvl w:val="0"/>
          <w:numId w:val="1"/>
        </w:numPr>
        <w:spacing w:lineRule="exact" w:line="280" w:before="40" w:after="40"/>
        <w:rPr/>
      </w:pPr>
      <w:r>
        <w:rPr>
          <w:rFonts w:eastAsia="Arial" w:cs="Arial"/>
          <w:color w:val="1A1A1A"/>
          <w:sz w:val="22"/>
          <w:szCs w:val="22"/>
        </w:rPr>
        <w:t>AI and ML services consumed by the platform, including third-party model providers.</w:t>
      </w:r>
    </w:p>
    <w:p>
      <w:pPr>
        <w:pStyle w:val="ListParagraph"/>
        <w:numPr>
          <w:ilvl w:val="0"/>
          <w:numId w:val="1"/>
        </w:numPr>
        <w:spacing w:lineRule="exact" w:line="280" w:before="40" w:after="40"/>
        <w:rPr/>
      </w:pPr>
      <w:r>
        <w:rPr>
          <w:rFonts w:eastAsia="Arial" w:cs="Arial"/>
          <w:color w:val="1A1A1A"/>
          <w:sz w:val="22"/>
          <w:szCs w:val="22"/>
        </w:rPr>
        <w:t>Source code repositories, CI/CD pipelines, and developer tooling.</w:t>
      </w:r>
    </w:p>
    <w:p>
      <w:pPr>
        <w:pStyle w:val="ListParagraph"/>
        <w:numPr>
          <w:ilvl w:val="0"/>
          <w:numId w:val="1"/>
        </w:numPr>
        <w:spacing w:lineRule="exact" w:line="280" w:before="40" w:after="40"/>
        <w:rPr/>
      </w:pPr>
      <w:r>
        <w:rPr>
          <w:rFonts w:eastAsia="Arial" w:cs="Arial"/>
          <w:color w:val="1A1A1A"/>
          <w:sz w:val="22"/>
          <w:szCs w:val="22"/>
        </w:rPr>
        <w:t>Identity and access management systems, including the corporate identity provider and MFA.</w:t>
      </w:r>
    </w:p>
    <w:p>
      <w:pPr>
        <w:pStyle w:val="ListParagraph"/>
        <w:numPr>
          <w:ilvl w:val="0"/>
          <w:numId w:val="1"/>
        </w:numPr>
        <w:spacing w:lineRule="exact" w:line="280" w:before="40" w:after="40"/>
        <w:rPr/>
      </w:pPr>
      <w:r>
        <w:rPr>
          <w:rFonts w:eastAsia="Arial" w:cs="Arial"/>
          <w:color w:val="1A1A1A"/>
          <w:sz w:val="22"/>
          <w:szCs w:val="22"/>
        </w:rPr>
        <w:t>Productivity and collaboration platforms, including Microsoft 365, messaging, and meeting tools.</w:t>
      </w:r>
    </w:p>
    <w:p>
      <w:pPr>
        <w:pStyle w:val="ListParagraph"/>
        <w:numPr>
          <w:ilvl w:val="0"/>
          <w:numId w:val="1"/>
        </w:numPr>
        <w:spacing w:lineRule="exact" w:line="280" w:before="40" w:after="40"/>
        <w:rPr/>
      </w:pPr>
      <w:r>
        <w:rPr>
          <w:rFonts w:eastAsia="Arial" w:cs="Arial"/>
          <w:color w:val="1A1A1A"/>
          <w:sz w:val="22"/>
          <w:szCs w:val="22"/>
        </w:rPr>
        <w:t>Endpoints: Cloudax-issued laptops and mobile devices, MDM-enrolled BYOD.</w:t>
      </w:r>
    </w:p>
    <w:p>
      <w:pPr>
        <w:pStyle w:val="ListParagraph"/>
        <w:numPr>
          <w:ilvl w:val="0"/>
          <w:numId w:val="1"/>
        </w:numPr>
        <w:spacing w:lineRule="exact" w:line="280" w:before="40" w:after="40"/>
        <w:rPr/>
      </w:pPr>
      <w:r>
        <w:rPr>
          <w:rFonts w:eastAsia="Arial" w:cs="Arial"/>
          <w:color w:val="1A1A1A"/>
          <w:sz w:val="22"/>
          <w:szCs w:val="22"/>
        </w:rPr>
        <w:t>Security tooling, logging, monitoring, backup, and key management services.</w:t>
      </w:r>
    </w:p>
    <w:p>
      <w:pPr>
        <w:pStyle w:val="ListParagraph"/>
        <w:numPr>
          <w:ilvl w:val="0"/>
          <w:numId w:val="1"/>
        </w:numPr>
        <w:spacing w:lineRule="exact" w:line="280" w:before="40" w:after="40"/>
        <w:rPr/>
      </w:pPr>
      <w:r>
        <w:rPr>
          <w:rFonts w:eastAsia="Arial" w:cs="Arial"/>
          <w:color w:val="1A1A1A"/>
          <w:sz w:val="22"/>
          <w:szCs w:val="22"/>
        </w:rPr>
        <w:t>Customer integrations and APIs through which customer data is exchanged.</w:t>
      </w:r>
    </w:p>
    <w:p>
      <w:pPr>
        <w:pStyle w:val="Heading1"/>
        <w:spacing w:before="360" w:after="180"/>
        <w:rPr/>
      </w:pPr>
      <w:r>
        <w:rPr>
          <w:rFonts w:eastAsia="Arial" w:cs="Arial" w:ascii="Arial" w:hAnsi="Arial"/>
          <w:b/>
          <w:bCs/>
          <w:color w:val="0000FF"/>
          <w:sz w:val="36"/>
          <w:szCs w:val="36"/>
        </w:rPr>
        <w:t>9. Suppliers and Third Parties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Suppliers and third parties are not part of the Cloudax organisation but are within the scope of the ISMS where they:</w:t>
      </w:r>
    </w:p>
    <w:p>
      <w:pPr>
        <w:pStyle w:val="ListParagraph"/>
        <w:numPr>
          <w:ilvl w:val="0"/>
          <w:numId w:val="1"/>
        </w:numPr>
        <w:spacing w:lineRule="exact" w:line="280" w:before="40" w:after="40"/>
        <w:rPr/>
      </w:pPr>
      <w:r>
        <w:rPr>
          <w:rFonts w:eastAsia="Arial" w:cs="Arial"/>
          <w:color w:val="1A1A1A"/>
          <w:sz w:val="22"/>
          <w:szCs w:val="22"/>
        </w:rPr>
        <w:t>Process, store, transmit, or have access to Cloudax information.</w:t>
      </w:r>
    </w:p>
    <w:p>
      <w:pPr>
        <w:pStyle w:val="ListParagraph"/>
        <w:numPr>
          <w:ilvl w:val="0"/>
          <w:numId w:val="1"/>
        </w:numPr>
        <w:spacing w:lineRule="exact" w:line="280" w:before="40" w:after="40"/>
        <w:rPr/>
      </w:pPr>
      <w:r>
        <w:rPr>
          <w:rFonts w:eastAsia="Arial" w:cs="Arial"/>
          <w:color w:val="1A1A1A"/>
          <w:sz w:val="22"/>
          <w:szCs w:val="22"/>
        </w:rPr>
        <w:t>Provide infrastructure, platforms, or applications used by Cloudax.</w:t>
      </w:r>
    </w:p>
    <w:p>
      <w:pPr>
        <w:pStyle w:val="ListParagraph"/>
        <w:numPr>
          <w:ilvl w:val="0"/>
          <w:numId w:val="1"/>
        </w:numPr>
        <w:spacing w:lineRule="exact" w:line="280" w:before="40" w:after="40"/>
        <w:rPr/>
      </w:pPr>
      <w:r>
        <w:rPr>
          <w:rFonts w:eastAsia="Arial" w:cs="Arial"/>
          <w:color w:val="1A1A1A"/>
          <w:sz w:val="22"/>
          <w:szCs w:val="22"/>
        </w:rPr>
        <w:t>Develop or operate components of the Cloudax platform on Cloudax’s behalf.</w:t>
      </w:r>
    </w:p>
    <w:p>
      <w:pPr>
        <w:pStyle w:val="Normal"/>
        <w:spacing w:lineRule="exact" w:line="300" w:before="80" w:after="120"/>
        <w:rPr/>
      </w:pPr>
      <w:r>
        <w:rPr>
          <w:rFonts w:eastAsia="Arial" w:cs="Arial"/>
          <w:color w:val="1A1A1A"/>
          <w:sz w:val="22"/>
          <w:szCs w:val="22"/>
        </w:rPr>
        <w:t>Suppliers and third parties are governed under POL-006 Supplier Security Policy and POL-007 Cloud Services Policy. They are recorded in the Cloudax Supplier Inventory and assigned a tier proportionate to risk.</w:t>
      </w:r>
    </w:p>
    <w:p>
      <w:pPr>
        <w:pStyle w:val="Heading1"/>
        <w:spacing w:before="360" w:after="180"/>
        <w:rPr/>
      </w:pPr>
      <w:r>
        <w:rPr>
          <w:rFonts w:eastAsia="Arial" w:cs="Arial" w:ascii="Arial" w:hAnsi="Arial"/>
          <w:b/>
          <w:bCs/>
          <w:color w:val="0000FF"/>
          <w:sz w:val="36"/>
          <w:szCs w:val="36"/>
        </w:rPr>
        <w:t>10. Boundaries and Interfaces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principal boundaries and interfaces of the ISMS are:</w:t>
      </w:r>
    </w:p>
    <w:p>
      <w:pPr>
        <w:pStyle w:val="ListParagraph"/>
        <w:numPr>
          <w:ilvl w:val="0"/>
          <w:numId w:val="1"/>
        </w:numPr>
        <w:spacing w:lineRule="exact" w:line="280" w:before="40" w:after="40"/>
        <w:rPr/>
      </w:pPr>
      <w:r>
        <w:rPr>
          <w:rFonts w:eastAsia="Arial" w:cs="Arial"/>
          <w:b/>
          <w:bCs/>
          <w:color w:val="1A1A1A"/>
          <w:sz w:val="22"/>
          <w:szCs w:val="22"/>
        </w:rPr>
        <w:t xml:space="preserve">Customer interface: </w:t>
      </w:r>
      <w:r>
        <w:rPr>
          <w:rFonts w:eastAsia="Arial" w:cs="Arial"/>
          <w:color w:val="1A1A1A"/>
          <w:sz w:val="22"/>
          <w:szCs w:val="22"/>
        </w:rPr>
        <w:t>the platform endpoints (web, API, integrations) through which customers and their end users interact with Cloudax. Cloudax’s ISMS responsibilities run to the platform side of this interface; customers retain responsibility for their own use, configuration, and end-user management.</w:t>
      </w:r>
    </w:p>
    <w:p>
      <w:pPr>
        <w:pStyle w:val="ListParagraph"/>
        <w:numPr>
          <w:ilvl w:val="0"/>
          <w:numId w:val="1"/>
        </w:numPr>
        <w:spacing w:lineRule="exact" w:line="280" w:before="40" w:after="40"/>
        <w:rPr/>
      </w:pPr>
      <w:r>
        <w:rPr>
          <w:rFonts w:eastAsia="Arial" w:cs="Arial"/>
          <w:b/>
          <w:bCs/>
          <w:color w:val="1A1A1A"/>
          <w:sz w:val="22"/>
          <w:szCs w:val="22"/>
        </w:rPr>
        <w:t xml:space="preserve">Cloud service provider interface: </w:t>
      </w:r>
      <w:r>
        <w:rPr>
          <w:rFonts w:eastAsia="Arial" w:cs="Arial"/>
          <w:color w:val="1A1A1A"/>
          <w:sz w:val="22"/>
          <w:szCs w:val="22"/>
        </w:rPr>
        <w:t>the shared responsibility model between Cloudax and each cloud service provider, documented per service in line with POL-007.</w:t>
      </w:r>
    </w:p>
    <w:p>
      <w:pPr>
        <w:pStyle w:val="ListParagraph"/>
        <w:numPr>
          <w:ilvl w:val="0"/>
          <w:numId w:val="1"/>
        </w:numPr>
        <w:spacing w:lineRule="exact" w:line="280" w:before="40" w:after="40"/>
        <w:rPr/>
      </w:pPr>
      <w:r>
        <w:rPr>
          <w:rFonts w:eastAsia="Arial" w:cs="Arial"/>
          <w:b/>
          <w:bCs/>
          <w:color w:val="1A1A1A"/>
          <w:sz w:val="22"/>
          <w:szCs w:val="22"/>
        </w:rPr>
        <w:t xml:space="preserve">Workspace operator interface: </w:t>
      </w:r>
      <w:r>
        <w:rPr>
          <w:rFonts w:eastAsia="Arial" w:cs="Arial"/>
          <w:color w:val="1A1A1A"/>
          <w:sz w:val="22"/>
          <w:szCs w:val="22"/>
        </w:rPr>
        <w:t>the boundary between Cloudax’s use of the Manchester shared workspace and the workspace operator’s physical security and infrastructure responsibilities.</w:t>
      </w:r>
    </w:p>
    <w:p>
      <w:pPr>
        <w:pStyle w:val="ListParagraph"/>
        <w:numPr>
          <w:ilvl w:val="0"/>
          <w:numId w:val="1"/>
        </w:numPr>
        <w:spacing w:lineRule="exact" w:line="280" w:before="40" w:after="40"/>
        <w:rPr/>
      </w:pPr>
      <w:r>
        <w:rPr>
          <w:rFonts w:eastAsia="Arial" w:cs="Arial"/>
          <w:b/>
          <w:bCs/>
          <w:color w:val="1A1A1A"/>
          <w:sz w:val="22"/>
          <w:szCs w:val="22"/>
        </w:rPr>
        <w:t xml:space="preserve">Supplier interface: </w:t>
      </w:r>
      <w:r>
        <w:rPr>
          <w:rFonts w:eastAsia="Arial" w:cs="Arial"/>
          <w:color w:val="1A1A1A"/>
          <w:sz w:val="22"/>
          <w:szCs w:val="22"/>
        </w:rPr>
        <w:t>contractually-defined boundaries with each supplier, including data processing agreements where personal data is involved.</w:t>
      </w:r>
    </w:p>
    <w:p>
      <w:pPr>
        <w:pStyle w:val="ListParagraph"/>
        <w:numPr>
          <w:ilvl w:val="0"/>
          <w:numId w:val="1"/>
        </w:numPr>
        <w:spacing w:lineRule="exact" w:line="280" w:before="40" w:after="40"/>
        <w:rPr/>
      </w:pPr>
      <w:r>
        <w:rPr>
          <w:rFonts w:eastAsia="Arial" w:cs="Arial"/>
          <w:b/>
          <w:bCs/>
          <w:color w:val="1A1A1A"/>
          <w:sz w:val="22"/>
          <w:szCs w:val="22"/>
        </w:rPr>
        <w:t xml:space="preserve">Authority interface: </w:t>
      </w:r>
      <w:r>
        <w:rPr>
          <w:rFonts w:eastAsia="Arial" w:cs="Arial"/>
          <w:color w:val="1A1A1A"/>
          <w:sz w:val="22"/>
          <w:szCs w:val="22"/>
        </w:rPr>
        <w:t>interactions with regulators (notably the Information Commissioner’s Office), law enforcement, and certification bodies, recorded in REG-AUTH-001 Authority Contacts.</w:t>
      </w:r>
    </w:p>
    <w:p>
      <w:pPr>
        <w:pStyle w:val="Heading1"/>
        <w:spacing w:before="360" w:after="180"/>
        <w:rPr/>
      </w:pPr>
      <w:r>
        <w:rPr>
          <w:rFonts w:eastAsia="Arial" w:cs="Arial" w:ascii="Arial" w:hAnsi="Arial"/>
          <w:b/>
          <w:bCs/>
          <w:color w:val="0000FF"/>
          <w:sz w:val="36"/>
          <w:szCs w:val="36"/>
        </w:rPr>
        <w:t>11. Exclusions and Justification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ISMS does not exclude any product, service, location, or business activity within the Cloudax organisation. The ISMS scope is co-extensive with the operating scope of Cloudax.</w:t>
      </w:r>
    </w:p>
    <w:p>
      <w:pPr>
        <w:pStyle w:val="Normal"/>
        <w:spacing w:lineRule="exact" w:line="300" w:before="80" w:after="120"/>
        <w:rPr/>
      </w:pPr>
      <w:r>
        <w:rPr>
          <w:rFonts w:eastAsia="Arial" w:cs="Arial"/>
          <w:color w:val="1A1A1A"/>
          <w:sz w:val="22"/>
          <w:szCs w:val="22"/>
        </w:rPr>
        <w:t>Annex A controls that have been excluded from applicability are listed in the Statement of Applicability (ISMS-SOA-001 v4.0) with justification.</w:t>
      </w:r>
    </w:p>
    <w:p>
      <w:pPr>
        <w:pStyle w:val="Heading1"/>
        <w:spacing w:before="360" w:after="180"/>
        <w:rPr/>
      </w:pPr>
      <w:r>
        <w:rPr>
          <w:rFonts w:eastAsia="Arial" w:cs="Arial" w:ascii="Arial" w:hAnsi="Arial"/>
          <w:b/>
          <w:bCs/>
          <w:color w:val="0000FF"/>
          <w:sz w:val="36"/>
          <w:szCs w:val="36"/>
        </w:rPr>
        <w:t>12. Dependencies and Interested Parties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recognises the following principal categories of interested party in respect of the ISMS:</w:t>
      </w:r>
    </w:p>
    <w:p>
      <w:pPr>
        <w:pStyle w:val="ListParagraph"/>
        <w:numPr>
          <w:ilvl w:val="0"/>
          <w:numId w:val="1"/>
        </w:numPr>
        <w:spacing w:lineRule="exact" w:line="280" w:before="40" w:after="40"/>
        <w:rPr/>
      </w:pPr>
      <w:r>
        <w:rPr>
          <w:rFonts w:eastAsia="Arial" w:cs="Arial"/>
          <w:b/>
          <w:bCs/>
          <w:color w:val="1A1A1A"/>
          <w:sz w:val="22"/>
          <w:szCs w:val="22"/>
        </w:rPr>
        <w:t xml:space="preserve">Customers: </w:t>
      </w:r>
      <w:r>
        <w:rPr>
          <w:rFonts w:eastAsia="Arial" w:cs="Arial"/>
          <w:color w:val="1A1A1A"/>
          <w:sz w:val="22"/>
          <w:szCs w:val="22"/>
        </w:rPr>
        <w:t>require confidentiality, integrity, and availability of customer data; demonstrable security; timely incident notification; contractual assurance.</w:t>
      </w:r>
    </w:p>
    <w:p>
      <w:pPr>
        <w:pStyle w:val="ListParagraph"/>
        <w:numPr>
          <w:ilvl w:val="0"/>
          <w:numId w:val="1"/>
        </w:numPr>
        <w:spacing w:lineRule="exact" w:line="280" w:before="40" w:after="40"/>
        <w:rPr/>
      </w:pPr>
      <w:r>
        <w:rPr>
          <w:rFonts w:eastAsia="Arial" w:cs="Arial"/>
          <w:b/>
          <w:bCs/>
          <w:color w:val="1A1A1A"/>
          <w:sz w:val="22"/>
          <w:szCs w:val="22"/>
        </w:rPr>
        <w:t xml:space="preserve">End users of customer services: </w:t>
      </w:r>
      <w:r>
        <w:rPr>
          <w:rFonts w:eastAsia="Arial" w:cs="Arial"/>
          <w:color w:val="1A1A1A"/>
          <w:sz w:val="22"/>
          <w:szCs w:val="22"/>
        </w:rPr>
        <w:t>require privacy and lawful processing of personal data.</w:t>
      </w:r>
    </w:p>
    <w:p>
      <w:pPr>
        <w:pStyle w:val="ListParagraph"/>
        <w:numPr>
          <w:ilvl w:val="0"/>
          <w:numId w:val="1"/>
        </w:numPr>
        <w:spacing w:lineRule="exact" w:line="280" w:before="40" w:after="40"/>
        <w:rPr/>
      </w:pPr>
      <w:r>
        <w:rPr>
          <w:rFonts w:eastAsia="Arial" w:cs="Arial"/>
          <w:b/>
          <w:bCs/>
          <w:color w:val="1A1A1A"/>
          <w:sz w:val="22"/>
          <w:szCs w:val="22"/>
        </w:rPr>
        <w:t xml:space="preserve">Employees and contractors: </w:t>
      </w:r>
      <w:r>
        <w:rPr>
          <w:rFonts w:eastAsia="Arial" w:cs="Arial"/>
          <w:color w:val="1A1A1A"/>
          <w:sz w:val="22"/>
          <w:szCs w:val="22"/>
        </w:rPr>
        <w:t>require a secure working environment, clear responsibilities, and protection of personal data held about them.</w:t>
      </w:r>
    </w:p>
    <w:p>
      <w:pPr>
        <w:pStyle w:val="ListParagraph"/>
        <w:numPr>
          <w:ilvl w:val="0"/>
          <w:numId w:val="1"/>
        </w:numPr>
        <w:spacing w:lineRule="exact" w:line="280" w:before="40" w:after="40"/>
        <w:rPr/>
      </w:pPr>
      <w:r>
        <w:rPr>
          <w:rFonts w:eastAsia="Arial" w:cs="Arial"/>
          <w:b/>
          <w:bCs/>
          <w:color w:val="1A1A1A"/>
          <w:sz w:val="22"/>
          <w:szCs w:val="22"/>
        </w:rPr>
        <w:t xml:space="preserve">Suppliers and partners: </w:t>
      </w:r>
      <w:r>
        <w:rPr>
          <w:rFonts w:eastAsia="Arial" w:cs="Arial"/>
          <w:color w:val="1A1A1A"/>
          <w:sz w:val="22"/>
          <w:szCs w:val="22"/>
        </w:rPr>
        <w:t>require clear security requirements and fair handling of shared information.</w:t>
      </w:r>
    </w:p>
    <w:p>
      <w:pPr>
        <w:pStyle w:val="ListParagraph"/>
        <w:numPr>
          <w:ilvl w:val="0"/>
          <w:numId w:val="1"/>
        </w:numPr>
        <w:spacing w:lineRule="exact" w:line="280" w:before="40" w:after="40"/>
        <w:rPr/>
      </w:pPr>
      <w:r>
        <w:rPr>
          <w:rFonts w:eastAsia="Arial" w:cs="Arial"/>
          <w:b/>
          <w:bCs/>
          <w:color w:val="1A1A1A"/>
          <w:sz w:val="22"/>
          <w:szCs w:val="22"/>
        </w:rPr>
        <w:t xml:space="preserve">Regulators and authorities: </w:t>
      </w:r>
      <w:r>
        <w:rPr>
          <w:rFonts w:eastAsia="Arial" w:cs="Arial"/>
          <w:color w:val="1A1A1A"/>
          <w:sz w:val="22"/>
          <w:szCs w:val="22"/>
        </w:rPr>
        <w:t>require compliance with applicable law, including the UK GDPR and DPA 2018, and timely cooperation where required.</w:t>
      </w:r>
    </w:p>
    <w:p>
      <w:pPr>
        <w:pStyle w:val="ListParagraph"/>
        <w:numPr>
          <w:ilvl w:val="0"/>
          <w:numId w:val="1"/>
        </w:numPr>
        <w:spacing w:lineRule="exact" w:line="280" w:before="40" w:after="40"/>
        <w:rPr/>
      </w:pPr>
      <w:r>
        <w:rPr>
          <w:rFonts w:eastAsia="Arial" w:cs="Arial"/>
          <w:b/>
          <w:bCs/>
          <w:color w:val="1A1A1A"/>
          <w:sz w:val="22"/>
          <w:szCs w:val="22"/>
        </w:rPr>
        <w:t xml:space="preserve">Investors, the Board, and the Chief Executive Officer: </w:t>
      </w:r>
      <w:r>
        <w:rPr>
          <w:rFonts w:eastAsia="Arial" w:cs="Arial"/>
          <w:color w:val="1A1A1A"/>
          <w:sz w:val="22"/>
          <w:szCs w:val="22"/>
        </w:rPr>
        <w:t>require proportionate management of information security risk in support of the Company’s objectives.</w:t>
      </w:r>
    </w:p>
    <w:p>
      <w:pPr>
        <w:pStyle w:val="ListParagraph"/>
        <w:numPr>
          <w:ilvl w:val="0"/>
          <w:numId w:val="1"/>
        </w:numPr>
        <w:spacing w:lineRule="exact" w:line="280" w:before="40" w:after="40"/>
        <w:rPr/>
      </w:pPr>
      <w:r>
        <w:rPr>
          <w:rFonts w:eastAsia="Arial" w:cs="Arial"/>
          <w:b/>
          <w:bCs/>
          <w:color w:val="1A1A1A"/>
          <w:sz w:val="22"/>
          <w:szCs w:val="22"/>
        </w:rPr>
        <w:t xml:space="preserve">Certification bodies: </w:t>
      </w:r>
      <w:r>
        <w:rPr>
          <w:rFonts w:eastAsia="Arial" w:cs="Arial"/>
          <w:color w:val="1A1A1A"/>
          <w:sz w:val="22"/>
          <w:szCs w:val="22"/>
        </w:rPr>
        <w:t>require a conforming ISMS capable of supporting certification to ISO/IEC 27001:2022.</w:t>
      </w:r>
    </w:p>
    <w:p>
      <w:pPr>
        <w:pStyle w:val="Heading1"/>
        <w:spacing w:before="360" w:after="180"/>
        <w:rPr/>
      </w:pPr>
      <w:r>
        <w:rPr>
          <w:rFonts w:eastAsia="Arial" w:cs="Arial" w:ascii="Arial" w:hAnsi="Arial"/>
          <w:b/>
          <w:bCs/>
          <w:color w:val="0000FF"/>
          <w:sz w:val="36"/>
          <w:szCs w:val="36"/>
        </w:rPr>
        <w:t>13. Statement of Applicability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Annex A controls applicable to this scope are recorded in the Statement of Applicability (ISMS-SOA-001 v4.0). The current SoA reflects the application of all 93 Annex A controls of ISO/IEC 27001:2022, with applicability and status documented for each.</w:t>
      </w:r>
    </w:p>
    <w:p>
      <w:pPr>
        <w:pStyle w:val="Heading1"/>
        <w:spacing w:before="360" w:after="180"/>
        <w:rPr/>
      </w:pPr>
      <w:r>
        <w:rPr>
          <w:rFonts w:eastAsia="Arial" w:cs="Arial" w:ascii="Arial" w:hAnsi="Arial"/>
          <w:b/>
          <w:bCs/>
          <w:color w:val="0000FF"/>
          <w:sz w:val="36"/>
          <w:szCs w:val="36"/>
        </w:rPr>
        <w:t>14.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Scope Statement is reviewed at least annually as part of management review, and at any point where there is a material change to the business, the products or services offered, the locations from which Cloudax operates, the technology underpinning the platform, the workforce, or the legal and regulatory environment.</w:t>
      </w:r>
    </w:p>
    <w:p>
      <w:pPr>
        <w:pStyle w:val="Normal"/>
        <w:spacing w:lineRule="exact" w:line="300" w:before="80" w:after="120"/>
        <w:rPr/>
      </w:pPr>
      <w:r>
        <w:rPr>
          <w:rFonts w:eastAsia="Arial" w:cs="Arial"/>
          <w:color w:val="1A1A1A"/>
          <w:sz w:val="22"/>
          <w:szCs w:val="22"/>
        </w:rPr>
        <w:t>Material changes are approved by the Chief Executive Officer and recorded in Annex B.</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27001:2022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27001:2022. The authoritative ISMS scope and Annex A control selection are recorded in the Statement of Applicability (ISMS-SOA-001 v4.0).</w:t>
      </w:r>
    </w:p>
    <w:tbl>
      <w:tblPr>
        <w:tblW w:w="9026" w:type="dxa"/>
        <w:jc w:val="start"/>
        <w:tblInd w:w="0" w:type="dxa"/>
        <w:tblLayout w:type="fixed"/>
        <w:tblCellMar>
          <w:top w:w="100" w:type="dxa"/>
          <w:start w:w="160" w:type="dxa"/>
          <w:bottom w:w="100" w:type="dxa"/>
          <w:end w:w="16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4.1</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Understanding the organization and its context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Sections 3, 4, 8 establish Cloudax’s context, products, and technology.</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4.2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Understanding the needs and expectations of interested parties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 12 identifies interested parties and their requirements.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4.3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Determining the scope of the ISMS</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The whole document. Sections 2, 4–11 set boundaries; Section 11 records exclusions.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4.4</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Information security management system</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20"/>
                <w:szCs w:val="20"/>
              </w:rPr>
              <w:t>Section 2 establishes the ISMS as a single, integrated system covering Cloudax operations.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6.1.3 (d)</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Statement of Applicability reference</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20"/>
                <w:szCs w:val="20"/>
              </w:rPr>
              <w:t>Section 13 references ISMS-SOA-001 v4.0 as the SoA for this scope.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ISMS-SCOPE-001 ISMS Scope Statement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ISMS-SCOPE-001 ISMS Scope Statement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2026-04-22T11:46:20Z</dcterms:created>
  <dc:creator>David Stokes</dc:creator>
  <dc:description/>
  <dc:language>en-US</dc:language>
  <cp:lastModifiedBy>David Stokes</cp:lastModifiedBy>
  <dcterms:modified xsi:type="dcterms:W3CDTF">2026-04-22T15:03:20Z</dcterms:modified>
  <cp:revision>1</cp:revision>
  <dc:subject/>
  <dc:title>Cloudax ISMS Scope Statement</dc:title>
</cp:coreProperties>
</file>

<file path=docProps/custom.xml><?xml version="1.0" encoding="utf-8"?>
<Properties xmlns="http://schemas.openxmlformats.org/officeDocument/2006/custom-properties" xmlns:vt="http://schemas.openxmlformats.org/officeDocument/2006/docPropsVTypes"/>
</file>