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Information Security Objectives</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ISMS-OBJ-001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Security Objectives</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Principles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Setting Objectives</w:t>
      </w:r>
    </w:p>
    <w:p>
      <w:pPr>
        <w:pStyle w:val="Normal"/>
        <w:spacing w:before="40" w:after="40"/>
        <w:rPr/>
      </w:pPr>
      <w:r>
        <w:rPr>
          <w:rFonts w:eastAsia="Arial" w:cs="Arial"/>
          <w:color w:val="1A1A1A"/>
          <w:sz w:val="22"/>
          <w:szCs w:val="22"/>
        </w:rPr>
        <w:t>6. Standing Objectives</w:t>
      </w:r>
    </w:p>
    <w:p>
      <w:pPr>
        <w:pStyle w:val="Normal"/>
        <w:spacing w:before="40" w:after="40"/>
        <w:rPr/>
      </w:pPr>
      <w:r>
        <w:rPr>
          <w:rFonts w:eastAsia="Arial" w:cs="Arial"/>
          <w:color w:val="1A1A1A"/>
          <w:sz w:val="22"/>
          <w:szCs w:val="22"/>
        </w:rPr>
        <w:t>7. Annual Objectives for the Current Cycle</w:t>
      </w:r>
    </w:p>
    <w:p>
      <w:pPr>
        <w:pStyle w:val="Normal"/>
        <w:spacing w:before="40" w:after="40"/>
        <w:rPr/>
      </w:pPr>
      <w:r>
        <w:rPr>
          <w:rFonts w:eastAsia="Arial" w:cs="Arial"/>
          <w:color w:val="1A1A1A"/>
          <w:sz w:val="22"/>
          <w:szCs w:val="22"/>
        </w:rPr>
        <w:t>8. Measurement and Reporting</w:t>
      </w:r>
    </w:p>
    <w:p>
      <w:pPr>
        <w:pStyle w:val="Normal"/>
        <w:spacing w:before="40" w:after="40"/>
        <w:rPr/>
      </w:pPr>
      <w:r>
        <w:rPr>
          <w:rFonts w:eastAsia="Arial" w:cs="Arial"/>
          <w:color w:val="1A1A1A"/>
          <w:sz w:val="22"/>
          <w:szCs w:val="22"/>
        </w:rPr>
        <w:t>9. Resourcing and Authority</w:t>
      </w:r>
    </w:p>
    <w:p>
      <w:pPr>
        <w:pStyle w:val="Normal"/>
        <w:spacing w:before="40" w:after="40"/>
        <w:rPr/>
      </w:pPr>
      <w:r>
        <w:rPr>
          <w:rFonts w:eastAsia="Arial" w:cs="Arial"/>
          <w:color w:val="1A1A1A"/>
          <w:sz w:val="22"/>
          <w:szCs w:val="22"/>
        </w:rPr>
        <w:t>10. Communication</w:t>
      </w:r>
    </w:p>
    <w:p>
      <w:pPr>
        <w:pStyle w:val="Normal"/>
        <w:spacing w:before="40" w:after="40"/>
        <w:rPr/>
      </w:pPr>
      <w:r>
        <w:rPr>
          <w:rFonts w:eastAsia="Arial" w:cs="Arial"/>
          <w:color w:val="1A1A1A"/>
          <w:sz w:val="22"/>
          <w:szCs w:val="22"/>
        </w:rPr>
        <w:t>11. Review and Refresh</w:t>
      </w:r>
    </w:p>
    <w:p>
      <w:pPr>
        <w:pStyle w:val="Normal"/>
        <w:spacing w:before="40" w:after="40"/>
        <w:rPr/>
      </w:pPr>
      <w:r>
        <w:rPr>
          <w:rFonts w:eastAsia="Arial" w:cs="Arial"/>
          <w:color w:val="1A1A1A"/>
          <w:sz w:val="22"/>
          <w:szCs w:val="22"/>
        </w:rPr>
        <w:t>12. Linkage to Risk and Continual Improvement</w:t>
      </w:r>
    </w:p>
    <w:p>
      <w:pPr>
        <w:pStyle w:val="Normal"/>
        <w:spacing w:before="40" w:after="40"/>
        <w:rPr/>
      </w:pPr>
      <w:r>
        <w:rPr>
          <w:rFonts w:eastAsia="Arial" w:cs="Arial"/>
          <w:color w:val="1A1A1A"/>
          <w:sz w:val="22"/>
          <w:szCs w:val="22"/>
        </w:rPr>
        <w:t>Annex A — ISO/IEC 27001:2022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records the information security objectives of the Cloudax ISMS, in accordance with ISO/IEC 27001:2022 Clause 6.2. The objectives establish the measurable outcomes the ISMS is designed to achieve, in support of the Information Security Policy (POL-001) and the Cloudax business strategy.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6.2 Information security objectives and planning to achieve them</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applies to the full scope of the Cloudax ISMS as defined in ISMS-SCOPE-001. Objectives are set at the organisation level and may be cascaded into team or function-level KPIs at the discretion of the responsible owner.</w:t>
      </w:r>
    </w:p>
    <w:p>
      <w:pPr>
        <w:pStyle w:val="Heading1"/>
        <w:spacing w:before="360" w:after="180"/>
        <w:rPr/>
      </w:pPr>
      <w:r>
        <w:rPr>
          <w:rFonts w:eastAsia="Arial" w:cs="Arial" w:ascii="Arial" w:hAnsi="Arial"/>
          <w:b/>
          <w:bCs/>
          <w:color w:val="0000FF"/>
          <w:sz w:val="36"/>
          <w:szCs w:val="36"/>
        </w:rPr>
        <w:t>3. Principles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color w:val="1A1A1A"/>
          <w:sz w:val="22"/>
          <w:szCs w:val="22"/>
        </w:rPr>
        <w:t>Objectives are consistent with the Information Security Policy.</w:t>
      </w:r>
    </w:p>
    <w:p>
      <w:pPr>
        <w:pStyle w:val="ListParagraph"/>
        <w:numPr>
          <w:ilvl w:val="0"/>
          <w:numId w:val="1"/>
        </w:numPr>
        <w:spacing w:lineRule="exact" w:line="280" w:before="40" w:after="40"/>
        <w:rPr/>
      </w:pPr>
      <w:r>
        <w:rPr>
          <w:rFonts w:eastAsia="Arial" w:cs="Arial"/>
          <w:color w:val="1A1A1A"/>
          <w:sz w:val="22"/>
          <w:szCs w:val="22"/>
        </w:rPr>
        <w:t>Objectives are measurable, where practicable, and have an identified owner.</w:t>
      </w:r>
    </w:p>
    <w:p>
      <w:pPr>
        <w:pStyle w:val="ListParagraph"/>
        <w:numPr>
          <w:ilvl w:val="0"/>
          <w:numId w:val="1"/>
        </w:numPr>
        <w:spacing w:lineRule="exact" w:line="280" w:before="40" w:after="40"/>
        <w:rPr/>
      </w:pPr>
      <w:r>
        <w:rPr>
          <w:rFonts w:eastAsia="Arial" w:cs="Arial"/>
          <w:color w:val="1A1A1A"/>
          <w:sz w:val="22"/>
          <w:szCs w:val="22"/>
        </w:rPr>
        <w:t>Objectives reflect Cloudax’s small size: a small number of focused outcomes, not a long list of indicators.</w:t>
      </w:r>
    </w:p>
    <w:p>
      <w:pPr>
        <w:pStyle w:val="ListParagraph"/>
        <w:numPr>
          <w:ilvl w:val="0"/>
          <w:numId w:val="1"/>
        </w:numPr>
        <w:spacing w:lineRule="exact" w:line="280" w:before="40" w:after="40"/>
        <w:rPr/>
      </w:pPr>
      <w:r>
        <w:rPr>
          <w:rFonts w:eastAsia="Arial" w:cs="Arial"/>
          <w:color w:val="1A1A1A"/>
          <w:sz w:val="22"/>
          <w:szCs w:val="22"/>
        </w:rPr>
        <w:t>Objectives are reviewed and refreshed annually, and updated when material change occurs.</w:t>
      </w:r>
    </w:p>
    <w:p>
      <w:pPr>
        <w:pStyle w:val="ListParagraph"/>
        <w:numPr>
          <w:ilvl w:val="0"/>
          <w:numId w:val="1"/>
        </w:numPr>
        <w:spacing w:lineRule="exact" w:line="280" w:before="40" w:after="40"/>
        <w:rPr/>
      </w:pPr>
      <w:r>
        <w:rPr>
          <w:rFonts w:eastAsia="Arial" w:cs="Arial"/>
          <w:color w:val="1A1A1A"/>
          <w:sz w:val="22"/>
          <w:szCs w:val="22"/>
        </w:rPr>
        <w:t>Progress is reported to management review and used to drive continual improvement.</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Executive Officer: approves the objectives and provides resources.</w:t>
      </w:r>
    </w:p>
    <w:p>
      <w:pPr>
        <w:pStyle w:val="ListParagraph"/>
        <w:numPr>
          <w:ilvl w:val="0"/>
          <w:numId w:val="1"/>
        </w:numPr>
        <w:spacing w:lineRule="exact" w:line="280" w:before="40" w:after="40"/>
        <w:rPr/>
      </w:pPr>
      <w:r>
        <w:rPr>
          <w:rFonts w:eastAsia="Arial" w:cs="Arial"/>
          <w:color w:val="1A1A1A"/>
          <w:sz w:val="22"/>
          <w:szCs w:val="22"/>
        </w:rPr>
        <w:t>Information Security Manager: owns this document; proposes objectives; tracks progress; reports to management review.</w:t>
      </w:r>
    </w:p>
    <w:p>
      <w:pPr>
        <w:pStyle w:val="ListParagraph"/>
        <w:numPr>
          <w:ilvl w:val="0"/>
          <w:numId w:val="1"/>
        </w:numPr>
        <w:spacing w:lineRule="exact" w:line="280" w:before="40" w:after="40"/>
        <w:rPr/>
      </w:pPr>
      <w:r>
        <w:rPr>
          <w:rFonts w:eastAsia="Arial" w:cs="Arial"/>
          <w:color w:val="1A1A1A"/>
          <w:sz w:val="22"/>
          <w:szCs w:val="22"/>
        </w:rPr>
        <w:t>Objective owners: deliver the assigned objective and report progress.</w:t>
      </w:r>
    </w:p>
    <w:p>
      <w:pPr>
        <w:pStyle w:val="ListParagraph"/>
        <w:numPr>
          <w:ilvl w:val="0"/>
          <w:numId w:val="1"/>
        </w:numPr>
        <w:spacing w:lineRule="exact" w:line="280" w:before="40" w:after="40"/>
        <w:rPr/>
      </w:pPr>
      <w:r>
        <w:rPr>
          <w:rFonts w:eastAsia="Arial" w:cs="Arial"/>
          <w:color w:val="1A1A1A"/>
          <w:sz w:val="22"/>
          <w:szCs w:val="22"/>
        </w:rPr>
        <w:t>All personnel: contribute to the objectives through their day-to-day work.</w:t>
      </w:r>
    </w:p>
    <w:p>
      <w:pPr>
        <w:pStyle w:val="Heading1"/>
        <w:spacing w:before="360" w:after="180"/>
        <w:rPr/>
      </w:pPr>
      <w:r>
        <w:rPr>
          <w:rFonts w:eastAsia="Arial" w:cs="Arial" w:ascii="Arial" w:hAnsi="Arial"/>
          <w:b/>
          <w:bCs/>
          <w:color w:val="0000FF"/>
          <w:sz w:val="36"/>
          <w:szCs w:val="36"/>
        </w:rPr>
        <w:t>5. Setting Objectives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Objectives are set with reference to:</w:t>
      </w:r>
    </w:p>
    <w:p>
      <w:pPr>
        <w:pStyle w:val="ListParagraph"/>
        <w:numPr>
          <w:ilvl w:val="0"/>
          <w:numId w:val="1"/>
        </w:numPr>
        <w:spacing w:lineRule="exact" w:line="280" w:before="40" w:after="40"/>
        <w:rPr/>
      </w:pPr>
      <w:r>
        <w:rPr>
          <w:rFonts w:eastAsia="Arial" w:cs="Arial"/>
          <w:color w:val="1A1A1A"/>
          <w:sz w:val="22"/>
          <w:szCs w:val="22"/>
        </w:rPr>
        <w:t>The Information Security Policy and the ISMS Scope Statement.</w:t>
      </w:r>
    </w:p>
    <w:p>
      <w:pPr>
        <w:pStyle w:val="ListParagraph"/>
        <w:numPr>
          <w:ilvl w:val="0"/>
          <w:numId w:val="1"/>
        </w:numPr>
        <w:spacing w:lineRule="exact" w:line="280" w:before="40" w:after="40"/>
        <w:rPr/>
      </w:pPr>
      <w:r>
        <w:rPr>
          <w:rFonts w:eastAsia="Arial" w:cs="Arial"/>
          <w:color w:val="1A1A1A"/>
          <w:sz w:val="22"/>
          <w:szCs w:val="22"/>
        </w:rPr>
        <w:t>Outputs from the Risk Assessment Methodology and the Risk Treatment Plan.</w:t>
      </w:r>
    </w:p>
    <w:p>
      <w:pPr>
        <w:pStyle w:val="ListParagraph"/>
        <w:numPr>
          <w:ilvl w:val="0"/>
          <w:numId w:val="1"/>
        </w:numPr>
        <w:spacing w:lineRule="exact" w:line="280" w:before="40" w:after="40"/>
        <w:rPr/>
      </w:pPr>
      <w:r>
        <w:rPr>
          <w:rFonts w:eastAsia="Arial" w:cs="Arial"/>
          <w:color w:val="1A1A1A"/>
          <w:sz w:val="22"/>
          <w:szCs w:val="22"/>
        </w:rPr>
        <w:t>Customer contractual commitments and regulatory obligations.</w:t>
      </w:r>
    </w:p>
    <w:p>
      <w:pPr>
        <w:pStyle w:val="ListParagraph"/>
        <w:numPr>
          <w:ilvl w:val="0"/>
          <w:numId w:val="1"/>
        </w:numPr>
        <w:spacing w:lineRule="exact" w:line="280" w:before="40" w:after="40"/>
        <w:rPr/>
      </w:pPr>
      <w:r>
        <w:rPr>
          <w:rFonts w:eastAsia="Arial" w:cs="Arial"/>
          <w:color w:val="1A1A1A"/>
          <w:sz w:val="22"/>
          <w:szCs w:val="22"/>
        </w:rPr>
        <w:t>Findings from the Internal Audit Programme (PROG-AUDIT-001), incidents, and management review.</w:t>
      </w:r>
    </w:p>
    <w:p>
      <w:pPr>
        <w:pStyle w:val="ListParagraph"/>
        <w:numPr>
          <w:ilvl w:val="0"/>
          <w:numId w:val="1"/>
        </w:numPr>
        <w:spacing w:lineRule="exact" w:line="280" w:before="40" w:after="40"/>
        <w:rPr/>
      </w:pPr>
      <w:r>
        <w:rPr>
          <w:rFonts w:eastAsia="Arial" w:cs="Arial"/>
          <w:color w:val="1A1A1A"/>
          <w:sz w:val="22"/>
          <w:szCs w:val="22"/>
        </w:rPr>
        <w:t>Relevant external benchmarks and threat trends.</w:t>
      </w:r>
    </w:p>
    <w:p>
      <w:pPr>
        <w:pStyle w:val="Normal"/>
        <w:spacing w:lineRule="exact" w:line="300" w:before="80" w:after="120"/>
        <w:rPr/>
      </w:pPr>
      <w:r>
        <w:rPr>
          <w:rFonts w:eastAsia="Arial" w:cs="Arial"/>
          <w:color w:val="1A1A1A"/>
          <w:sz w:val="22"/>
          <w:szCs w:val="22"/>
        </w:rPr>
        <w:t>Objectives are documented with: a clear outcome statement, a measurement, an owner, a target date, and a baseline where one exists.</w:t>
      </w:r>
    </w:p>
    <w:p>
      <w:pPr>
        <w:pStyle w:val="Heading1"/>
        <w:spacing w:before="360" w:after="180"/>
        <w:rPr/>
      </w:pPr>
      <w:r>
        <w:rPr>
          <w:rFonts w:eastAsia="Arial" w:cs="Arial" w:ascii="Arial" w:hAnsi="Arial"/>
          <w:b/>
          <w:bCs/>
          <w:color w:val="0000FF"/>
          <w:sz w:val="36"/>
          <w:szCs w:val="36"/>
        </w:rPr>
        <w:t>6. Standing Objectives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standing objectives apply to the ISMS continuously:</w:t>
      </w:r>
    </w:p>
    <w:p>
      <w:pPr>
        <w:pStyle w:val="ListParagraph"/>
        <w:numPr>
          <w:ilvl w:val="0"/>
          <w:numId w:val="1"/>
        </w:numPr>
        <w:spacing w:lineRule="exact" w:line="280" w:before="40" w:after="40"/>
        <w:rPr/>
      </w:pPr>
      <w:r>
        <w:rPr>
          <w:rFonts w:eastAsia="Arial" w:cs="Arial"/>
          <w:color w:val="1A1A1A"/>
          <w:sz w:val="22"/>
          <w:szCs w:val="22"/>
        </w:rPr>
        <w:t>Protect the confidentiality, integrity, and availability of customer information and Cloudax information assets.</w:t>
      </w:r>
    </w:p>
    <w:p>
      <w:pPr>
        <w:pStyle w:val="ListParagraph"/>
        <w:numPr>
          <w:ilvl w:val="0"/>
          <w:numId w:val="1"/>
        </w:numPr>
        <w:spacing w:lineRule="exact" w:line="280" w:before="40" w:after="40"/>
        <w:rPr/>
      </w:pPr>
      <w:r>
        <w:rPr>
          <w:rFonts w:eastAsia="Arial" w:cs="Arial"/>
          <w:color w:val="1A1A1A"/>
          <w:sz w:val="22"/>
          <w:szCs w:val="22"/>
        </w:rPr>
        <w:t>Maintain alignment with ISO/IEC 27001:2022 and the controls applicable under ISMS-SOA-001.</w:t>
      </w:r>
    </w:p>
    <w:p>
      <w:pPr>
        <w:pStyle w:val="ListParagraph"/>
        <w:numPr>
          <w:ilvl w:val="0"/>
          <w:numId w:val="1"/>
        </w:numPr>
        <w:spacing w:lineRule="exact" w:line="280" w:before="40" w:after="40"/>
        <w:rPr/>
      </w:pPr>
      <w:r>
        <w:rPr>
          <w:rFonts w:eastAsia="Arial" w:cs="Arial"/>
          <w:color w:val="1A1A1A"/>
          <w:sz w:val="22"/>
          <w:szCs w:val="22"/>
        </w:rPr>
        <w:t>Comply with applicable legal, regulatory, and contractual requirements, including the UK GDPR, the Data Protection Act 2018, and customer contracts.</w:t>
      </w:r>
    </w:p>
    <w:p>
      <w:pPr>
        <w:pStyle w:val="ListParagraph"/>
        <w:numPr>
          <w:ilvl w:val="0"/>
          <w:numId w:val="1"/>
        </w:numPr>
        <w:spacing w:lineRule="exact" w:line="280" w:before="40" w:after="40"/>
        <w:rPr/>
      </w:pPr>
      <w:r>
        <w:rPr>
          <w:rFonts w:eastAsia="Arial" w:cs="Arial"/>
          <w:color w:val="1A1A1A"/>
          <w:sz w:val="22"/>
          <w:szCs w:val="22"/>
        </w:rPr>
        <w:t>Identify, treat, and monitor information security risks under ISMS-RA-001.</w:t>
      </w:r>
    </w:p>
    <w:p>
      <w:pPr>
        <w:pStyle w:val="ListParagraph"/>
        <w:numPr>
          <w:ilvl w:val="0"/>
          <w:numId w:val="1"/>
        </w:numPr>
        <w:spacing w:lineRule="exact" w:line="280" w:before="40" w:after="40"/>
        <w:rPr/>
      </w:pPr>
      <w:r>
        <w:rPr>
          <w:rFonts w:eastAsia="Arial" w:cs="Arial"/>
          <w:color w:val="1A1A1A"/>
          <w:sz w:val="22"/>
          <w:szCs w:val="22"/>
        </w:rPr>
        <w:t>Detect, respond to, and learn from information security events under PLAN-IRP-001.</w:t>
      </w:r>
    </w:p>
    <w:p>
      <w:pPr>
        <w:pStyle w:val="ListParagraph"/>
        <w:numPr>
          <w:ilvl w:val="0"/>
          <w:numId w:val="1"/>
        </w:numPr>
        <w:spacing w:lineRule="exact" w:line="280" w:before="40" w:after="40"/>
        <w:rPr/>
      </w:pPr>
      <w:r>
        <w:rPr>
          <w:rFonts w:eastAsia="Arial" w:cs="Arial"/>
          <w:color w:val="1A1A1A"/>
          <w:sz w:val="22"/>
          <w:szCs w:val="22"/>
        </w:rPr>
        <w:t>Continually improve the ISMS in line with management review and incident learning.</w:t>
      </w:r>
    </w:p>
    <w:p>
      <w:pPr>
        <w:pStyle w:val="Normal"/>
        <w:spacing w:lineRule="exact" w:line="300" w:before="80" w:after="120"/>
        <w:rPr/>
      </w:pPr>
      <w:r>
        <w:rPr>
          <w:rFonts w:eastAsia="Arial" w:cs="Arial"/>
          <w:color w:val="1A1A1A"/>
          <w:sz w:val="22"/>
          <w:szCs w:val="22"/>
        </w:rPr>
        <w:t>Standing objectives are not time-bound and remain in force across review cycles.</w:t>
      </w:r>
    </w:p>
    <w:p>
      <w:pPr>
        <w:pStyle w:val="Heading1"/>
        <w:spacing w:before="360" w:after="180"/>
        <w:rPr/>
      </w:pPr>
      <w:r>
        <w:rPr>
          <w:rFonts w:eastAsia="Arial" w:cs="Arial" w:ascii="Arial" w:hAnsi="Arial"/>
          <w:b/>
          <w:bCs/>
          <w:color w:val="0000FF"/>
          <w:sz w:val="36"/>
          <w:szCs w:val="36"/>
        </w:rPr>
        <w:t>7. Annual Objectives for the Current Cycle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objectives apply to the cycle running from April 2026 to April 2027. They are measurable, owned, and reported against quarterly. Each objective traces to the Information Security Policy, the Risk Treatment Plan, and management commitments.</w:t>
      </w:r>
    </w:p>
    <w:p>
      <w:pPr>
        <w:pStyle w:val="Normal"/>
        <w:spacing w:before="60" w:after="60"/>
        <w:rPr/>
      </w:pPr>
      <w:r>
        <w:rPr/>
      </w:r>
    </w:p>
    <w:tbl>
      <w:tblPr>
        <w:tblW w:w="9026" w:type="dxa"/>
        <w:jc w:val="start"/>
        <w:tblInd w:w="0" w:type="dxa"/>
        <w:tblLayout w:type="fixed"/>
        <w:tblCellMar>
          <w:top w:w="100" w:type="dxa"/>
          <w:start w:w="160" w:type="dxa"/>
          <w:bottom w:w="100" w:type="dxa"/>
          <w:end w:w="160" w:type="dxa"/>
        </w:tblCellMar>
      </w:tblPr>
      <w:tblGrid>
        <w:gridCol w:w="399"/>
        <w:gridCol w:w="2400"/>
        <w:gridCol w:w="2201"/>
        <w:gridCol w:w="2226"/>
        <w:gridCol w:w="1800"/>
      </w:tblGrid>
      <w:tr>
        <w:trPr>
          <w:tblHeader w:val="true"/>
        </w:trPr>
        <w:tc>
          <w:tcPr>
            <w:tcW w:w="3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OBJECTIVE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MEASURE / KPI</w:t>
            </w:r>
          </w:p>
        </w:tc>
        <w:tc>
          <w:tcPr>
            <w:tcW w:w="22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TARGET</w:t>
            </w:r>
          </w:p>
        </w:tc>
        <w:tc>
          <w:tcPr>
            <w:tcW w:w="1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OWNER</w:t>
            </w:r>
          </w:p>
        </w:tc>
      </w:tr>
      <w:tr>
        <w:trPr/>
        <w:tc>
          <w:tcPr>
            <w:tcW w:w="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Achieve ISO/IEC 27001:2022 certification readiness for the Cloudax platform.</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Stage 1 audit readiness checklist; Stage 2 audit outcome.</w:t>
            </w:r>
          </w:p>
        </w:tc>
        <w:tc>
          <w:tcPr>
            <w:tcW w:w="22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Pass Stage 1 in calendar year 2026; pass Stage 2 by end of cycle.</w:t>
            </w:r>
          </w:p>
        </w:tc>
        <w:tc>
          <w:tcPr>
            <w:tcW w:w="1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Manager</w:t>
            </w:r>
          </w:p>
        </w:tc>
      </w:tr>
      <w:tr>
        <w:trPr/>
        <w:tc>
          <w:tcPr>
            <w:tcW w:w="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Maintain effective access controls across all in-scope systems.</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 systems with MFA enforced; quarterly access review completion rate.</w:t>
            </w:r>
          </w:p>
        </w:tc>
        <w:tc>
          <w:tcPr>
            <w:tcW w:w="22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100% / 100%.</w:t>
            </w:r>
          </w:p>
        </w:tc>
        <w:tc>
          <w:tcPr>
            <w:tcW w:w="1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CTO</w:t>
            </w:r>
          </w:p>
        </w:tc>
      </w:tr>
      <w:tr>
        <w:trPr/>
        <w:tc>
          <w:tcPr>
            <w:tcW w:w="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Reduce the time to detect and respond to information security incidents.</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Mean time to detect; mean time to respond, derived from PLAN-IRP-001 records.</w:t>
            </w:r>
          </w:p>
        </w:tc>
        <w:tc>
          <w:tcPr>
            <w:tcW w:w="22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Track and improve quarter-on-quarter; baseline established Q1.</w:t>
            </w:r>
          </w:p>
        </w:tc>
        <w:tc>
          <w:tcPr>
            <w:tcW w:w="1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Manager</w:t>
            </w:r>
          </w:p>
        </w:tc>
      </w:tr>
      <w:tr>
        <w:trPr/>
        <w:tc>
          <w:tcPr>
            <w:tcW w:w="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4</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Maintain a current and complete record of information assets and processing activities.</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REG-IAR-001 review status; REG-ROPA-001 review status.</w:t>
            </w:r>
          </w:p>
        </w:tc>
        <w:tc>
          <w:tcPr>
            <w:tcW w:w="22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Reviewed and signed off at least quarterly; gaps closed within 30 days.</w:t>
            </w:r>
          </w:p>
        </w:tc>
        <w:tc>
          <w:tcPr>
            <w:tcW w:w="1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Privacy Lead / Information Security Manager</w:t>
            </w:r>
          </w:p>
        </w:tc>
      </w:tr>
      <w:tr>
        <w:trPr/>
        <w:tc>
          <w:tcPr>
            <w:tcW w:w="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5</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Train all personnel on information security and data protection.</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PROG-TRAIN-001 completion rate at induction and annual refresh; phishing simulation outcomes.</w:t>
            </w:r>
          </w:p>
        </w:tc>
        <w:tc>
          <w:tcPr>
            <w:tcW w:w="22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100% completion within 30 days of due date; phishing click rate target tracked and improved.</w:t>
            </w:r>
          </w:p>
        </w:tc>
        <w:tc>
          <w:tcPr>
            <w:tcW w:w="1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Manager</w:t>
            </w:r>
          </w:p>
        </w:tc>
      </w:tr>
      <w:tr>
        <w:trPr/>
        <w:tc>
          <w:tcPr>
            <w:tcW w:w="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6</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Manage technical vulnerabilities within defined SLAs.</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 Critical vulnerabilities remediated within SLA; % High remediated within SLA.</w:t>
            </w:r>
          </w:p>
        </w:tc>
        <w:tc>
          <w:tcPr>
            <w:tcW w:w="22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100% Critical / ≥ 95% High.</w:t>
            </w:r>
          </w:p>
        </w:tc>
        <w:tc>
          <w:tcPr>
            <w:tcW w:w="1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CTO</w:t>
            </w:r>
          </w:p>
        </w:tc>
      </w:tr>
      <w:tr>
        <w:trPr/>
        <w:tc>
          <w:tcPr>
            <w:tcW w:w="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7</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Operate a robust supplier security assurance programme.</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 Tier 1 suppliers with current assurance evidence; sub-processor list current and shared with customers per DPA.</w:t>
            </w:r>
          </w:p>
        </w:tc>
        <w:tc>
          <w:tcPr>
            <w:tcW w:w="22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100% / current to within 30 days.</w:t>
            </w:r>
          </w:p>
        </w:tc>
        <w:tc>
          <w:tcPr>
            <w:tcW w:w="1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Manager</w:t>
            </w:r>
          </w:p>
        </w:tc>
      </w:tr>
      <w:tr>
        <w:trPr/>
        <w:tc>
          <w:tcPr>
            <w:tcW w:w="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8</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Test backup, business continuity, and incident response capability.</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Annual restoration test; annual BCP/DRP exercise; annual incident response tabletop.</w:t>
            </w:r>
          </w:p>
        </w:tc>
        <w:tc>
          <w:tcPr>
            <w:tcW w:w="22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All three completed in cycle; findings tracked to closure.</w:t>
            </w:r>
          </w:p>
        </w:tc>
        <w:tc>
          <w:tcPr>
            <w:tcW w:w="1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CTO / Information Security Manager</w:t>
            </w:r>
          </w:p>
        </w:tc>
      </w:tr>
    </w:tbl>
    <w:p>
      <w:pPr>
        <w:pStyle w:val="Normal"/>
        <w:spacing w:lineRule="exact" w:line="300" w:before="80" w:after="120"/>
        <w:rPr/>
      </w:pPr>
      <w:r>
        <w:rPr>
          <w:rFonts w:eastAsia="Arial" w:cs="Arial"/>
          <w:color w:val="1A1A1A"/>
          <w:sz w:val="22"/>
          <w:szCs w:val="22"/>
        </w:rPr>
        <w:t>Detailed measures, baselines, dependencies, and quarterly progress are recorded in the Information Security Objectives Register, which the Information Security Manager updates and presents at management review.</w:t>
      </w:r>
    </w:p>
    <w:p>
      <w:pPr>
        <w:pStyle w:val="Heading1"/>
        <w:spacing w:before="360" w:after="180"/>
        <w:rPr/>
      </w:pPr>
      <w:r>
        <w:rPr>
          <w:rFonts w:eastAsia="Arial" w:cs="Arial" w:ascii="Arial" w:hAnsi="Arial"/>
          <w:b/>
          <w:bCs/>
          <w:color w:val="0000FF"/>
          <w:sz w:val="36"/>
          <w:szCs w:val="36"/>
        </w:rPr>
        <w:t>8. Measurement and Reporting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objective has a defined measure or KPI and a target.</w:t>
      </w:r>
    </w:p>
    <w:p>
      <w:pPr>
        <w:pStyle w:val="ListParagraph"/>
        <w:numPr>
          <w:ilvl w:val="0"/>
          <w:numId w:val="1"/>
        </w:numPr>
        <w:spacing w:lineRule="exact" w:line="280" w:before="40" w:after="40"/>
        <w:rPr/>
      </w:pPr>
      <w:r>
        <w:rPr>
          <w:rFonts w:eastAsia="Arial" w:cs="Arial"/>
          <w:color w:val="1A1A1A"/>
          <w:sz w:val="22"/>
          <w:szCs w:val="22"/>
        </w:rPr>
        <w:t>Progress is recorded by the objective owner and consolidated by the Information Security Manager.</w:t>
      </w:r>
    </w:p>
    <w:p>
      <w:pPr>
        <w:pStyle w:val="ListParagraph"/>
        <w:numPr>
          <w:ilvl w:val="0"/>
          <w:numId w:val="1"/>
        </w:numPr>
        <w:spacing w:lineRule="exact" w:line="280" w:before="40" w:after="40"/>
        <w:rPr/>
      </w:pPr>
      <w:r>
        <w:rPr>
          <w:rFonts w:eastAsia="Arial" w:cs="Arial"/>
          <w:color w:val="1A1A1A"/>
          <w:sz w:val="22"/>
          <w:szCs w:val="22"/>
        </w:rPr>
        <w:t>Progress against all objectives is reported to management review at least every six months.</w:t>
      </w:r>
    </w:p>
    <w:p>
      <w:pPr>
        <w:pStyle w:val="ListParagraph"/>
        <w:numPr>
          <w:ilvl w:val="0"/>
          <w:numId w:val="1"/>
        </w:numPr>
        <w:spacing w:lineRule="exact" w:line="280" w:before="40" w:after="40"/>
        <w:rPr/>
      </w:pPr>
      <w:r>
        <w:rPr>
          <w:rFonts w:eastAsia="Arial" w:cs="Arial"/>
          <w:color w:val="1A1A1A"/>
          <w:sz w:val="22"/>
          <w:szCs w:val="22"/>
        </w:rPr>
        <w:t>Significant slippage is escalated promptly; the Chief Executive Officer is informed and may revise the objective, the resourcing, or the target.</w:t>
      </w:r>
    </w:p>
    <w:p>
      <w:pPr>
        <w:pStyle w:val="Heading1"/>
        <w:spacing w:before="360" w:after="180"/>
        <w:rPr/>
      </w:pPr>
      <w:r>
        <w:rPr>
          <w:rFonts w:eastAsia="Arial" w:cs="Arial" w:ascii="Arial" w:hAnsi="Arial"/>
          <w:b/>
          <w:bCs/>
          <w:color w:val="0000FF"/>
          <w:sz w:val="36"/>
          <w:szCs w:val="36"/>
        </w:rPr>
        <w:t>9. Resourcing and Authority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resources required to achieve each objective — personnel, time, budget, and tooling — are agreed as part of the annual planning cycle and confirmed by the Chief Executive Officer. Where additional resources are needed in-cycle, the objective owner raises a request through the management review or directly to the Chief Executive Officer.</w:t>
      </w:r>
    </w:p>
    <w:p>
      <w:pPr>
        <w:pStyle w:val="Heading1"/>
        <w:spacing w:before="360" w:after="180"/>
        <w:rPr/>
      </w:pPr>
      <w:r>
        <w:rPr>
          <w:rFonts w:eastAsia="Arial" w:cs="Arial" w:ascii="Arial" w:hAnsi="Arial"/>
          <w:b/>
          <w:bCs/>
          <w:color w:val="0000FF"/>
          <w:sz w:val="36"/>
          <w:szCs w:val="36"/>
        </w:rPr>
        <w:t>10. Communication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Standing and current-cycle objectives are communicated to all personnel through the ISMS document repository and at induction.</w:t>
      </w:r>
    </w:p>
    <w:p>
      <w:pPr>
        <w:pStyle w:val="ListParagraph"/>
        <w:numPr>
          <w:ilvl w:val="0"/>
          <w:numId w:val="1"/>
        </w:numPr>
        <w:spacing w:lineRule="exact" w:line="280" w:before="40" w:after="40"/>
        <w:rPr/>
      </w:pPr>
      <w:r>
        <w:rPr>
          <w:rFonts w:eastAsia="Arial" w:cs="Arial"/>
          <w:color w:val="1A1A1A"/>
          <w:sz w:val="22"/>
          <w:szCs w:val="22"/>
        </w:rPr>
        <w:t>Progress against objectives is shared with personnel through internal communications at least quarterly.</w:t>
      </w:r>
    </w:p>
    <w:p>
      <w:pPr>
        <w:pStyle w:val="ListParagraph"/>
        <w:numPr>
          <w:ilvl w:val="0"/>
          <w:numId w:val="1"/>
        </w:numPr>
        <w:spacing w:lineRule="exact" w:line="280" w:before="40" w:after="40"/>
        <w:rPr/>
      </w:pPr>
      <w:r>
        <w:rPr>
          <w:rFonts w:eastAsia="Arial" w:cs="Arial"/>
          <w:color w:val="1A1A1A"/>
          <w:sz w:val="22"/>
          <w:szCs w:val="22"/>
        </w:rPr>
        <w:t>Where appropriate, objectives are shared with customers, suppliers, and certification bodies.</w:t>
      </w:r>
    </w:p>
    <w:p>
      <w:pPr>
        <w:pStyle w:val="Heading1"/>
        <w:spacing w:before="360" w:after="180"/>
        <w:rPr/>
      </w:pPr>
      <w:r>
        <w:rPr>
          <w:rFonts w:eastAsia="Arial" w:cs="Arial" w:ascii="Arial" w:hAnsi="Arial"/>
          <w:b/>
          <w:bCs/>
          <w:color w:val="0000FF"/>
          <w:sz w:val="36"/>
          <w:szCs w:val="36"/>
        </w:rPr>
        <w:t>11. Review and Refresh</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Standing objectives are reviewed at least annually by the Information Security Manager and refreshed where the policy or ISMS scope has changed.</w:t>
      </w:r>
    </w:p>
    <w:p>
      <w:pPr>
        <w:pStyle w:val="ListParagraph"/>
        <w:numPr>
          <w:ilvl w:val="0"/>
          <w:numId w:val="1"/>
        </w:numPr>
        <w:spacing w:lineRule="exact" w:line="280" w:before="40" w:after="40"/>
        <w:rPr/>
      </w:pPr>
      <w:r>
        <w:rPr>
          <w:rFonts w:eastAsia="Arial" w:cs="Arial"/>
          <w:color w:val="1A1A1A"/>
          <w:sz w:val="22"/>
          <w:szCs w:val="22"/>
        </w:rPr>
        <w:t>Annual objectives are set at the start of each cycle, reviewed at six months, and closed out at year end.</w:t>
      </w:r>
    </w:p>
    <w:p>
      <w:pPr>
        <w:pStyle w:val="ListParagraph"/>
        <w:numPr>
          <w:ilvl w:val="0"/>
          <w:numId w:val="1"/>
        </w:numPr>
        <w:spacing w:lineRule="exact" w:line="280" w:before="40" w:after="40"/>
        <w:rPr/>
      </w:pPr>
      <w:r>
        <w:rPr>
          <w:rFonts w:eastAsia="Arial" w:cs="Arial"/>
          <w:color w:val="1A1A1A"/>
          <w:sz w:val="22"/>
          <w:szCs w:val="22"/>
        </w:rPr>
        <w:t>Objectives are updated mid-cycle where material change requires it (e.g. a new customer obligation, a new regulation, a significant incident, or a change in the threat landscape).</w:t>
      </w:r>
    </w:p>
    <w:p>
      <w:pPr>
        <w:pStyle w:val="Heading1"/>
        <w:spacing w:before="360" w:after="180"/>
        <w:rPr/>
      </w:pPr>
      <w:r>
        <w:rPr>
          <w:rFonts w:eastAsia="Arial" w:cs="Arial" w:ascii="Arial" w:hAnsi="Arial"/>
          <w:b/>
          <w:bCs/>
          <w:color w:val="0000FF"/>
          <w:sz w:val="36"/>
          <w:szCs w:val="36"/>
        </w:rPr>
        <w:t>12. Linkage to Risk and Continual Improvement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Objectives are derived from and feed back into the risk management and continual improvement processes:</w:t>
      </w:r>
    </w:p>
    <w:p>
      <w:pPr>
        <w:pStyle w:val="ListParagraph"/>
        <w:numPr>
          <w:ilvl w:val="0"/>
          <w:numId w:val="1"/>
        </w:numPr>
        <w:spacing w:lineRule="exact" w:line="280" w:before="40" w:after="40"/>
        <w:rPr/>
      </w:pPr>
      <w:r>
        <w:rPr>
          <w:rFonts w:eastAsia="Arial" w:cs="Arial"/>
          <w:color w:val="1A1A1A"/>
          <w:sz w:val="22"/>
          <w:szCs w:val="22"/>
        </w:rPr>
        <w:t>Treatments in the Risk Treatment Plan (ISMS-RTP-001) typically generate objectives where they are material and time-bound.</w:t>
      </w:r>
    </w:p>
    <w:p>
      <w:pPr>
        <w:pStyle w:val="ListParagraph"/>
        <w:numPr>
          <w:ilvl w:val="0"/>
          <w:numId w:val="1"/>
        </w:numPr>
        <w:spacing w:lineRule="exact" w:line="280" w:before="40" w:after="40"/>
        <w:rPr/>
      </w:pPr>
      <w:r>
        <w:rPr>
          <w:rFonts w:eastAsia="Arial" w:cs="Arial"/>
          <w:color w:val="1A1A1A"/>
          <w:sz w:val="22"/>
          <w:szCs w:val="22"/>
        </w:rPr>
        <w:t>Findings from PROG-AUDIT-001, incidents, and management review can give rise to new or revised objectives.</w:t>
      </w:r>
    </w:p>
    <w:p>
      <w:pPr>
        <w:pStyle w:val="ListParagraph"/>
        <w:numPr>
          <w:ilvl w:val="0"/>
          <w:numId w:val="1"/>
        </w:numPr>
        <w:spacing w:lineRule="exact" w:line="280" w:before="40" w:after="40"/>
        <w:rPr/>
      </w:pPr>
      <w:r>
        <w:rPr>
          <w:rFonts w:eastAsia="Arial" w:cs="Arial"/>
          <w:color w:val="1A1A1A"/>
          <w:sz w:val="22"/>
          <w:szCs w:val="22"/>
        </w:rPr>
        <w:t>Closure of objectives feeds the closure of corresponding risks and the corrective action register (REG-CAR-001).</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27001:2022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27001:2022. The authoritative ISMS scope and Annex A control selection are recorded in the Statement of Applicability (ISMS-SOA-001 v4.0).</w:t>
      </w:r>
    </w:p>
    <w:tbl>
      <w:tblPr>
        <w:tblW w:w="9026" w:type="dxa"/>
        <w:jc w:val="start"/>
        <w:tblInd w:w="0" w:type="dxa"/>
        <w:tblLayout w:type="fixed"/>
        <w:tblCellMar>
          <w:top w:w="100" w:type="dxa"/>
          <w:start w:w="160" w:type="dxa"/>
          <w:bottom w:w="100" w:type="dxa"/>
          <w:end w:w="16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5.2 (b)</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policy provides the framework for setting objectives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Objectives are derived from POL-001 (Section 5).</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6.2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Information security objectives and planning to achieve them</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The whole document. Sections 5–9 cover setting, measurement, and resourcing.</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7.4</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Communication</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 10 covers internal and external communication of objectives.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9.1</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Monitoring, measurement, analysis and evaluation</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8 establishes measurement and reporting.</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9.3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Management review</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Sections 8 and 11 link reporting and refresh to management review.</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10.1</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Continual improvement</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12 links objectives to continual improvement and risk treatment.</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ISMS-OBJ-001 Information Security Objectives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ISMS-OBJ-001 Information Security Objectives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2026-04-20T07:45:32Z</dcterms:created>
  <dc:creator>David Stokes</dc:creator>
  <dc:description/>
  <dc:language>en-US</dc:language>
  <cp:lastModifiedBy>David Stokes</cp:lastModifiedBy>
  <dcterms:modified xsi:type="dcterms:W3CDTF">2026-04-20T11:43:32Z</dcterms:modified>
  <cp:revision>1</cp:revision>
  <dc:subject/>
  <dc:title>Cloudax Information Security Objectives</dc:title>
</cp:coreProperties>
</file>

<file path=docProps/custom.xml><?xml version="1.0" encoding="utf-8"?>
<Properties xmlns="http://schemas.openxmlformats.org/officeDocument/2006/custom-properties" xmlns:vt="http://schemas.openxmlformats.org/officeDocument/2006/docPropsVTypes"/>
</file>