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Risk Assessment Methodology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ISMS-RA-001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Risk Assessment Methodology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Risk Management Process</w:t>
      </w:r>
    </w:p>
    <w:p>
      <w:pPr>
        <w:pStyle w:val="Normal"/>
        <w:spacing w:before="40" w:after="40"/>
        <w:rPr/>
      </w:pPr>
      <w:r>
        <w:rPr>
          <w:rFonts w:eastAsia="Arial" w:cs="Arial"/>
          <w:color w:val="1A1A1A"/>
          <w:sz w:val="22"/>
          <w:szCs w:val="22"/>
        </w:rPr>
        <w:t>7. Establishing the Context</w:t>
      </w:r>
    </w:p>
    <w:p>
      <w:pPr>
        <w:pStyle w:val="Normal"/>
        <w:spacing w:before="40" w:after="40"/>
        <w:rPr/>
      </w:pPr>
      <w:r>
        <w:rPr>
          <w:rFonts w:eastAsia="Arial" w:cs="Arial"/>
          <w:color w:val="1A1A1A"/>
          <w:sz w:val="22"/>
          <w:szCs w:val="22"/>
        </w:rPr>
        <w:t>8. Risk Identification</w:t>
      </w:r>
    </w:p>
    <w:p>
      <w:pPr>
        <w:pStyle w:val="Normal"/>
        <w:spacing w:before="40" w:after="40"/>
        <w:rPr/>
      </w:pPr>
      <w:r>
        <w:rPr>
          <w:rFonts w:eastAsia="Arial" w:cs="Arial"/>
          <w:color w:val="1A1A1A"/>
          <w:sz w:val="22"/>
          <w:szCs w:val="22"/>
        </w:rPr>
        <w:t>9. Risk Analysis</w:t>
      </w:r>
    </w:p>
    <w:p>
      <w:pPr>
        <w:pStyle w:val="Normal"/>
        <w:spacing w:before="40" w:after="40"/>
        <w:rPr/>
      </w:pPr>
      <w:r>
        <w:rPr>
          <w:rFonts w:eastAsia="Arial" w:cs="Arial"/>
          <w:color w:val="1A1A1A"/>
          <w:sz w:val="22"/>
          <w:szCs w:val="22"/>
        </w:rPr>
        <w:t xml:space="preserve">   </w:t>
      </w:r>
      <w:r>
        <w:rPr>
          <w:rFonts w:eastAsia="Arial" w:cs="Arial"/>
          <w:color w:val="1A1A1A"/>
          <w:sz w:val="22"/>
          <w:szCs w:val="22"/>
        </w:rPr>
        <w:t>9.1 Likelihood Scale</w:t>
      </w:r>
    </w:p>
    <w:p>
      <w:pPr>
        <w:pStyle w:val="Normal"/>
        <w:spacing w:before="40" w:after="40"/>
        <w:rPr/>
      </w:pPr>
      <w:r>
        <w:rPr>
          <w:rFonts w:eastAsia="Arial" w:cs="Arial"/>
          <w:color w:val="1A1A1A"/>
          <w:sz w:val="22"/>
          <w:szCs w:val="22"/>
        </w:rPr>
        <w:t xml:space="preserve">   </w:t>
      </w:r>
      <w:r>
        <w:rPr>
          <w:rFonts w:eastAsia="Arial" w:cs="Arial"/>
          <w:color w:val="1A1A1A"/>
          <w:sz w:val="22"/>
          <w:szCs w:val="22"/>
        </w:rPr>
        <w:t>9.2 Impact Scale</w:t>
      </w:r>
    </w:p>
    <w:p>
      <w:pPr>
        <w:pStyle w:val="Normal"/>
        <w:spacing w:before="40" w:after="40"/>
        <w:rPr/>
      </w:pPr>
      <w:r>
        <w:rPr>
          <w:rFonts w:eastAsia="Arial" w:cs="Arial"/>
          <w:color w:val="1A1A1A"/>
          <w:sz w:val="22"/>
          <w:szCs w:val="22"/>
        </w:rPr>
        <w:t xml:space="preserve">   </w:t>
      </w:r>
      <w:r>
        <w:rPr>
          <w:rFonts w:eastAsia="Arial" w:cs="Arial"/>
          <w:color w:val="1A1A1A"/>
          <w:sz w:val="22"/>
          <w:szCs w:val="22"/>
        </w:rPr>
        <w:t>9.3 Risk Score Calculation</w:t>
      </w:r>
    </w:p>
    <w:p>
      <w:pPr>
        <w:pStyle w:val="Normal"/>
        <w:spacing w:before="40" w:after="40"/>
        <w:rPr/>
      </w:pPr>
      <w:r>
        <w:rPr>
          <w:rFonts w:eastAsia="Arial" w:cs="Arial"/>
          <w:color w:val="1A1A1A"/>
          <w:sz w:val="22"/>
          <w:szCs w:val="22"/>
        </w:rPr>
        <w:t>10. Risk Evaluation and the Risk Acceptance Criteria</w:t>
      </w:r>
    </w:p>
    <w:p>
      <w:pPr>
        <w:pStyle w:val="Normal"/>
        <w:spacing w:before="40" w:after="40"/>
        <w:rPr/>
      </w:pPr>
      <w:r>
        <w:rPr>
          <w:rFonts w:eastAsia="Arial" w:cs="Arial"/>
          <w:color w:val="1A1A1A"/>
          <w:sz w:val="22"/>
          <w:szCs w:val="22"/>
        </w:rPr>
        <w:t>11. Risk Treatment Options</w:t>
      </w:r>
    </w:p>
    <w:p>
      <w:pPr>
        <w:pStyle w:val="Normal"/>
        <w:spacing w:before="40" w:after="40"/>
        <w:rPr/>
      </w:pPr>
      <w:r>
        <w:rPr>
          <w:rFonts w:eastAsia="Arial" w:cs="Arial"/>
          <w:color w:val="1A1A1A"/>
          <w:sz w:val="22"/>
          <w:szCs w:val="22"/>
        </w:rPr>
        <w:t>12. Risk Treatment Plan and the Statement of Applicability</w:t>
      </w:r>
    </w:p>
    <w:p>
      <w:pPr>
        <w:pStyle w:val="Normal"/>
        <w:spacing w:before="40" w:after="40"/>
        <w:rPr/>
      </w:pPr>
      <w:r>
        <w:rPr>
          <w:rFonts w:eastAsia="Arial" w:cs="Arial"/>
          <w:color w:val="1A1A1A"/>
          <w:sz w:val="22"/>
          <w:szCs w:val="22"/>
        </w:rPr>
        <w:t>13. Acceptance of Residual Risk</w:t>
      </w:r>
    </w:p>
    <w:p>
      <w:pPr>
        <w:pStyle w:val="Normal"/>
        <w:spacing w:before="40" w:after="40"/>
        <w:rPr/>
      </w:pPr>
      <w:r>
        <w:rPr>
          <w:rFonts w:eastAsia="Arial" w:cs="Arial"/>
          <w:color w:val="1A1A1A"/>
          <w:sz w:val="22"/>
          <w:szCs w:val="22"/>
        </w:rPr>
        <w:t>14. Risk Monitoring and Review</w:t>
      </w:r>
    </w:p>
    <w:p>
      <w:pPr>
        <w:pStyle w:val="Normal"/>
        <w:spacing w:before="40" w:after="40"/>
        <w:rPr/>
      </w:pPr>
      <w:r>
        <w:rPr>
          <w:rFonts w:eastAsia="Arial" w:cs="Arial"/>
          <w:color w:val="1A1A1A"/>
          <w:sz w:val="22"/>
          <w:szCs w:val="22"/>
        </w:rPr>
        <w:t>15. Documentation and Records</w:t>
      </w:r>
    </w:p>
    <w:p>
      <w:pPr>
        <w:pStyle w:val="Normal"/>
        <w:spacing w:before="40" w:after="40"/>
        <w:rPr/>
      </w:pPr>
      <w:r>
        <w:rPr>
          <w:rFonts w:eastAsia="Arial" w:cs="Arial"/>
          <w:color w:val="1A1A1A"/>
          <w:sz w:val="22"/>
          <w:szCs w:val="22"/>
        </w:rPr>
        <w:t>16. Review and Maintenance</w:t>
      </w:r>
    </w:p>
    <w:p>
      <w:pPr>
        <w:pStyle w:val="Normal"/>
        <w:spacing w:before="40" w:after="40"/>
        <w:rPr/>
      </w:pPr>
      <w:r>
        <w:rPr>
          <w:rFonts w:eastAsia="Arial" w:cs="Arial"/>
          <w:color w:val="1A1A1A"/>
          <w:sz w:val="22"/>
          <w:szCs w:val="22"/>
        </w:rPr>
        <w:t>Annex A — ISO/IEC 27001:2022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Risk Assessment Methodology defines how Cloudax Ltd. identifies, analyses, evaluates, treats, and monitors information security risks. It supports the Information Security Policy (POL-001) and gives effect to ISO/IEC 27001:2022 Clause 6.1.</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6.1.1 General; 6.1.2 Information security risk assessment; 6.1.3 Information security risk treatment</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Methodology applies to all information security risks within the scope of the Cloudax ISMS (ISMS-SCOPE-001). It covers risks to the confidentiality, integrity, and availability of information assets, including customer data, personal data, intellectual property, business records, and supporting infrastructure.</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Risk: </w:t>
      </w:r>
      <w:r>
        <w:rPr>
          <w:rFonts w:eastAsia="Arial" w:cs="Arial"/>
          <w:color w:val="1A1A1A"/>
          <w:sz w:val="22"/>
          <w:szCs w:val="22"/>
        </w:rPr>
        <w:t>the effect of uncertainty on objectives.</w:t>
      </w:r>
    </w:p>
    <w:p>
      <w:pPr>
        <w:pStyle w:val="ListParagraph"/>
        <w:numPr>
          <w:ilvl w:val="0"/>
          <w:numId w:val="1"/>
        </w:numPr>
        <w:spacing w:lineRule="exact" w:line="280" w:before="40" w:after="40"/>
        <w:rPr/>
      </w:pPr>
      <w:r>
        <w:rPr>
          <w:rFonts w:eastAsia="Arial" w:cs="Arial"/>
          <w:b/>
          <w:bCs/>
          <w:color w:val="1A1A1A"/>
          <w:sz w:val="22"/>
          <w:szCs w:val="22"/>
        </w:rPr>
        <w:t xml:space="preserve">Threat: </w:t>
      </w:r>
      <w:r>
        <w:rPr>
          <w:rFonts w:eastAsia="Arial" w:cs="Arial"/>
          <w:color w:val="1A1A1A"/>
          <w:sz w:val="22"/>
          <w:szCs w:val="22"/>
        </w:rPr>
        <w:t>a potential cause of an unwanted incident which may result in harm to a system or organisation.</w:t>
      </w:r>
    </w:p>
    <w:p>
      <w:pPr>
        <w:pStyle w:val="ListParagraph"/>
        <w:numPr>
          <w:ilvl w:val="0"/>
          <w:numId w:val="1"/>
        </w:numPr>
        <w:spacing w:lineRule="exact" w:line="280" w:before="40" w:after="40"/>
        <w:rPr/>
      </w:pPr>
      <w:r>
        <w:rPr>
          <w:rFonts w:eastAsia="Arial" w:cs="Arial"/>
          <w:b/>
          <w:bCs/>
          <w:color w:val="1A1A1A"/>
          <w:sz w:val="22"/>
          <w:szCs w:val="22"/>
        </w:rPr>
        <w:t xml:space="preserve">Vulnerability: </w:t>
      </w:r>
      <w:r>
        <w:rPr>
          <w:rFonts w:eastAsia="Arial" w:cs="Arial"/>
          <w:color w:val="1A1A1A"/>
          <w:sz w:val="22"/>
          <w:szCs w:val="22"/>
        </w:rPr>
        <w:t>a weakness of an asset or control that can be exploited by one or more threats.</w:t>
      </w:r>
    </w:p>
    <w:p>
      <w:pPr>
        <w:pStyle w:val="ListParagraph"/>
        <w:numPr>
          <w:ilvl w:val="0"/>
          <w:numId w:val="1"/>
        </w:numPr>
        <w:spacing w:lineRule="exact" w:line="280" w:before="40" w:after="40"/>
        <w:rPr/>
      </w:pPr>
      <w:r>
        <w:rPr>
          <w:rFonts w:eastAsia="Arial" w:cs="Arial"/>
          <w:b/>
          <w:bCs/>
          <w:color w:val="1A1A1A"/>
          <w:sz w:val="22"/>
          <w:szCs w:val="22"/>
        </w:rPr>
        <w:t xml:space="preserve">Impact: </w:t>
      </w:r>
      <w:r>
        <w:rPr>
          <w:rFonts w:eastAsia="Arial" w:cs="Arial"/>
          <w:color w:val="1A1A1A"/>
          <w:sz w:val="22"/>
          <w:szCs w:val="22"/>
        </w:rPr>
        <w:t>the consequence of a risk being realised.</w:t>
      </w:r>
    </w:p>
    <w:p>
      <w:pPr>
        <w:pStyle w:val="ListParagraph"/>
        <w:numPr>
          <w:ilvl w:val="0"/>
          <w:numId w:val="1"/>
        </w:numPr>
        <w:spacing w:lineRule="exact" w:line="280" w:before="40" w:after="40"/>
        <w:rPr/>
      </w:pPr>
      <w:r>
        <w:rPr>
          <w:rFonts w:eastAsia="Arial" w:cs="Arial"/>
          <w:b/>
          <w:bCs/>
          <w:color w:val="1A1A1A"/>
          <w:sz w:val="22"/>
          <w:szCs w:val="22"/>
        </w:rPr>
        <w:t xml:space="preserve">Likelihood: </w:t>
      </w:r>
      <w:r>
        <w:rPr>
          <w:rFonts w:eastAsia="Arial" w:cs="Arial"/>
          <w:color w:val="1A1A1A"/>
          <w:sz w:val="22"/>
          <w:szCs w:val="22"/>
        </w:rPr>
        <w:t>the chance of a risk being realised within a defined period.</w:t>
      </w:r>
    </w:p>
    <w:p>
      <w:pPr>
        <w:pStyle w:val="ListParagraph"/>
        <w:numPr>
          <w:ilvl w:val="0"/>
          <w:numId w:val="1"/>
        </w:numPr>
        <w:spacing w:lineRule="exact" w:line="280" w:before="40" w:after="40"/>
        <w:rPr/>
      </w:pPr>
      <w:r>
        <w:rPr>
          <w:rFonts w:eastAsia="Arial" w:cs="Arial"/>
          <w:b/>
          <w:bCs/>
          <w:color w:val="1A1A1A"/>
          <w:sz w:val="22"/>
          <w:szCs w:val="22"/>
        </w:rPr>
        <w:t xml:space="preserve">Inherent risk: </w:t>
      </w:r>
      <w:r>
        <w:rPr>
          <w:rFonts w:eastAsia="Arial" w:cs="Arial"/>
          <w:color w:val="1A1A1A"/>
          <w:sz w:val="22"/>
          <w:szCs w:val="22"/>
        </w:rPr>
        <w:t>the level of risk before controls are applied.</w:t>
      </w:r>
    </w:p>
    <w:p>
      <w:pPr>
        <w:pStyle w:val="ListParagraph"/>
        <w:numPr>
          <w:ilvl w:val="0"/>
          <w:numId w:val="1"/>
        </w:numPr>
        <w:spacing w:lineRule="exact" w:line="280" w:before="40" w:after="40"/>
        <w:rPr/>
      </w:pPr>
      <w:r>
        <w:rPr>
          <w:rFonts w:eastAsia="Arial" w:cs="Arial"/>
          <w:b/>
          <w:bCs/>
          <w:color w:val="1A1A1A"/>
          <w:sz w:val="22"/>
          <w:szCs w:val="22"/>
        </w:rPr>
        <w:t xml:space="preserve">Residual risk: </w:t>
      </w:r>
      <w:r>
        <w:rPr>
          <w:rFonts w:eastAsia="Arial" w:cs="Arial"/>
          <w:color w:val="1A1A1A"/>
          <w:sz w:val="22"/>
          <w:szCs w:val="22"/>
        </w:rPr>
        <w:t>the level of risk remaining after controls are applied.</w:t>
      </w:r>
    </w:p>
    <w:p>
      <w:pPr>
        <w:pStyle w:val="ListParagraph"/>
        <w:numPr>
          <w:ilvl w:val="0"/>
          <w:numId w:val="1"/>
        </w:numPr>
        <w:spacing w:lineRule="exact" w:line="280" w:before="40" w:after="40"/>
        <w:rPr/>
      </w:pPr>
      <w:r>
        <w:rPr>
          <w:rFonts w:eastAsia="Arial" w:cs="Arial"/>
          <w:b/>
          <w:bCs/>
          <w:color w:val="1A1A1A"/>
          <w:sz w:val="22"/>
          <w:szCs w:val="22"/>
        </w:rPr>
        <w:t xml:space="preserve">Risk owner: </w:t>
      </w:r>
      <w:r>
        <w:rPr>
          <w:rFonts w:eastAsia="Arial" w:cs="Arial"/>
          <w:color w:val="1A1A1A"/>
          <w:sz w:val="22"/>
          <w:szCs w:val="22"/>
        </w:rPr>
        <w:t>the person accountable for the management of a particular risk.</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Risk-based decision-making is the foundation of the ISMS.</w:t>
      </w:r>
    </w:p>
    <w:p>
      <w:pPr>
        <w:pStyle w:val="ListParagraph"/>
        <w:numPr>
          <w:ilvl w:val="0"/>
          <w:numId w:val="1"/>
        </w:numPr>
        <w:spacing w:lineRule="exact" w:line="280" w:before="40" w:after="40"/>
        <w:rPr/>
      </w:pPr>
      <w:r>
        <w:rPr>
          <w:rFonts w:eastAsia="Arial" w:cs="Arial"/>
          <w:color w:val="1A1A1A"/>
          <w:sz w:val="22"/>
          <w:szCs w:val="22"/>
        </w:rPr>
        <w:t>Assessment is structured, repeatable, and produces consistent and comparable results.</w:t>
      </w:r>
    </w:p>
    <w:p>
      <w:pPr>
        <w:pStyle w:val="ListParagraph"/>
        <w:numPr>
          <w:ilvl w:val="0"/>
          <w:numId w:val="1"/>
        </w:numPr>
        <w:spacing w:lineRule="exact" w:line="280" w:before="40" w:after="40"/>
        <w:rPr/>
      </w:pPr>
      <w:r>
        <w:rPr>
          <w:rFonts w:eastAsia="Arial" w:cs="Arial"/>
          <w:color w:val="1A1A1A"/>
          <w:sz w:val="22"/>
          <w:szCs w:val="22"/>
        </w:rPr>
        <w:t>Risks are owned by named individuals with the authority to act.</w:t>
      </w:r>
    </w:p>
    <w:p>
      <w:pPr>
        <w:pStyle w:val="ListParagraph"/>
        <w:numPr>
          <w:ilvl w:val="0"/>
          <w:numId w:val="1"/>
        </w:numPr>
        <w:spacing w:lineRule="exact" w:line="280" w:before="40" w:after="40"/>
        <w:rPr/>
      </w:pPr>
      <w:r>
        <w:rPr>
          <w:rFonts w:eastAsia="Arial" w:cs="Arial"/>
          <w:color w:val="1A1A1A"/>
          <w:sz w:val="22"/>
          <w:szCs w:val="22"/>
        </w:rPr>
        <w:t>Risks are reassessed when material change occurs and at planned intervals.</w:t>
      </w:r>
    </w:p>
    <w:p>
      <w:pPr>
        <w:pStyle w:val="ListParagraph"/>
        <w:numPr>
          <w:ilvl w:val="0"/>
          <w:numId w:val="1"/>
        </w:numPr>
        <w:spacing w:lineRule="exact" w:line="280" w:before="40" w:after="40"/>
        <w:rPr/>
      </w:pPr>
      <w:r>
        <w:rPr>
          <w:rFonts w:eastAsia="Arial" w:cs="Arial"/>
          <w:color w:val="1A1A1A"/>
          <w:sz w:val="22"/>
          <w:szCs w:val="22"/>
        </w:rPr>
        <w:t>Treatment is proportionate; not every risk needs to be reduced to zero.</w:t>
      </w:r>
    </w:p>
    <w:p>
      <w:pPr>
        <w:pStyle w:val="ListParagraph"/>
        <w:numPr>
          <w:ilvl w:val="0"/>
          <w:numId w:val="1"/>
        </w:numPr>
        <w:spacing w:lineRule="exact" w:line="280" w:before="40" w:after="40"/>
        <w:rPr/>
      </w:pPr>
      <w:r>
        <w:rPr>
          <w:rFonts w:eastAsia="Arial" w:cs="Arial"/>
          <w:color w:val="1A1A1A"/>
          <w:sz w:val="22"/>
          <w:szCs w:val="22"/>
        </w:rPr>
        <w:t>Acceptance of residual risk is a conscious, recorded decision by the risk owner.</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Chief Executive Officer: approves the risk acceptance criteria and accepts residual risk above the executive threshold.</w:t>
      </w:r>
    </w:p>
    <w:p>
      <w:pPr>
        <w:pStyle w:val="ListParagraph"/>
        <w:numPr>
          <w:ilvl w:val="0"/>
          <w:numId w:val="1"/>
        </w:numPr>
        <w:spacing w:lineRule="exact" w:line="280" w:before="40" w:after="40"/>
        <w:rPr/>
      </w:pPr>
      <w:r>
        <w:rPr>
          <w:rFonts w:eastAsia="Arial" w:cs="Arial"/>
          <w:color w:val="1A1A1A"/>
          <w:sz w:val="22"/>
          <w:szCs w:val="22"/>
        </w:rPr>
        <w:t>Information Security Manager: owns this Methodology, the Risk Register (REG-RISK-001), and the Risk Treatment Plan (ISMS-RTP-001); facilitates risk workshops; maintains the SoA.</w:t>
      </w:r>
    </w:p>
    <w:p>
      <w:pPr>
        <w:pStyle w:val="ListParagraph"/>
        <w:numPr>
          <w:ilvl w:val="0"/>
          <w:numId w:val="1"/>
        </w:numPr>
        <w:spacing w:lineRule="exact" w:line="280" w:before="40" w:after="40"/>
        <w:rPr/>
      </w:pPr>
      <w:r>
        <w:rPr>
          <w:rFonts w:eastAsia="Arial" w:cs="Arial"/>
          <w:color w:val="1A1A1A"/>
          <w:sz w:val="22"/>
          <w:szCs w:val="22"/>
        </w:rPr>
        <w:t>Risk owners: identify risks within their domain, propose treatment, implement controls, monitor effectiveness, and accept residual risk within their authority.</w:t>
      </w:r>
    </w:p>
    <w:p>
      <w:pPr>
        <w:pStyle w:val="ListParagraph"/>
        <w:numPr>
          <w:ilvl w:val="0"/>
          <w:numId w:val="1"/>
        </w:numPr>
        <w:spacing w:lineRule="exact" w:line="280" w:before="40" w:after="40"/>
        <w:rPr/>
      </w:pPr>
      <w:r>
        <w:rPr>
          <w:rFonts w:eastAsia="Arial" w:cs="Arial"/>
          <w:color w:val="1A1A1A"/>
          <w:sz w:val="22"/>
          <w:szCs w:val="22"/>
        </w:rPr>
        <w:t>Chief Technology Officer: owns technical and platform risks.</w:t>
      </w:r>
    </w:p>
    <w:p>
      <w:pPr>
        <w:pStyle w:val="ListParagraph"/>
        <w:numPr>
          <w:ilvl w:val="0"/>
          <w:numId w:val="1"/>
        </w:numPr>
        <w:spacing w:lineRule="exact" w:line="280" w:before="40" w:after="40"/>
        <w:rPr/>
      </w:pPr>
      <w:r>
        <w:rPr>
          <w:rFonts w:eastAsia="Arial" w:cs="Arial"/>
          <w:color w:val="1A1A1A"/>
          <w:sz w:val="22"/>
          <w:szCs w:val="22"/>
        </w:rPr>
        <w:t>Privacy Lead: owns risks to personal data.</w:t>
      </w:r>
    </w:p>
    <w:p>
      <w:pPr>
        <w:pStyle w:val="ListParagraph"/>
        <w:numPr>
          <w:ilvl w:val="0"/>
          <w:numId w:val="1"/>
        </w:numPr>
        <w:spacing w:lineRule="exact" w:line="280" w:before="40" w:after="40"/>
        <w:rPr/>
      </w:pPr>
      <w:r>
        <w:rPr>
          <w:rFonts w:eastAsia="Arial" w:cs="Arial"/>
          <w:color w:val="1A1A1A"/>
          <w:sz w:val="22"/>
          <w:szCs w:val="22"/>
        </w:rPr>
        <w:t>All personnel: report observed risks and weaknesses through PRO-027 Event Reporting.</w:t>
      </w:r>
    </w:p>
    <w:p>
      <w:pPr>
        <w:pStyle w:val="Heading1"/>
        <w:spacing w:before="360" w:after="180"/>
        <w:rPr/>
      </w:pPr>
      <w:r>
        <w:rPr>
          <w:rFonts w:eastAsia="Arial" w:cs="Arial" w:ascii="Arial" w:hAnsi="Arial"/>
          <w:b/>
          <w:bCs/>
          <w:color w:val="0000FF"/>
          <w:sz w:val="36"/>
          <w:szCs w:val="36"/>
        </w:rPr>
        <w:t>6. Risk Management Process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follows a six-stage risk management process aligned with ISO/IEC 27005:</w:t>
      </w:r>
    </w:p>
    <w:p>
      <w:pPr>
        <w:pStyle w:val="ListParagraph"/>
        <w:numPr>
          <w:ilvl w:val="0"/>
          <w:numId w:val="1"/>
        </w:numPr>
        <w:spacing w:lineRule="exact" w:line="280" w:before="40" w:after="40"/>
        <w:rPr/>
      </w:pPr>
      <w:r>
        <w:rPr>
          <w:rFonts w:eastAsia="Arial" w:cs="Arial"/>
          <w:color w:val="1A1A1A"/>
          <w:sz w:val="22"/>
          <w:szCs w:val="22"/>
        </w:rPr>
        <w:t>Establish the context (Section 7).</w:t>
      </w:r>
    </w:p>
    <w:p>
      <w:pPr>
        <w:pStyle w:val="ListParagraph"/>
        <w:numPr>
          <w:ilvl w:val="0"/>
          <w:numId w:val="1"/>
        </w:numPr>
        <w:spacing w:lineRule="exact" w:line="280" w:before="40" w:after="40"/>
        <w:rPr/>
      </w:pPr>
      <w:r>
        <w:rPr>
          <w:rFonts w:eastAsia="Arial" w:cs="Arial"/>
          <w:color w:val="1A1A1A"/>
          <w:sz w:val="22"/>
          <w:szCs w:val="22"/>
        </w:rPr>
        <w:t>Identify risks (Section 8).</w:t>
      </w:r>
    </w:p>
    <w:p>
      <w:pPr>
        <w:pStyle w:val="ListParagraph"/>
        <w:numPr>
          <w:ilvl w:val="0"/>
          <w:numId w:val="1"/>
        </w:numPr>
        <w:spacing w:lineRule="exact" w:line="280" w:before="40" w:after="40"/>
        <w:rPr/>
      </w:pPr>
      <w:r>
        <w:rPr>
          <w:rFonts w:eastAsia="Arial" w:cs="Arial"/>
          <w:color w:val="1A1A1A"/>
          <w:sz w:val="22"/>
          <w:szCs w:val="22"/>
        </w:rPr>
        <w:t>Analyse risks (Section 9).</w:t>
      </w:r>
    </w:p>
    <w:p>
      <w:pPr>
        <w:pStyle w:val="ListParagraph"/>
        <w:numPr>
          <w:ilvl w:val="0"/>
          <w:numId w:val="1"/>
        </w:numPr>
        <w:spacing w:lineRule="exact" w:line="280" w:before="40" w:after="40"/>
        <w:rPr/>
      </w:pPr>
      <w:r>
        <w:rPr>
          <w:rFonts w:eastAsia="Arial" w:cs="Arial"/>
          <w:color w:val="1A1A1A"/>
          <w:sz w:val="22"/>
          <w:szCs w:val="22"/>
        </w:rPr>
        <w:t>Evaluate risks against acceptance criteria (Section 10).</w:t>
      </w:r>
    </w:p>
    <w:p>
      <w:pPr>
        <w:pStyle w:val="ListParagraph"/>
        <w:numPr>
          <w:ilvl w:val="0"/>
          <w:numId w:val="1"/>
        </w:numPr>
        <w:spacing w:lineRule="exact" w:line="280" w:before="40" w:after="40"/>
        <w:rPr/>
      </w:pPr>
      <w:r>
        <w:rPr>
          <w:rFonts w:eastAsia="Arial" w:cs="Arial"/>
          <w:color w:val="1A1A1A"/>
          <w:sz w:val="22"/>
          <w:szCs w:val="22"/>
        </w:rPr>
        <w:t>Treat risks (Section 11).</w:t>
      </w:r>
    </w:p>
    <w:p>
      <w:pPr>
        <w:pStyle w:val="ListParagraph"/>
        <w:numPr>
          <w:ilvl w:val="0"/>
          <w:numId w:val="1"/>
        </w:numPr>
        <w:spacing w:lineRule="exact" w:line="280" w:before="40" w:after="40"/>
        <w:rPr/>
      </w:pPr>
      <w:r>
        <w:rPr>
          <w:rFonts w:eastAsia="Arial" w:cs="Arial"/>
          <w:color w:val="1A1A1A"/>
          <w:sz w:val="22"/>
          <w:szCs w:val="22"/>
        </w:rPr>
        <w:t>Monitor and review risks on an ongoing basis (Section 14).</w:t>
      </w:r>
    </w:p>
    <w:p>
      <w:pPr>
        <w:pStyle w:val="Heading1"/>
        <w:spacing w:before="360" w:after="180"/>
        <w:rPr/>
      </w:pPr>
      <w:r>
        <w:rPr>
          <w:rFonts w:eastAsia="Arial" w:cs="Arial" w:ascii="Arial" w:hAnsi="Arial"/>
          <w:b/>
          <w:bCs/>
          <w:color w:val="0000FF"/>
          <w:sz w:val="36"/>
          <w:szCs w:val="36"/>
        </w:rPr>
        <w:t>7. Establishing the Context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Context is established by reference to:</w:t>
      </w:r>
    </w:p>
    <w:p>
      <w:pPr>
        <w:pStyle w:val="ListParagraph"/>
        <w:numPr>
          <w:ilvl w:val="0"/>
          <w:numId w:val="1"/>
        </w:numPr>
        <w:spacing w:lineRule="exact" w:line="280" w:before="40" w:after="40"/>
        <w:rPr/>
      </w:pPr>
      <w:r>
        <w:rPr>
          <w:rFonts w:eastAsia="Arial" w:cs="Arial"/>
          <w:color w:val="1A1A1A"/>
          <w:sz w:val="22"/>
          <w:szCs w:val="22"/>
        </w:rPr>
        <w:t>The ISMS Scope Statement (ISMS-SCOPE-001).</w:t>
      </w:r>
    </w:p>
    <w:p>
      <w:pPr>
        <w:pStyle w:val="ListParagraph"/>
        <w:numPr>
          <w:ilvl w:val="0"/>
          <w:numId w:val="1"/>
        </w:numPr>
        <w:spacing w:lineRule="exact" w:line="280" w:before="40" w:after="40"/>
        <w:rPr/>
      </w:pPr>
      <w:r>
        <w:rPr>
          <w:rFonts w:eastAsia="Arial" w:cs="Arial"/>
          <w:color w:val="1A1A1A"/>
          <w:sz w:val="22"/>
          <w:szCs w:val="22"/>
        </w:rPr>
        <w:t>The Information Security Policy (POL-001) and the ISMS Objectives (ISMS-OBJ-001).</w:t>
      </w:r>
    </w:p>
    <w:p>
      <w:pPr>
        <w:pStyle w:val="ListParagraph"/>
        <w:numPr>
          <w:ilvl w:val="0"/>
          <w:numId w:val="1"/>
        </w:numPr>
        <w:spacing w:lineRule="exact" w:line="280" w:before="40" w:after="40"/>
        <w:rPr/>
      </w:pPr>
      <w:r>
        <w:rPr>
          <w:rFonts w:eastAsia="Arial" w:cs="Arial"/>
          <w:color w:val="1A1A1A"/>
          <w:sz w:val="22"/>
          <w:szCs w:val="22"/>
        </w:rPr>
        <w:t>The Statement of Applicability (ISMS-SOA-001).</w:t>
      </w:r>
    </w:p>
    <w:p>
      <w:pPr>
        <w:pStyle w:val="ListParagraph"/>
        <w:numPr>
          <w:ilvl w:val="0"/>
          <w:numId w:val="1"/>
        </w:numPr>
        <w:spacing w:lineRule="exact" w:line="280" w:before="40" w:after="40"/>
        <w:rPr/>
      </w:pPr>
      <w:r>
        <w:rPr>
          <w:rFonts w:eastAsia="Arial" w:cs="Arial"/>
          <w:color w:val="1A1A1A"/>
          <w:sz w:val="22"/>
          <w:szCs w:val="22"/>
        </w:rPr>
        <w:t>The Asset Register (REG-IAR-001) and supplier inventory.</w:t>
      </w:r>
    </w:p>
    <w:p>
      <w:pPr>
        <w:pStyle w:val="ListParagraph"/>
        <w:numPr>
          <w:ilvl w:val="0"/>
          <w:numId w:val="1"/>
        </w:numPr>
        <w:spacing w:lineRule="exact" w:line="280" w:before="40" w:after="40"/>
        <w:rPr/>
      </w:pPr>
      <w:r>
        <w:rPr>
          <w:rFonts w:eastAsia="Arial" w:cs="Arial"/>
          <w:color w:val="1A1A1A"/>
          <w:sz w:val="22"/>
          <w:szCs w:val="22"/>
        </w:rPr>
        <w:t>Applicable legal, regulatory, and contractual requirements (REG-COMP-001).</w:t>
      </w:r>
    </w:p>
    <w:p>
      <w:pPr>
        <w:pStyle w:val="ListParagraph"/>
        <w:numPr>
          <w:ilvl w:val="0"/>
          <w:numId w:val="1"/>
        </w:numPr>
        <w:spacing w:lineRule="exact" w:line="280" w:before="40" w:after="40"/>
        <w:rPr/>
      </w:pPr>
      <w:r>
        <w:rPr>
          <w:rFonts w:eastAsia="Arial" w:cs="Arial"/>
          <w:color w:val="1A1A1A"/>
          <w:sz w:val="22"/>
          <w:szCs w:val="22"/>
        </w:rPr>
        <w:t>Threat intelligence relevant to Cloudax’s sector and technology stack.</w:t>
      </w:r>
    </w:p>
    <w:p>
      <w:pPr>
        <w:pStyle w:val="Heading1"/>
        <w:spacing w:before="360" w:after="180"/>
        <w:rPr/>
      </w:pPr>
      <w:r>
        <w:rPr>
          <w:rFonts w:eastAsia="Arial" w:cs="Arial" w:ascii="Arial" w:hAnsi="Arial"/>
          <w:b/>
          <w:bCs/>
          <w:color w:val="0000FF"/>
          <w:sz w:val="36"/>
          <w:szCs w:val="36"/>
        </w:rPr>
        <w:t>8. Risk Identification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Risks are identified through:</w:t>
      </w:r>
    </w:p>
    <w:p>
      <w:pPr>
        <w:pStyle w:val="ListParagraph"/>
        <w:numPr>
          <w:ilvl w:val="0"/>
          <w:numId w:val="1"/>
        </w:numPr>
        <w:spacing w:lineRule="exact" w:line="280" w:before="40" w:after="40"/>
        <w:rPr/>
      </w:pPr>
      <w:r>
        <w:rPr>
          <w:rFonts w:eastAsia="Arial" w:cs="Arial"/>
          <w:color w:val="1A1A1A"/>
          <w:sz w:val="22"/>
          <w:szCs w:val="22"/>
        </w:rPr>
        <w:t>Asset-based analysis: for each asset class (customer data, source code, identity, infrastructure, endpoints, suppliers), considering threats and vulnerabilities.</w:t>
      </w:r>
    </w:p>
    <w:p>
      <w:pPr>
        <w:pStyle w:val="ListParagraph"/>
        <w:numPr>
          <w:ilvl w:val="0"/>
          <w:numId w:val="1"/>
        </w:numPr>
        <w:spacing w:lineRule="exact" w:line="280" w:before="40" w:after="40"/>
        <w:rPr/>
      </w:pPr>
      <w:r>
        <w:rPr>
          <w:rFonts w:eastAsia="Arial" w:cs="Arial"/>
          <w:color w:val="1A1A1A"/>
          <w:sz w:val="22"/>
          <w:szCs w:val="22"/>
        </w:rPr>
        <w:t>Scenario-based analysis: considering attacker scenarios (credential compromise, supply chain compromise, insider misuse, ransomware) and operational scenarios (cloud outage, key personnel loss, data corruption).</w:t>
      </w:r>
    </w:p>
    <w:p>
      <w:pPr>
        <w:pStyle w:val="ListParagraph"/>
        <w:numPr>
          <w:ilvl w:val="0"/>
          <w:numId w:val="1"/>
        </w:numPr>
        <w:spacing w:lineRule="exact" w:line="280" w:before="40" w:after="40"/>
        <w:rPr/>
      </w:pPr>
      <w:r>
        <w:rPr>
          <w:rFonts w:eastAsia="Arial" w:cs="Arial"/>
          <w:color w:val="1A1A1A"/>
          <w:sz w:val="22"/>
          <w:szCs w:val="22"/>
        </w:rPr>
        <w:t>Process-based analysis: considering risk in key business processes (development, deployment, customer onboarding, incident response, employee lifecycle).</w:t>
      </w:r>
    </w:p>
    <w:p>
      <w:pPr>
        <w:pStyle w:val="ListParagraph"/>
        <w:numPr>
          <w:ilvl w:val="0"/>
          <w:numId w:val="1"/>
        </w:numPr>
        <w:spacing w:lineRule="exact" w:line="280" w:before="40" w:after="40"/>
        <w:rPr/>
      </w:pPr>
      <w:r>
        <w:rPr>
          <w:rFonts w:eastAsia="Arial" w:cs="Arial"/>
          <w:color w:val="1A1A1A"/>
          <w:sz w:val="22"/>
          <w:szCs w:val="22"/>
        </w:rPr>
        <w:t>Compliance-based analysis: considering risk arising from legal, regulatory, and contractual obligations.</w:t>
      </w:r>
    </w:p>
    <w:p>
      <w:pPr>
        <w:pStyle w:val="ListParagraph"/>
        <w:numPr>
          <w:ilvl w:val="0"/>
          <w:numId w:val="1"/>
        </w:numPr>
        <w:spacing w:lineRule="exact" w:line="280" w:before="40" w:after="40"/>
        <w:rPr/>
      </w:pPr>
      <w:r>
        <w:rPr>
          <w:rFonts w:eastAsia="Arial" w:cs="Arial"/>
          <w:color w:val="1A1A1A"/>
          <w:sz w:val="22"/>
          <w:szCs w:val="22"/>
        </w:rPr>
        <w:t>Continuous identification: events and weaknesses identified through PRO-027, audits, supplier reviews, threat intelligence, and management review.</w:t>
      </w:r>
    </w:p>
    <w:p>
      <w:pPr>
        <w:pStyle w:val="Normal"/>
        <w:spacing w:lineRule="exact" w:line="300" w:before="80" w:after="120"/>
        <w:rPr/>
      </w:pPr>
      <w:r>
        <w:rPr>
          <w:rFonts w:eastAsia="Arial" w:cs="Arial"/>
          <w:color w:val="1A1A1A"/>
          <w:sz w:val="22"/>
          <w:szCs w:val="22"/>
        </w:rPr>
        <w:t>Identified risks are recorded in the Risk Register (REG-RISK-001) with a unique identifier (R-001 onwards), description, asset(s) affected, threat, vulnerability, and risk owner.</w:t>
      </w:r>
    </w:p>
    <w:p>
      <w:pPr>
        <w:pStyle w:val="Heading1"/>
        <w:spacing w:before="360" w:after="180"/>
        <w:rPr/>
      </w:pPr>
      <w:r>
        <w:rPr>
          <w:rFonts w:eastAsia="Arial" w:cs="Arial" w:ascii="Arial" w:hAnsi="Arial"/>
          <w:b/>
          <w:bCs/>
          <w:color w:val="0000FF"/>
          <w:sz w:val="36"/>
          <w:szCs w:val="36"/>
        </w:rPr>
        <w:t>9. Risk Analysis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Risks are analysed using a qualitative 5×5 likelihood-by-impact matrix. Inherent and residual risk are both calculated; treatment decisions are taken on residual risk.</w:t>
      </w:r>
    </w:p>
    <w:p>
      <w:pPr>
        <w:pStyle w:val="Heading2"/>
        <w:spacing w:before="280" w:after="140"/>
        <w:rPr/>
      </w:pPr>
      <w:r>
        <w:rPr>
          <w:rFonts w:eastAsia="Arial" w:cs="Arial" w:ascii="Arial" w:hAnsi="Arial"/>
          <w:b/>
          <w:bCs/>
          <w:color w:val="0000FF"/>
          <w:sz w:val="28"/>
          <w:szCs w:val="28"/>
        </w:rPr>
        <w:t>9.1 Likelihood Scale</w:t>
      </w:r>
    </w:p>
    <w:tbl>
      <w:tblPr>
        <w:tblW w:w="9026" w:type="dxa"/>
        <w:jc w:val="start"/>
        <w:tblInd w:w="0" w:type="dxa"/>
        <w:tblLayout w:type="fixed"/>
        <w:tblCellMar>
          <w:top w:w="100" w:type="dxa"/>
          <w:start w:w="160" w:type="dxa"/>
          <w:bottom w:w="100" w:type="dxa"/>
          <w:end w:w="160" w:type="dxa"/>
        </w:tblCellMar>
      </w:tblPr>
      <w:tblGrid>
        <w:gridCol w:w="1100"/>
        <w:gridCol w:w="2000"/>
        <w:gridCol w:w="5926"/>
      </w:tblGrid>
      <w:tr>
        <w:trPr>
          <w:tblHeader w:val="true"/>
        </w:trPr>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LEVEL</w:t>
            </w:r>
          </w:p>
        </w:tc>
        <w:tc>
          <w:tcPr>
            <w:tcW w:w="2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DESCRIPTOR</w:t>
            </w:r>
          </w:p>
        </w:tc>
        <w:tc>
          <w:tcPr>
            <w:tcW w:w="59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DEFINITION</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w:t>
            </w:r>
          </w:p>
        </w:tc>
        <w:tc>
          <w:tcPr>
            <w:tcW w:w="2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Rare</w:t>
            </w:r>
          </w:p>
        </w:tc>
        <w:tc>
          <w:tcPr>
            <w:tcW w:w="5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May occur only in exceptional circumstances. Less than once in 5 years.</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w:t>
            </w:r>
          </w:p>
        </w:tc>
        <w:tc>
          <w:tcPr>
            <w:tcW w:w="2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Unlikely</w:t>
            </w:r>
          </w:p>
        </w:tc>
        <w:tc>
          <w:tcPr>
            <w:tcW w:w="5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Could occur but not expected. Once in 2–5 years.</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3</w:t>
            </w:r>
          </w:p>
        </w:tc>
        <w:tc>
          <w:tcPr>
            <w:tcW w:w="2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Possible</w:t>
            </w:r>
          </w:p>
        </w:tc>
        <w:tc>
          <w:tcPr>
            <w:tcW w:w="5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Might occur from time to time. Once in 1–2 years.</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4</w:t>
            </w:r>
          </w:p>
        </w:tc>
        <w:tc>
          <w:tcPr>
            <w:tcW w:w="2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Likely</w:t>
            </w:r>
          </w:p>
        </w:tc>
        <w:tc>
          <w:tcPr>
            <w:tcW w:w="5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Will probably occur. Once or more per year.</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5</w:t>
            </w:r>
          </w:p>
        </w:tc>
        <w:tc>
          <w:tcPr>
            <w:tcW w:w="2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Almost certain</w:t>
            </w:r>
          </w:p>
        </w:tc>
        <w:tc>
          <w:tcPr>
            <w:tcW w:w="5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Expected to occur. Multiple times per year.</w:t>
            </w:r>
          </w:p>
        </w:tc>
      </w:tr>
    </w:tbl>
    <w:p>
      <w:pPr>
        <w:pStyle w:val="Heading2"/>
        <w:spacing w:before="280" w:after="140"/>
        <w:rPr/>
      </w:pPr>
      <w:r>
        <w:rPr>
          <w:rFonts w:eastAsia="Arial" w:cs="Arial" w:ascii="Arial" w:hAnsi="Arial"/>
          <w:b/>
          <w:bCs/>
          <w:color w:val="0000FF"/>
          <w:sz w:val="28"/>
          <w:szCs w:val="28"/>
        </w:rPr>
        <w:t>9.2 Impact Scale</w:t>
      </w:r>
    </w:p>
    <w:p>
      <w:pPr>
        <w:pStyle w:val="Normal"/>
        <w:spacing w:lineRule="exact" w:line="300" w:before="80" w:after="120"/>
        <w:rPr/>
      </w:pPr>
      <w:r>
        <w:rPr>
          <w:rFonts w:eastAsia="Arial" w:cs="Arial"/>
          <w:color w:val="1A1A1A"/>
          <w:sz w:val="22"/>
          <w:szCs w:val="22"/>
        </w:rPr>
        <w:t>Impact is assessed across four dimensions; the highest dimension drives the impact score.</w:t>
      </w:r>
    </w:p>
    <w:tbl>
      <w:tblPr>
        <w:tblW w:w="9026" w:type="dxa"/>
        <w:jc w:val="start"/>
        <w:tblInd w:w="0" w:type="dxa"/>
        <w:tblLayout w:type="fixed"/>
        <w:tblCellMar>
          <w:top w:w="100" w:type="dxa"/>
          <w:start w:w="160" w:type="dxa"/>
          <w:bottom w:w="100" w:type="dxa"/>
          <w:end w:w="160" w:type="dxa"/>
        </w:tblCellMar>
      </w:tblPr>
      <w:tblGrid>
        <w:gridCol w:w="1100"/>
        <w:gridCol w:w="2000"/>
        <w:gridCol w:w="5926"/>
      </w:tblGrid>
      <w:tr>
        <w:trPr>
          <w:tblHeader w:val="true"/>
        </w:trPr>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LEVEL</w:t>
            </w:r>
          </w:p>
        </w:tc>
        <w:tc>
          <w:tcPr>
            <w:tcW w:w="2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DESCRIPTOR</w:t>
            </w:r>
          </w:p>
        </w:tc>
        <w:tc>
          <w:tcPr>
            <w:tcW w:w="59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DEFINITION</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w:t>
            </w:r>
          </w:p>
        </w:tc>
        <w:tc>
          <w:tcPr>
            <w:tcW w:w="2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Negligible</w:t>
            </w:r>
          </w:p>
        </w:tc>
        <w:tc>
          <w:tcPr>
            <w:tcW w:w="5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No material impact on customers, finances, regulatory position, or reputation.</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w:t>
            </w:r>
          </w:p>
        </w:tc>
        <w:tc>
          <w:tcPr>
            <w:tcW w:w="2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Minor</w:t>
            </w:r>
          </w:p>
        </w:tc>
        <w:tc>
          <w:tcPr>
            <w:tcW w:w="5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Inconvenience to limited customers; cost up to £5k; no regulatory action; minimal reputational impact.</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3</w:t>
            </w:r>
          </w:p>
        </w:tc>
        <w:tc>
          <w:tcPr>
            <w:tcW w:w="2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Moderate</w:t>
            </w:r>
          </w:p>
        </w:tc>
        <w:tc>
          <w:tcPr>
            <w:tcW w:w="5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Service disruption to multiple customers; cost £5k–£50k; regulator-notifiable event handled successfully; localised reputational issue.</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4</w:t>
            </w:r>
          </w:p>
        </w:tc>
        <w:tc>
          <w:tcPr>
            <w:tcW w:w="2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Major</w:t>
            </w:r>
          </w:p>
        </w:tc>
        <w:tc>
          <w:tcPr>
            <w:tcW w:w="5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Significant disruption or breach affecting many customers; cost £50k–£500k; regulatory enforcement; broad reputational impact.</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5</w:t>
            </w:r>
          </w:p>
        </w:tc>
        <w:tc>
          <w:tcPr>
            <w:tcW w:w="2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Severe</w:t>
            </w:r>
          </w:p>
        </w:tc>
        <w:tc>
          <w:tcPr>
            <w:tcW w:w="5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Existential impact on the business; cost over £500k; major regulatory action; lasting reputational damage; loss of customer trust.</w:t>
            </w:r>
          </w:p>
        </w:tc>
      </w:tr>
    </w:tbl>
    <w:p>
      <w:pPr>
        <w:pStyle w:val="Normal"/>
        <w:spacing w:lineRule="exact" w:line="300" w:before="80" w:after="120"/>
        <w:rPr/>
      </w:pPr>
      <w:r>
        <w:rPr>
          <w:rFonts w:eastAsia="Arial" w:cs="Arial"/>
          <w:color w:val="1A1A1A"/>
          <w:sz w:val="22"/>
          <w:szCs w:val="22"/>
        </w:rPr>
        <w:t>Impact dimensions:</w:t>
      </w:r>
    </w:p>
    <w:p>
      <w:pPr>
        <w:pStyle w:val="ListParagraph"/>
        <w:numPr>
          <w:ilvl w:val="0"/>
          <w:numId w:val="1"/>
        </w:numPr>
        <w:spacing w:lineRule="exact" w:line="280" w:before="40" w:after="40"/>
        <w:rPr/>
      </w:pPr>
      <w:r>
        <w:rPr>
          <w:rFonts w:eastAsia="Arial" w:cs="Arial"/>
          <w:color w:val="1A1A1A"/>
          <w:sz w:val="22"/>
          <w:szCs w:val="22"/>
        </w:rPr>
        <w:t>Confidentiality — unauthorised disclosure of customer data, personal data, or commercial information.</w:t>
      </w:r>
    </w:p>
    <w:p>
      <w:pPr>
        <w:pStyle w:val="ListParagraph"/>
        <w:numPr>
          <w:ilvl w:val="0"/>
          <w:numId w:val="1"/>
        </w:numPr>
        <w:spacing w:lineRule="exact" w:line="280" w:before="40" w:after="40"/>
        <w:rPr/>
      </w:pPr>
      <w:r>
        <w:rPr>
          <w:rFonts w:eastAsia="Arial" w:cs="Arial"/>
          <w:color w:val="1A1A1A"/>
          <w:sz w:val="22"/>
          <w:szCs w:val="22"/>
        </w:rPr>
        <w:t>Integrity — unauthorised modification or corruption of information or systems.</w:t>
      </w:r>
    </w:p>
    <w:p>
      <w:pPr>
        <w:pStyle w:val="ListParagraph"/>
        <w:numPr>
          <w:ilvl w:val="0"/>
          <w:numId w:val="1"/>
        </w:numPr>
        <w:spacing w:lineRule="exact" w:line="280" w:before="40" w:after="40"/>
        <w:rPr/>
      </w:pPr>
      <w:r>
        <w:rPr>
          <w:rFonts w:eastAsia="Arial" w:cs="Arial"/>
          <w:color w:val="1A1A1A"/>
          <w:sz w:val="22"/>
          <w:szCs w:val="22"/>
        </w:rPr>
        <w:t>Availability — disruption to Cloudax services or business operations.</w:t>
      </w:r>
    </w:p>
    <w:p>
      <w:pPr>
        <w:pStyle w:val="ListParagraph"/>
        <w:numPr>
          <w:ilvl w:val="0"/>
          <w:numId w:val="1"/>
        </w:numPr>
        <w:spacing w:lineRule="exact" w:line="280" w:before="40" w:after="40"/>
        <w:rPr/>
      </w:pPr>
      <w:r>
        <w:rPr>
          <w:rFonts w:eastAsia="Arial" w:cs="Arial"/>
          <w:color w:val="1A1A1A"/>
          <w:sz w:val="22"/>
          <w:szCs w:val="22"/>
        </w:rPr>
        <w:t>Compliance — breach of legal, regulatory, or contractual obligations.</w:t>
      </w:r>
    </w:p>
    <w:p>
      <w:pPr>
        <w:pStyle w:val="Heading2"/>
        <w:spacing w:before="280" w:after="140"/>
        <w:rPr/>
      </w:pPr>
      <w:r>
        <w:rPr>
          <w:rFonts w:eastAsia="Arial" w:cs="Arial" w:ascii="Arial" w:hAnsi="Arial"/>
          <w:b/>
          <w:bCs/>
          <w:color w:val="0000FF"/>
          <w:sz w:val="28"/>
          <w:szCs w:val="28"/>
        </w:rPr>
        <w:t>9.3 Risk Score Calculation</w:t>
      </w:r>
    </w:p>
    <w:p>
      <w:pPr>
        <w:pStyle w:val="Normal"/>
        <w:spacing w:lineRule="exact" w:line="300" w:before="80" w:after="120"/>
        <w:rPr/>
      </w:pPr>
      <w:r>
        <w:rPr>
          <w:rFonts w:eastAsia="Arial" w:cs="Arial"/>
          <w:color w:val="1A1A1A"/>
          <w:sz w:val="22"/>
          <w:szCs w:val="22"/>
        </w:rPr>
        <w:t>Risk score = Likelihood (1–5) × Impact (1–5). The resulting 25-point matrix categorises risks into bands:</w:t>
      </w:r>
    </w:p>
    <w:tbl>
      <w:tblPr>
        <w:tblW w:w="9026" w:type="dxa"/>
        <w:jc w:val="start"/>
        <w:tblInd w:w="0" w:type="dxa"/>
        <w:tblLayout w:type="fixed"/>
        <w:tblCellMar>
          <w:top w:w="100" w:type="dxa"/>
          <w:start w:w="160" w:type="dxa"/>
          <w:bottom w:w="100" w:type="dxa"/>
          <w:end w:w="160" w:type="dxa"/>
        </w:tblCellMar>
      </w:tblPr>
      <w:tblGrid>
        <w:gridCol w:w="1100"/>
        <w:gridCol w:w="2000"/>
        <w:gridCol w:w="5926"/>
      </w:tblGrid>
      <w:tr>
        <w:trPr>
          <w:tblHeader w:val="true"/>
        </w:trPr>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BAND</w:t>
            </w:r>
          </w:p>
        </w:tc>
        <w:tc>
          <w:tcPr>
            <w:tcW w:w="2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SCORE RANGE</w:t>
            </w:r>
          </w:p>
        </w:tc>
        <w:tc>
          <w:tcPr>
            <w:tcW w:w="59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TREATMENT POSITION</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Low</w:t>
            </w:r>
          </w:p>
        </w:tc>
        <w:tc>
          <w:tcPr>
            <w:tcW w:w="2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1–4</w:t>
            </w:r>
          </w:p>
        </w:tc>
        <w:tc>
          <w:tcPr>
            <w:tcW w:w="5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May be accepted by the risk owner without further escalation. Monitor only.</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Moderate</w:t>
            </w:r>
          </w:p>
        </w:tc>
        <w:tc>
          <w:tcPr>
            <w:tcW w:w="2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5–10</w:t>
            </w:r>
          </w:p>
        </w:tc>
        <w:tc>
          <w:tcPr>
            <w:tcW w:w="5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Treatment expected. Risk owner agrees treatment with the Information Security Manager.</w:t>
            </w:r>
          </w:p>
        </w:tc>
      </w:tr>
      <w:tr>
        <w:trPr/>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High</w:t>
            </w:r>
          </w:p>
        </w:tc>
        <w:tc>
          <w:tcPr>
            <w:tcW w:w="2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12–16</w:t>
            </w:r>
          </w:p>
        </w:tc>
        <w:tc>
          <w:tcPr>
            <w:tcW w:w="59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Treatment required. Information Security Manager approval required for any acceptance.</w:t>
            </w:r>
          </w:p>
        </w:tc>
      </w:tr>
      <w:tr>
        <w:trPr/>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Critical</w:t>
            </w:r>
          </w:p>
        </w:tc>
        <w:tc>
          <w:tcPr>
            <w:tcW w:w="2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20–25</w:t>
            </w:r>
          </w:p>
        </w:tc>
        <w:tc>
          <w:tcPr>
            <w:tcW w:w="59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Treatment required. Chief Executive Officer approval required for any acceptance.</w:t>
            </w:r>
          </w:p>
        </w:tc>
      </w:tr>
    </w:tbl>
    <w:p>
      <w:pPr>
        <w:pStyle w:val="Heading1"/>
        <w:spacing w:before="360" w:after="180"/>
        <w:rPr/>
      </w:pPr>
      <w:r>
        <w:rPr>
          <w:rFonts w:eastAsia="Arial" w:cs="Arial" w:ascii="Arial" w:hAnsi="Arial"/>
          <w:b/>
          <w:bCs/>
          <w:color w:val="0000FF"/>
          <w:sz w:val="36"/>
          <w:szCs w:val="36"/>
        </w:rPr>
        <w:t>10. Risk Evaluation and the Risk Acceptance Criteria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Risks are evaluated against the following risk acceptance criteria:</w:t>
      </w:r>
    </w:p>
    <w:p>
      <w:pPr>
        <w:pStyle w:val="ListParagraph"/>
        <w:numPr>
          <w:ilvl w:val="0"/>
          <w:numId w:val="1"/>
        </w:numPr>
        <w:spacing w:lineRule="exact" w:line="280" w:before="40" w:after="40"/>
        <w:rPr/>
      </w:pPr>
      <w:r>
        <w:rPr>
          <w:rFonts w:eastAsia="Arial" w:cs="Arial"/>
          <w:color w:val="1A1A1A"/>
          <w:sz w:val="22"/>
          <w:szCs w:val="22"/>
        </w:rPr>
        <w:t>Low risks (score 1–4) are acceptable subject to ongoing monitoring.</w:t>
      </w:r>
    </w:p>
    <w:p>
      <w:pPr>
        <w:pStyle w:val="ListParagraph"/>
        <w:numPr>
          <w:ilvl w:val="0"/>
          <w:numId w:val="1"/>
        </w:numPr>
        <w:spacing w:lineRule="exact" w:line="280" w:before="40" w:after="40"/>
        <w:rPr/>
      </w:pPr>
      <w:r>
        <w:rPr>
          <w:rFonts w:eastAsia="Arial" w:cs="Arial"/>
          <w:color w:val="1A1A1A"/>
          <w:sz w:val="22"/>
          <w:szCs w:val="22"/>
        </w:rPr>
        <w:t>Moderate risks (score 5–10) are acceptable only where treatment is impractical or disproportionate, with documented rationale and risk owner sign-off.</w:t>
      </w:r>
    </w:p>
    <w:p>
      <w:pPr>
        <w:pStyle w:val="ListParagraph"/>
        <w:numPr>
          <w:ilvl w:val="0"/>
          <w:numId w:val="1"/>
        </w:numPr>
        <w:spacing w:lineRule="exact" w:line="280" w:before="40" w:after="40"/>
        <w:rPr/>
      </w:pPr>
      <w:r>
        <w:rPr>
          <w:rFonts w:eastAsia="Arial" w:cs="Arial"/>
          <w:color w:val="1A1A1A"/>
          <w:sz w:val="22"/>
          <w:szCs w:val="22"/>
        </w:rPr>
        <w:t>High risks (score 12–16) require treatment. Acceptance requires Information Security Manager approval and is time-bound.</w:t>
      </w:r>
    </w:p>
    <w:p>
      <w:pPr>
        <w:pStyle w:val="ListParagraph"/>
        <w:numPr>
          <w:ilvl w:val="0"/>
          <w:numId w:val="1"/>
        </w:numPr>
        <w:spacing w:lineRule="exact" w:line="280" w:before="40" w:after="40"/>
        <w:rPr/>
      </w:pPr>
      <w:r>
        <w:rPr>
          <w:rFonts w:eastAsia="Arial" w:cs="Arial"/>
          <w:color w:val="1A1A1A"/>
          <w:sz w:val="22"/>
          <w:szCs w:val="22"/>
        </w:rPr>
        <w:t>Critical risks (score 20–25) require treatment. Acceptance requires Chief Executive Officer approval and a dated review.</w:t>
      </w:r>
    </w:p>
    <w:p>
      <w:pPr>
        <w:pStyle w:val="Normal"/>
        <w:spacing w:lineRule="exact" w:line="300" w:before="80" w:after="120"/>
        <w:rPr/>
      </w:pPr>
      <w:r>
        <w:rPr>
          <w:rFonts w:eastAsia="Arial" w:cs="Arial"/>
          <w:color w:val="1A1A1A"/>
          <w:sz w:val="22"/>
          <w:szCs w:val="22"/>
        </w:rPr>
        <w:t>Risks involving personal data require Privacy Lead concurrence regardless of score.</w:t>
      </w:r>
    </w:p>
    <w:p>
      <w:pPr>
        <w:pStyle w:val="Normal"/>
        <w:spacing w:lineRule="exact" w:line="300" w:before="80" w:after="120"/>
        <w:rPr/>
      </w:pPr>
      <w:r>
        <w:rPr>
          <w:rFonts w:eastAsia="Arial" w:cs="Arial"/>
          <w:color w:val="1A1A1A"/>
          <w:sz w:val="22"/>
          <w:szCs w:val="22"/>
        </w:rPr>
        <w:t>Risks above the executive threshold are escalated to management review.</w:t>
      </w:r>
    </w:p>
    <w:p>
      <w:pPr>
        <w:pStyle w:val="Heading1"/>
        <w:spacing w:before="360" w:after="180"/>
        <w:rPr/>
      </w:pPr>
      <w:r>
        <w:rPr>
          <w:rFonts w:eastAsia="Arial" w:cs="Arial" w:ascii="Arial" w:hAnsi="Arial"/>
          <w:b/>
          <w:bCs/>
          <w:color w:val="0000FF"/>
          <w:sz w:val="36"/>
          <w:szCs w:val="36"/>
        </w:rPr>
        <w:t>11. Risk Treatment Options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For each risk requiring treatment, the risk owner selects one or more of the following options:</w:t>
      </w:r>
    </w:p>
    <w:p>
      <w:pPr>
        <w:pStyle w:val="ListParagraph"/>
        <w:numPr>
          <w:ilvl w:val="0"/>
          <w:numId w:val="1"/>
        </w:numPr>
        <w:spacing w:lineRule="exact" w:line="280" w:before="40" w:after="40"/>
        <w:rPr/>
      </w:pPr>
      <w:r>
        <w:rPr>
          <w:rFonts w:eastAsia="Arial" w:cs="Arial"/>
          <w:b/>
          <w:bCs/>
          <w:color w:val="1A1A1A"/>
          <w:sz w:val="22"/>
          <w:szCs w:val="22"/>
        </w:rPr>
        <w:t xml:space="preserve">Modify (treat): </w:t>
      </w:r>
      <w:r>
        <w:rPr>
          <w:rFonts w:eastAsia="Arial" w:cs="Arial"/>
          <w:color w:val="1A1A1A"/>
          <w:sz w:val="22"/>
          <w:szCs w:val="22"/>
        </w:rPr>
        <w:t>apply controls to reduce likelihood, impact, or both. The default option for most ISMS risks.</w:t>
      </w:r>
    </w:p>
    <w:p>
      <w:pPr>
        <w:pStyle w:val="ListParagraph"/>
        <w:numPr>
          <w:ilvl w:val="0"/>
          <w:numId w:val="1"/>
        </w:numPr>
        <w:spacing w:lineRule="exact" w:line="280" w:before="40" w:after="40"/>
        <w:rPr/>
      </w:pPr>
      <w:r>
        <w:rPr>
          <w:rFonts w:eastAsia="Arial" w:cs="Arial"/>
          <w:b/>
          <w:bCs/>
          <w:color w:val="1A1A1A"/>
          <w:sz w:val="22"/>
          <w:szCs w:val="22"/>
        </w:rPr>
        <w:t xml:space="preserve">Avoid: </w:t>
      </w:r>
      <w:r>
        <w:rPr>
          <w:rFonts w:eastAsia="Arial" w:cs="Arial"/>
          <w:color w:val="1A1A1A"/>
          <w:sz w:val="22"/>
          <w:szCs w:val="22"/>
        </w:rPr>
        <w:t>eliminate the risk by ceasing or changing the activity that gives rise to it.</w:t>
      </w:r>
    </w:p>
    <w:p>
      <w:pPr>
        <w:pStyle w:val="ListParagraph"/>
        <w:numPr>
          <w:ilvl w:val="0"/>
          <w:numId w:val="1"/>
        </w:numPr>
        <w:spacing w:lineRule="exact" w:line="280" w:before="40" w:after="40"/>
        <w:rPr/>
      </w:pPr>
      <w:r>
        <w:rPr>
          <w:rFonts w:eastAsia="Arial" w:cs="Arial"/>
          <w:b/>
          <w:bCs/>
          <w:color w:val="1A1A1A"/>
          <w:sz w:val="22"/>
          <w:szCs w:val="22"/>
        </w:rPr>
        <w:t xml:space="preserve">Share / transfer: </w:t>
      </w:r>
      <w:r>
        <w:rPr>
          <w:rFonts w:eastAsia="Arial" w:cs="Arial"/>
          <w:color w:val="1A1A1A"/>
          <w:sz w:val="22"/>
          <w:szCs w:val="22"/>
        </w:rPr>
        <w:t>share the risk with a third party, e.g. through insurance, outsourcing, or contractual allocation. Note that legal accountability for personal data cannot be transferred under the UK GDPR.</w:t>
      </w:r>
    </w:p>
    <w:p>
      <w:pPr>
        <w:pStyle w:val="ListParagraph"/>
        <w:numPr>
          <w:ilvl w:val="0"/>
          <w:numId w:val="1"/>
        </w:numPr>
        <w:spacing w:lineRule="exact" w:line="280" w:before="40" w:after="40"/>
        <w:rPr/>
      </w:pPr>
      <w:r>
        <w:rPr>
          <w:rFonts w:eastAsia="Arial" w:cs="Arial"/>
          <w:b/>
          <w:bCs/>
          <w:color w:val="1A1A1A"/>
          <w:sz w:val="22"/>
          <w:szCs w:val="22"/>
        </w:rPr>
        <w:t xml:space="preserve">Accept: </w:t>
      </w:r>
      <w:r>
        <w:rPr>
          <w:rFonts w:eastAsia="Arial" w:cs="Arial"/>
          <w:color w:val="1A1A1A"/>
          <w:sz w:val="22"/>
          <w:szCs w:val="22"/>
        </w:rPr>
        <w:t>retain the risk with informed, documented acceptance from an authorised role.</w:t>
      </w:r>
    </w:p>
    <w:p>
      <w:pPr>
        <w:pStyle w:val="Normal"/>
        <w:spacing w:lineRule="exact" w:line="300" w:before="80" w:after="120"/>
        <w:rPr/>
      </w:pPr>
      <w:r>
        <w:rPr>
          <w:rFonts w:eastAsia="Arial" w:cs="Arial"/>
          <w:color w:val="1A1A1A"/>
          <w:sz w:val="22"/>
          <w:szCs w:val="22"/>
        </w:rPr>
        <w:t>Selection of controls draws first on the Annex A controls listed in the Statement of Applicability (ISMS-SOA-001), supplemented by additional controls where appropriate.</w:t>
      </w:r>
    </w:p>
    <w:p>
      <w:pPr>
        <w:pStyle w:val="Heading1"/>
        <w:spacing w:before="360" w:after="180"/>
        <w:rPr/>
      </w:pPr>
      <w:r>
        <w:rPr>
          <w:rFonts w:eastAsia="Arial" w:cs="Arial" w:ascii="Arial" w:hAnsi="Arial"/>
          <w:b/>
          <w:bCs/>
          <w:color w:val="0000FF"/>
          <w:sz w:val="36"/>
          <w:szCs w:val="36"/>
        </w:rPr>
        <w:t>12. Risk Treatment Plan and the Statement of Applicability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treatment of each risk is recorded in the Risk Treatment Plan (ISMS-RTP-001), with target dates, owners, and controls applied. The Statement of Applicability (ISMS-SOA-001) records, for each Annex A control, whether it is applicable, the justification, and the documents and registers that give it effect.</w:t>
      </w:r>
    </w:p>
    <w:p>
      <w:pPr>
        <w:pStyle w:val="Normal"/>
        <w:spacing w:lineRule="exact" w:line="300" w:before="80" w:after="120"/>
        <w:rPr/>
      </w:pPr>
      <w:r>
        <w:rPr>
          <w:rFonts w:eastAsia="Arial" w:cs="Arial"/>
          <w:color w:val="1A1A1A"/>
          <w:sz w:val="22"/>
          <w:szCs w:val="22"/>
        </w:rPr>
        <w:t>The Risk Register (REG-RISK-001), the Risk Treatment Plan (ISMS-RTP-001), and the Statement of Applicability (ISMS-SOA-001) are bidirectionally linked: each risk traces to the controls treating it, and each applicable control traces to the risks it addresses.</w:t>
      </w:r>
    </w:p>
    <w:p>
      <w:pPr>
        <w:pStyle w:val="Heading1"/>
        <w:spacing w:before="360" w:after="180"/>
        <w:rPr/>
      </w:pPr>
      <w:r>
        <w:rPr>
          <w:rFonts w:eastAsia="Arial" w:cs="Arial" w:ascii="Arial" w:hAnsi="Arial"/>
          <w:b/>
          <w:bCs/>
          <w:color w:val="0000FF"/>
          <w:sz w:val="36"/>
          <w:szCs w:val="36"/>
        </w:rPr>
        <w:t>13. Acceptance of Residual Risk</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After treatment, the residual risk is assessed. The risk owner formally accepts the residual risk in accordance with the authority levels in Section 10. Acceptance is recorded in the Risk Register with date, accepting role, and review date.</w:t>
      </w:r>
    </w:p>
    <w:p>
      <w:pPr>
        <w:pStyle w:val="Normal"/>
        <w:spacing w:lineRule="exact" w:line="300" w:before="80" w:after="120"/>
        <w:rPr/>
      </w:pPr>
      <w:r>
        <w:rPr>
          <w:rFonts w:eastAsia="Arial" w:cs="Arial"/>
          <w:color w:val="1A1A1A"/>
          <w:sz w:val="22"/>
          <w:szCs w:val="22"/>
        </w:rPr>
        <w:t>Residual risks above acceptance criteria are not closed; they remain open and are escalated.</w:t>
      </w:r>
    </w:p>
    <w:p>
      <w:pPr>
        <w:pStyle w:val="Heading1"/>
        <w:spacing w:before="360" w:after="180"/>
        <w:rPr/>
      </w:pPr>
      <w:r>
        <w:rPr>
          <w:rFonts w:eastAsia="Arial" w:cs="Arial" w:ascii="Arial" w:hAnsi="Arial"/>
          <w:b/>
          <w:bCs/>
          <w:color w:val="0000FF"/>
          <w:sz w:val="36"/>
          <w:szCs w:val="36"/>
        </w:rPr>
        <w:t>14. Risk Monitoring and Review</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All risks are reviewed at least annually as part of the formal risk assessment cycle.</w:t>
      </w:r>
    </w:p>
    <w:p>
      <w:pPr>
        <w:pStyle w:val="ListParagraph"/>
        <w:numPr>
          <w:ilvl w:val="0"/>
          <w:numId w:val="1"/>
        </w:numPr>
        <w:spacing w:lineRule="exact" w:line="280" w:before="40" w:after="40"/>
        <w:rPr/>
      </w:pPr>
      <w:r>
        <w:rPr>
          <w:rFonts w:eastAsia="Arial" w:cs="Arial"/>
          <w:color w:val="1A1A1A"/>
          <w:sz w:val="22"/>
          <w:szCs w:val="22"/>
        </w:rPr>
        <w:t>Critical and High risks are reviewed at least quarterly.</w:t>
      </w:r>
    </w:p>
    <w:p>
      <w:pPr>
        <w:pStyle w:val="ListParagraph"/>
        <w:numPr>
          <w:ilvl w:val="0"/>
          <w:numId w:val="1"/>
        </w:numPr>
        <w:spacing w:lineRule="exact" w:line="280" w:before="40" w:after="40"/>
        <w:rPr/>
      </w:pPr>
      <w:r>
        <w:rPr>
          <w:rFonts w:eastAsia="Arial" w:cs="Arial"/>
          <w:color w:val="1A1A1A"/>
          <w:sz w:val="22"/>
          <w:szCs w:val="22"/>
        </w:rPr>
        <w:t>Risks are reassessed on material change — to the business, technology, threat landscape, supplier base, regulatory environment, or following significant incidents.</w:t>
      </w:r>
    </w:p>
    <w:p>
      <w:pPr>
        <w:pStyle w:val="ListParagraph"/>
        <w:numPr>
          <w:ilvl w:val="0"/>
          <w:numId w:val="1"/>
        </w:numPr>
        <w:spacing w:lineRule="exact" w:line="280" w:before="40" w:after="40"/>
        <w:rPr/>
      </w:pPr>
      <w:r>
        <w:rPr>
          <w:rFonts w:eastAsia="Arial" w:cs="Arial"/>
          <w:color w:val="1A1A1A"/>
          <w:sz w:val="22"/>
          <w:szCs w:val="22"/>
        </w:rPr>
        <w:t>New risks identified between formal cycles are added to the Risk Register on identification.</w:t>
      </w:r>
    </w:p>
    <w:p>
      <w:pPr>
        <w:pStyle w:val="ListParagraph"/>
        <w:numPr>
          <w:ilvl w:val="0"/>
          <w:numId w:val="1"/>
        </w:numPr>
        <w:spacing w:lineRule="exact" w:line="280" w:before="40" w:after="40"/>
        <w:rPr/>
      </w:pPr>
      <w:r>
        <w:rPr>
          <w:rFonts w:eastAsia="Arial" w:cs="Arial"/>
          <w:color w:val="1A1A1A"/>
          <w:sz w:val="22"/>
          <w:szCs w:val="22"/>
        </w:rPr>
        <w:t>Outcomes of monitoring are reported to management review (MGT-MR-LOG).</w:t>
      </w:r>
    </w:p>
    <w:p>
      <w:pPr>
        <w:pStyle w:val="Heading1"/>
        <w:spacing w:before="360" w:after="180"/>
        <w:rPr/>
      </w:pPr>
      <w:r>
        <w:rPr>
          <w:rFonts w:eastAsia="Arial" w:cs="Arial" w:ascii="Arial" w:hAnsi="Arial"/>
          <w:b/>
          <w:bCs/>
          <w:color w:val="0000FF"/>
          <w:sz w:val="36"/>
          <w:szCs w:val="36"/>
        </w:rPr>
        <w:t>15. Documentation and Records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Risk management records are retained in accordance with POL-009 Records Retention Policy and Clause 7.5 of ISO/IEC 27001:2022. The principal records are:</w:t>
      </w:r>
    </w:p>
    <w:p>
      <w:pPr>
        <w:pStyle w:val="ListParagraph"/>
        <w:numPr>
          <w:ilvl w:val="0"/>
          <w:numId w:val="1"/>
        </w:numPr>
        <w:spacing w:lineRule="exact" w:line="280" w:before="40" w:after="40"/>
        <w:rPr/>
      </w:pPr>
      <w:r>
        <w:rPr>
          <w:rFonts w:eastAsia="Arial" w:cs="Arial"/>
          <w:color w:val="1A1A1A"/>
          <w:sz w:val="22"/>
          <w:szCs w:val="22"/>
        </w:rPr>
        <w:t>Risk Register (REG-RISK-001) — the master record of identified risks, scores, treatment, owners, and acceptance.</w:t>
      </w:r>
    </w:p>
    <w:p>
      <w:pPr>
        <w:pStyle w:val="ListParagraph"/>
        <w:numPr>
          <w:ilvl w:val="0"/>
          <w:numId w:val="1"/>
        </w:numPr>
        <w:spacing w:lineRule="exact" w:line="280" w:before="40" w:after="40"/>
        <w:rPr/>
      </w:pPr>
      <w:r>
        <w:rPr>
          <w:rFonts w:eastAsia="Arial" w:cs="Arial"/>
          <w:color w:val="1A1A1A"/>
          <w:sz w:val="22"/>
          <w:szCs w:val="22"/>
        </w:rPr>
        <w:t>Risk Treatment Plan (ISMS-RTP-001) — the active plan of treatments and target dates.</w:t>
      </w:r>
    </w:p>
    <w:p>
      <w:pPr>
        <w:pStyle w:val="ListParagraph"/>
        <w:numPr>
          <w:ilvl w:val="0"/>
          <w:numId w:val="1"/>
        </w:numPr>
        <w:spacing w:lineRule="exact" w:line="280" w:before="40" w:after="40"/>
        <w:rPr/>
      </w:pPr>
      <w:r>
        <w:rPr>
          <w:rFonts w:eastAsia="Arial" w:cs="Arial"/>
          <w:color w:val="1A1A1A"/>
          <w:sz w:val="22"/>
          <w:szCs w:val="22"/>
        </w:rPr>
        <w:t>Statement of Applicability (ISMS-SOA-001) — the authoritative record of applicable controls.</w:t>
      </w:r>
    </w:p>
    <w:p>
      <w:pPr>
        <w:pStyle w:val="ListParagraph"/>
        <w:numPr>
          <w:ilvl w:val="0"/>
          <w:numId w:val="1"/>
        </w:numPr>
        <w:spacing w:lineRule="exact" w:line="280" w:before="40" w:after="40"/>
        <w:rPr/>
      </w:pPr>
      <w:r>
        <w:rPr>
          <w:rFonts w:eastAsia="Arial" w:cs="Arial"/>
          <w:color w:val="1A1A1A"/>
          <w:sz w:val="22"/>
          <w:szCs w:val="22"/>
        </w:rPr>
        <w:t>Risk workshop notes, threat modelling outputs, and supporting analyses.</w:t>
      </w:r>
    </w:p>
    <w:p>
      <w:pPr>
        <w:pStyle w:val="ListParagraph"/>
        <w:numPr>
          <w:ilvl w:val="0"/>
          <w:numId w:val="1"/>
        </w:numPr>
        <w:spacing w:lineRule="exact" w:line="280" w:before="40" w:after="40"/>
        <w:rPr/>
      </w:pPr>
      <w:r>
        <w:rPr>
          <w:rFonts w:eastAsia="Arial" w:cs="Arial"/>
          <w:color w:val="1A1A1A"/>
          <w:sz w:val="22"/>
          <w:szCs w:val="22"/>
        </w:rPr>
        <w:t>Management review records (MGT-MR-LOG) covering risk discussion.</w:t>
      </w:r>
    </w:p>
    <w:p>
      <w:pPr>
        <w:pStyle w:val="Heading1"/>
        <w:spacing w:before="360" w:after="180"/>
        <w:rPr/>
      </w:pPr>
      <w:r>
        <w:rPr>
          <w:rFonts w:eastAsia="Arial" w:cs="Arial" w:ascii="Arial" w:hAnsi="Arial"/>
          <w:b/>
          <w:bCs/>
          <w:color w:val="0000FF"/>
          <w:sz w:val="36"/>
          <w:szCs w:val="36"/>
        </w:rPr>
        <w:t>16.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Methodology is reviewed at least annually and on material change. Material changes are approved by the Chief Executive Officer and recorded in Annex B.</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27001:2022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27001:2022. The authoritative ISMS scope and Annex A control selection are recorded in the Statement of Applicability (ISMS-SOA-001 v4.0).</w:t>
      </w:r>
    </w:p>
    <w:tbl>
      <w:tblPr>
        <w:tblW w:w="9026" w:type="dxa"/>
        <w:jc w:val="start"/>
        <w:tblInd w:w="0" w:type="dxa"/>
        <w:tblLayout w:type="fixed"/>
        <w:tblCellMar>
          <w:top w:w="100" w:type="dxa"/>
          <w:start w:w="160" w:type="dxa"/>
          <w:bottom w:w="100" w:type="dxa"/>
          <w:end w:w="16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6.1.1</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Actions to address risks and opportunities — General</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The whole document establishes the risk-based approach.</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6.1.2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Information security risk assessment</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Sections 7–10 cover identification, analysis, and evaluation; Sections 4 and 13 establish criteria.</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6.1.3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Information security risk treatment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Sections 11–13 cover treatment selection, the SoA linkage, and acceptance.</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8.2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Information security risk assessment</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 14 establishes the cadence for performing risk assessment.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8.3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Information security risk treatment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 14 establishes the cadence for implementing risk treatment.</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9.3</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Management review</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 14 ensures risk outcomes feed into management review.</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ISMS-RA-001 Risk Assessment Methodology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ISMS-RA-001 Risk Assessment Methodology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2026-04-10T13:16:29Z</dcterms:created>
  <dc:creator>David Stokes</dc:creator>
  <dc:description/>
  <dc:language>en-US</dc:language>
  <cp:lastModifiedBy>David Stokes</cp:lastModifiedBy>
  <dcterms:modified xsi:type="dcterms:W3CDTF">2026-04-10T15:48:29Z</dcterms:modified>
  <cp:revision>1</cp:revision>
  <dc:subject/>
  <dc:title>Cloudax Risk Assessment Methodology</dc:title>
</cp:coreProperties>
</file>

<file path=docProps/custom.xml><?xml version="1.0" encoding="utf-8"?>
<Properties xmlns="http://schemas.openxmlformats.org/officeDocument/2006/custom-properties" xmlns:vt="http://schemas.openxmlformats.org/officeDocument/2006/docPropsVTypes"/>
</file>