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Risk Treatment Plan</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ISMS-RTP-001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Risk Treatment Plan</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Relationship to the Risk Register and the SoA</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Treatment Selection Approach</w:t>
      </w:r>
    </w:p>
    <w:p>
      <w:pPr>
        <w:pStyle w:val="Normal"/>
        <w:spacing w:before="40" w:after="40"/>
        <w:rPr/>
      </w:pPr>
      <w:r>
        <w:rPr>
          <w:rFonts w:eastAsia="Arial" w:cs="Arial"/>
          <w:color w:val="1A1A1A"/>
          <w:sz w:val="22"/>
          <w:szCs w:val="22"/>
        </w:rPr>
        <w:t>6. Treatment Categories</w:t>
      </w:r>
    </w:p>
    <w:p>
      <w:pPr>
        <w:pStyle w:val="Normal"/>
        <w:spacing w:before="40" w:after="40"/>
        <w:rPr/>
      </w:pPr>
      <w:r>
        <w:rPr>
          <w:rFonts w:eastAsia="Arial" w:cs="Arial"/>
          <w:color w:val="1A1A1A"/>
          <w:sz w:val="22"/>
          <w:szCs w:val="22"/>
        </w:rPr>
        <w:t>7. The Risk Treatment Plan</w:t>
      </w:r>
    </w:p>
    <w:p>
      <w:pPr>
        <w:pStyle w:val="Normal"/>
        <w:spacing w:before="40" w:after="40"/>
        <w:rPr/>
      </w:pPr>
      <w:r>
        <w:rPr>
          <w:rFonts w:eastAsia="Arial" w:cs="Arial"/>
          <w:color w:val="1A1A1A"/>
          <w:sz w:val="22"/>
          <w:szCs w:val="22"/>
        </w:rPr>
        <w:t xml:space="preserve">   </w:t>
      </w:r>
      <w:r>
        <w:rPr>
          <w:rFonts w:eastAsia="Arial" w:cs="Arial"/>
          <w:color w:val="1A1A1A"/>
          <w:sz w:val="22"/>
          <w:szCs w:val="22"/>
        </w:rPr>
        <w:t>7.1 Active Treatments</w:t>
      </w:r>
    </w:p>
    <w:p>
      <w:pPr>
        <w:pStyle w:val="Normal"/>
        <w:spacing w:before="40" w:after="40"/>
        <w:rPr/>
      </w:pPr>
      <w:r>
        <w:rPr>
          <w:rFonts w:eastAsia="Arial" w:cs="Arial"/>
          <w:color w:val="1A1A1A"/>
          <w:sz w:val="22"/>
          <w:szCs w:val="22"/>
        </w:rPr>
        <w:t xml:space="preserve">   </w:t>
      </w:r>
      <w:r>
        <w:rPr>
          <w:rFonts w:eastAsia="Arial" w:cs="Arial"/>
          <w:color w:val="1A1A1A"/>
          <w:sz w:val="22"/>
          <w:szCs w:val="22"/>
        </w:rPr>
        <w:t>7.2 Treatments Awaiting Implementation</w:t>
      </w:r>
    </w:p>
    <w:p>
      <w:pPr>
        <w:pStyle w:val="Normal"/>
        <w:spacing w:before="40" w:after="40"/>
        <w:rPr/>
      </w:pPr>
      <w:r>
        <w:rPr>
          <w:rFonts w:eastAsia="Arial" w:cs="Arial"/>
          <w:color w:val="1A1A1A"/>
          <w:sz w:val="22"/>
          <w:szCs w:val="22"/>
        </w:rPr>
        <w:t xml:space="preserve">   </w:t>
      </w:r>
      <w:r>
        <w:rPr>
          <w:rFonts w:eastAsia="Arial" w:cs="Arial"/>
          <w:color w:val="1A1A1A"/>
          <w:sz w:val="22"/>
          <w:szCs w:val="22"/>
        </w:rPr>
        <w:t>7.3 Accepted Risks (without further treatment)</w:t>
      </w:r>
    </w:p>
    <w:p>
      <w:pPr>
        <w:pStyle w:val="Normal"/>
        <w:spacing w:before="40" w:after="40"/>
        <w:rPr/>
      </w:pPr>
      <w:r>
        <w:rPr>
          <w:rFonts w:eastAsia="Arial" w:cs="Arial"/>
          <w:color w:val="1A1A1A"/>
          <w:sz w:val="22"/>
          <w:szCs w:val="22"/>
        </w:rPr>
        <w:t>8. Tracking and Reporting</w:t>
      </w:r>
    </w:p>
    <w:p>
      <w:pPr>
        <w:pStyle w:val="Normal"/>
        <w:spacing w:before="40" w:after="40"/>
        <w:rPr/>
      </w:pPr>
      <w:r>
        <w:rPr>
          <w:rFonts w:eastAsia="Arial" w:cs="Arial"/>
          <w:color w:val="1A1A1A"/>
          <w:sz w:val="22"/>
          <w:szCs w:val="22"/>
        </w:rPr>
        <w:t>9. Closure of Treatments</w:t>
      </w:r>
    </w:p>
    <w:p>
      <w:pPr>
        <w:pStyle w:val="Normal"/>
        <w:spacing w:before="40" w:after="40"/>
        <w:rPr/>
      </w:pPr>
      <w:r>
        <w:rPr>
          <w:rFonts w:eastAsia="Arial" w:cs="Arial"/>
          <w:color w:val="1A1A1A"/>
          <w:sz w:val="22"/>
          <w:szCs w:val="22"/>
        </w:rPr>
        <w:t>10. Review and Maintenance</w:t>
      </w:r>
    </w:p>
    <w:p>
      <w:pPr>
        <w:pStyle w:val="Normal"/>
        <w:spacing w:before="40" w:after="40"/>
        <w:rPr/>
      </w:pPr>
      <w:r>
        <w:rPr>
          <w:rFonts w:eastAsia="Arial" w:cs="Arial"/>
          <w:color w:val="1A1A1A"/>
          <w:sz w:val="22"/>
          <w:szCs w:val="22"/>
        </w:rPr>
        <w:t>Annex A — ISO/IEC 27001:2022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Risk Treatment Plan documents how Cloudax Ltd. is treating the information security risks identified in the Risk Register (REG-RISK-001). It records the selected treatment, the controls applied, the owner, the target completion date, and the current status for each risk requiring treatment.</w:t>
      </w:r>
    </w:p>
    <w:p>
      <w:pPr>
        <w:pStyle w:val="Normal"/>
        <w:spacing w:lineRule="exact" w:line="300" w:before="80" w:after="120"/>
        <w:rPr/>
      </w:pPr>
      <w:r>
        <w:rPr>
          <w:rFonts w:eastAsia="Arial" w:cs="Arial"/>
          <w:color w:val="1A1A1A"/>
          <w:sz w:val="22"/>
          <w:szCs w:val="22"/>
        </w:rPr>
        <w:t>This Plan operates as a living document, updated as treatments are implemented, completed, or revised.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6.1.3 Information security risk treatment; Clause 8.3 Information security risk treatment</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covers all risks recorded in REG-RISK-001 that require treatment under the Risk Assessment Methodology (ISMS-RA-001), within the scope defined in ISMS-SCOPE-001.</w:t>
      </w:r>
    </w:p>
    <w:p>
      <w:pPr>
        <w:pStyle w:val="Heading1"/>
        <w:spacing w:before="360" w:after="180"/>
        <w:rPr/>
      </w:pPr>
      <w:r>
        <w:rPr>
          <w:rFonts w:eastAsia="Arial" w:cs="Arial" w:ascii="Arial" w:hAnsi="Arial"/>
          <w:b/>
          <w:bCs/>
          <w:color w:val="0000FF"/>
          <w:sz w:val="36"/>
          <w:szCs w:val="36"/>
        </w:rPr>
        <w:t>3. Relationship to the Risk Register and the SoA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the Risk Register (REG-RISK-001), and the Statement of Applicability (ISMS-SOA-001) are mutually linked:</w:t>
      </w:r>
    </w:p>
    <w:p>
      <w:pPr>
        <w:pStyle w:val="ListParagraph"/>
        <w:numPr>
          <w:ilvl w:val="0"/>
          <w:numId w:val="3"/>
        </w:numPr>
        <w:spacing w:lineRule="exact" w:line="280" w:before="40" w:after="40"/>
        <w:rPr/>
      </w:pPr>
      <w:r>
        <w:rPr>
          <w:rFonts w:eastAsia="Arial" w:cs="Arial"/>
          <w:color w:val="1A1A1A"/>
          <w:sz w:val="22"/>
          <w:szCs w:val="22"/>
        </w:rPr>
        <w:t>The Risk Register identifies risks, owners, and inherent and residual scores.</w:t>
      </w:r>
    </w:p>
    <w:p>
      <w:pPr>
        <w:pStyle w:val="ListParagraph"/>
        <w:numPr>
          <w:ilvl w:val="0"/>
          <w:numId w:val="1"/>
        </w:numPr>
        <w:spacing w:lineRule="exact" w:line="280" w:before="40" w:after="40"/>
        <w:rPr/>
      </w:pPr>
      <w:r>
        <w:rPr>
          <w:rFonts w:eastAsia="Arial" w:cs="Arial"/>
          <w:color w:val="1A1A1A"/>
          <w:sz w:val="22"/>
          <w:szCs w:val="22"/>
        </w:rPr>
        <w:t>The Statement of Applicability records, for each Annex A control, whether it is applicable and the documents that give it effect.</w:t>
      </w:r>
    </w:p>
    <w:p>
      <w:pPr>
        <w:pStyle w:val="ListParagraph"/>
        <w:numPr>
          <w:ilvl w:val="0"/>
          <w:numId w:val="1"/>
        </w:numPr>
        <w:spacing w:lineRule="exact" w:line="280" w:before="40" w:after="40"/>
        <w:rPr/>
      </w:pPr>
      <w:r>
        <w:rPr>
          <w:rFonts w:eastAsia="Arial" w:cs="Arial"/>
          <w:color w:val="1A1A1A"/>
          <w:sz w:val="22"/>
          <w:szCs w:val="22"/>
        </w:rPr>
        <w:t>This Plan records, for each risk requiring treatment, which controls are being applied, the target date, and the status of implementation.</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Chief Executive Officer: approves the Plan and accepts residual risk above the executive threshold.</w:t>
      </w:r>
    </w:p>
    <w:p>
      <w:pPr>
        <w:pStyle w:val="ListParagraph"/>
        <w:numPr>
          <w:ilvl w:val="0"/>
          <w:numId w:val="1"/>
        </w:numPr>
        <w:spacing w:lineRule="exact" w:line="280" w:before="40" w:after="40"/>
        <w:rPr/>
      </w:pPr>
      <w:r>
        <w:rPr>
          <w:rFonts w:eastAsia="Arial" w:cs="Arial"/>
          <w:color w:val="1A1A1A"/>
          <w:sz w:val="22"/>
          <w:szCs w:val="22"/>
        </w:rPr>
        <w:t>Information Security Manager: owns the Plan; coordinates risk workshops; tracks progress; reports to management review.</w:t>
      </w:r>
    </w:p>
    <w:p>
      <w:pPr>
        <w:pStyle w:val="ListParagraph"/>
        <w:numPr>
          <w:ilvl w:val="0"/>
          <w:numId w:val="1"/>
        </w:numPr>
        <w:spacing w:lineRule="exact" w:line="280" w:before="40" w:after="40"/>
        <w:rPr/>
      </w:pPr>
      <w:r>
        <w:rPr>
          <w:rFonts w:eastAsia="Arial" w:cs="Arial"/>
          <w:color w:val="1A1A1A"/>
          <w:sz w:val="22"/>
          <w:szCs w:val="22"/>
        </w:rPr>
        <w:t>Risk owners: drive treatment to completion, including approval of design, implementation, and verification.</w:t>
      </w:r>
    </w:p>
    <w:p>
      <w:pPr>
        <w:pStyle w:val="ListParagraph"/>
        <w:numPr>
          <w:ilvl w:val="0"/>
          <w:numId w:val="1"/>
        </w:numPr>
        <w:spacing w:lineRule="exact" w:line="280" w:before="40" w:after="40"/>
        <w:rPr/>
      </w:pPr>
      <w:r>
        <w:rPr>
          <w:rFonts w:eastAsia="Arial" w:cs="Arial"/>
          <w:color w:val="1A1A1A"/>
          <w:sz w:val="22"/>
          <w:szCs w:val="22"/>
        </w:rPr>
        <w:t>Control implementers: deliver the controls assigned to a treatment.</w:t>
      </w:r>
    </w:p>
    <w:p>
      <w:pPr>
        <w:pStyle w:val="Heading1"/>
        <w:spacing w:before="360" w:after="180"/>
        <w:rPr/>
      </w:pPr>
      <w:r>
        <w:rPr>
          <w:rFonts w:eastAsia="Arial" w:cs="Arial" w:ascii="Arial" w:hAnsi="Arial"/>
          <w:b/>
          <w:bCs/>
          <w:color w:val="0000FF"/>
          <w:sz w:val="36"/>
          <w:szCs w:val="36"/>
        </w:rPr>
        <w:t>5. Treatment Selection Approach</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Treatment is selected by the risk owner in accordance with the Risk Assessment Methodology (Section 11). The default is to apply controls drawn from the Statement of Applicability and supporting policies. Where the SoA controls are not sufficient, additional controls are identified and recorded against the affected SoA entries.</w:t>
      </w:r>
    </w:p>
    <w:p>
      <w:pPr>
        <w:pStyle w:val="Heading1"/>
        <w:spacing w:before="360" w:after="180"/>
        <w:rPr/>
      </w:pPr>
      <w:r>
        <w:rPr>
          <w:rFonts w:eastAsia="Arial" w:cs="Arial" w:ascii="Arial" w:hAnsi="Arial"/>
          <w:b/>
          <w:bCs/>
          <w:color w:val="0000FF"/>
          <w:sz w:val="36"/>
          <w:szCs w:val="36"/>
        </w:rPr>
        <w:t>6. Treatment Categories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Treatments are categorised for tracking purposes:</w:t>
      </w:r>
    </w:p>
    <w:p>
      <w:pPr>
        <w:pStyle w:val="ListParagraph"/>
        <w:numPr>
          <w:ilvl w:val="0"/>
          <w:numId w:val="1"/>
        </w:numPr>
        <w:spacing w:lineRule="exact" w:line="280" w:before="40" w:after="40"/>
        <w:rPr/>
      </w:pPr>
      <w:r>
        <w:rPr>
          <w:rFonts w:eastAsia="Arial" w:cs="Arial"/>
          <w:b/>
          <w:bCs/>
          <w:color w:val="1A1A1A"/>
          <w:sz w:val="22"/>
          <w:szCs w:val="22"/>
        </w:rPr>
        <w:t xml:space="preserve">Implemented: </w:t>
      </w:r>
      <w:r>
        <w:rPr>
          <w:rFonts w:eastAsia="Arial" w:cs="Arial"/>
          <w:color w:val="1A1A1A"/>
          <w:sz w:val="22"/>
          <w:szCs w:val="22"/>
        </w:rPr>
        <w:t>controls are in place and operating; residual risk has been re-scored and accepted by the risk owner.</w:t>
      </w:r>
    </w:p>
    <w:p>
      <w:pPr>
        <w:pStyle w:val="ListParagraph"/>
        <w:numPr>
          <w:ilvl w:val="0"/>
          <w:numId w:val="1"/>
        </w:numPr>
        <w:spacing w:lineRule="exact" w:line="280" w:before="40" w:after="40"/>
        <w:rPr/>
      </w:pPr>
      <w:r>
        <w:rPr>
          <w:rFonts w:eastAsia="Arial" w:cs="Arial"/>
          <w:b/>
          <w:bCs/>
          <w:color w:val="1A1A1A"/>
          <w:sz w:val="22"/>
          <w:szCs w:val="22"/>
        </w:rPr>
        <w:t xml:space="preserve">In progress: </w:t>
      </w:r>
      <w:r>
        <w:rPr>
          <w:rFonts w:eastAsia="Arial" w:cs="Arial"/>
          <w:color w:val="1A1A1A"/>
          <w:sz w:val="22"/>
          <w:szCs w:val="22"/>
        </w:rPr>
        <w:t>treatment is being designed or implemented against a target date.</w:t>
      </w:r>
    </w:p>
    <w:p>
      <w:pPr>
        <w:pStyle w:val="ListParagraph"/>
        <w:numPr>
          <w:ilvl w:val="0"/>
          <w:numId w:val="1"/>
        </w:numPr>
        <w:spacing w:lineRule="exact" w:line="280" w:before="40" w:after="40"/>
        <w:rPr/>
      </w:pPr>
      <w:r>
        <w:rPr>
          <w:rFonts w:eastAsia="Arial" w:cs="Arial"/>
          <w:b/>
          <w:bCs/>
          <w:color w:val="1A1A1A"/>
          <w:sz w:val="22"/>
          <w:szCs w:val="22"/>
        </w:rPr>
        <w:t xml:space="preserve">Planned: </w:t>
      </w:r>
      <w:r>
        <w:rPr>
          <w:rFonts w:eastAsia="Arial" w:cs="Arial"/>
          <w:color w:val="1A1A1A"/>
          <w:sz w:val="22"/>
          <w:szCs w:val="22"/>
        </w:rPr>
        <w:t>treatment is approved but not yet started.</w:t>
      </w:r>
    </w:p>
    <w:p>
      <w:pPr>
        <w:pStyle w:val="ListParagraph"/>
        <w:numPr>
          <w:ilvl w:val="0"/>
          <w:numId w:val="1"/>
        </w:numPr>
        <w:spacing w:lineRule="exact" w:line="280" w:before="40" w:after="40"/>
        <w:rPr/>
      </w:pPr>
      <w:r>
        <w:rPr>
          <w:rFonts w:eastAsia="Arial" w:cs="Arial"/>
          <w:b/>
          <w:bCs/>
          <w:color w:val="1A1A1A"/>
          <w:sz w:val="22"/>
          <w:szCs w:val="22"/>
        </w:rPr>
        <w:t xml:space="preserve">Accepted: </w:t>
      </w:r>
      <w:r>
        <w:rPr>
          <w:rFonts w:eastAsia="Arial" w:cs="Arial"/>
          <w:color w:val="1A1A1A"/>
          <w:sz w:val="22"/>
          <w:szCs w:val="22"/>
        </w:rPr>
        <w:t>residual risk is accepted by an authorised role without further treatment.</w:t>
      </w:r>
    </w:p>
    <w:p>
      <w:pPr>
        <w:pStyle w:val="ListParagraph"/>
        <w:numPr>
          <w:ilvl w:val="0"/>
          <w:numId w:val="1"/>
        </w:numPr>
        <w:spacing w:lineRule="exact" w:line="280" w:before="40" w:after="40"/>
        <w:rPr/>
      </w:pPr>
      <w:r>
        <w:rPr>
          <w:rFonts w:eastAsia="Arial" w:cs="Arial"/>
          <w:b/>
          <w:bCs/>
          <w:color w:val="1A1A1A"/>
          <w:sz w:val="22"/>
          <w:szCs w:val="22"/>
        </w:rPr>
        <w:t xml:space="preserve">Avoided: </w:t>
      </w:r>
      <w:r>
        <w:rPr>
          <w:rFonts w:eastAsia="Arial" w:cs="Arial"/>
          <w:color w:val="1A1A1A"/>
          <w:sz w:val="22"/>
          <w:szCs w:val="22"/>
        </w:rPr>
        <w:t>the activity giving rise to the risk has been ceased or changed.</w:t>
      </w:r>
    </w:p>
    <w:p>
      <w:pPr>
        <w:pStyle w:val="ListParagraph"/>
        <w:numPr>
          <w:ilvl w:val="0"/>
          <w:numId w:val="1"/>
        </w:numPr>
        <w:spacing w:lineRule="exact" w:line="280" w:before="40" w:after="40"/>
        <w:rPr/>
      </w:pPr>
      <w:r>
        <w:rPr>
          <w:rFonts w:eastAsia="Arial" w:cs="Arial"/>
          <w:b/>
          <w:bCs/>
          <w:color w:val="1A1A1A"/>
          <w:sz w:val="22"/>
          <w:szCs w:val="22"/>
        </w:rPr>
        <w:t xml:space="preserve">Shared: </w:t>
      </w:r>
      <w:r>
        <w:rPr>
          <w:rFonts w:eastAsia="Arial" w:cs="Arial"/>
          <w:color w:val="1A1A1A"/>
          <w:sz w:val="22"/>
          <w:szCs w:val="22"/>
        </w:rPr>
        <w:t>treatment is implemented through transfer to a third party (e.g. insurance).</w:t>
      </w:r>
    </w:p>
    <w:p>
      <w:pPr>
        <w:pStyle w:val="Heading1"/>
        <w:spacing w:before="360" w:after="180"/>
        <w:rPr/>
      </w:pPr>
      <w:r>
        <w:rPr>
          <w:rFonts w:eastAsia="Arial" w:cs="Arial" w:ascii="Arial" w:hAnsi="Arial"/>
          <w:b/>
          <w:bCs/>
          <w:color w:val="0000FF"/>
          <w:sz w:val="36"/>
          <w:szCs w:val="36"/>
        </w:rPr>
        <w:t>7. The Risk Treatment Plan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detail of every active and accepted risk treatment is recorded in the Risk Register (REG-RISK-001), which is the operational tool for managing this Plan day-to-day. The summary tables in this section give the high-level position. Detailed risk records, including descriptions, scoring, and implementation evidence, are in REG-RISK-001.</w:t>
      </w:r>
    </w:p>
    <w:p>
      <w:pPr>
        <w:pStyle w:val="Heading2"/>
        <w:spacing w:before="280" w:after="140"/>
        <w:rPr/>
      </w:pPr>
      <w:r>
        <w:rPr>
          <w:rFonts w:eastAsia="Arial" w:cs="Arial" w:ascii="Arial" w:hAnsi="Arial"/>
          <w:b/>
          <w:bCs/>
          <w:color w:val="0000FF"/>
          <w:sz w:val="28"/>
          <w:szCs w:val="28"/>
        </w:rPr>
        <w:t>7.1 Active Treatments</w:t>
      </w:r>
    </w:p>
    <w:p>
      <w:pPr>
        <w:pStyle w:val="Normal"/>
        <w:spacing w:lineRule="exact" w:line="300" w:before="80" w:after="120"/>
        <w:rPr/>
      </w:pPr>
      <w:r>
        <w:rPr>
          <w:rFonts w:eastAsia="Arial" w:cs="Arial"/>
          <w:color w:val="1A1A1A"/>
          <w:sz w:val="22"/>
          <w:szCs w:val="22"/>
        </w:rPr>
        <w:t>Risks for which controls are being implemented or are recently implemented and pending verification. Each row corresponds to a risk recorded in the Risk Register. This summary is reproduced from the Risk Register at the issue date and is refreshed at each formal management review; for the live position, refer to REG-RISK-001.</w:t>
      </w:r>
    </w:p>
    <w:p>
      <w:pPr>
        <w:pStyle w:val="Normal"/>
        <w:spacing w:before="60" w:after="60"/>
        <w:rPr/>
      </w:pPr>
      <w:r>
        <w:rPr/>
      </w:r>
    </w:p>
    <w:tbl>
      <w:tblPr>
        <w:tblW w:w="9026" w:type="dxa"/>
        <w:jc w:val="start"/>
        <w:tblInd w:w="0" w:type="dxa"/>
        <w:tblLayout w:type="fixed"/>
        <w:tblCellMar>
          <w:top w:w="100" w:type="dxa"/>
          <w:start w:w="160" w:type="dxa"/>
          <w:bottom w:w="100" w:type="dxa"/>
          <w:end w:w="160" w:type="dxa"/>
        </w:tblCellMar>
      </w:tblPr>
      <w:tblGrid>
        <w:gridCol w:w="1299"/>
        <w:gridCol w:w="4326"/>
        <w:gridCol w:w="1501"/>
        <w:gridCol w:w="1199"/>
        <w:gridCol w:w="701"/>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RISK ID</w:t>
            </w:r>
          </w:p>
        </w:tc>
        <w:tc>
          <w:tcPr>
            <w:tcW w:w="4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TREATMENT SUMMARY</w:t>
            </w:r>
          </w:p>
        </w:tc>
        <w:tc>
          <w:tcPr>
            <w:tcW w:w="15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OWNER</w:t>
            </w:r>
          </w:p>
        </w:tc>
        <w:tc>
          <w:tcPr>
            <w:tcW w:w="1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TARGET DATE</w:t>
            </w:r>
          </w:p>
        </w:tc>
        <w:tc>
          <w:tcPr>
            <w:tcW w:w="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STATUS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[R-xxx]</w:t>
            </w:r>
          </w:p>
        </w:tc>
        <w:tc>
          <w:tcPr>
            <w:tcW w:w="4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[Insert summary of treatment, e.g. “Implement zero-trust access broker for production environments”]</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[Owner role/name]</w:t>
            </w:r>
          </w:p>
        </w:tc>
        <w:tc>
          <w:tcPr>
            <w:tcW w:w="1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[Target date]</w:t>
            </w:r>
          </w:p>
        </w:tc>
        <w:tc>
          <w:tcPr>
            <w:tcW w:w="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 progress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[R-xxx]</w:t>
            </w:r>
          </w:p>
        </w:tc>
        <w:tc>
          <w:tcPr>
            <w:tcW w:w="4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[Insert treatment summary]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[Owner]</w:t>
            </w:r>
          </w:p>
        </w:tc>
        <w:tc>
          <w:tcPr>
            <w:tcW w:w="1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[Date]</w:t>
            </w:r>
          </w:p>
        </w:tc>
        <w:tc>
          <w:tcPr>
            <w:tcW w:w="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 progress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[R-xxx]</w:t>
            </w:r>
          </w:p>
        </w:tc>
        <w:tc>
          <w:tcPr>
            <w:tcW w:w="4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[Insert treatment summary]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[Owner]</w:t>
            </w:r>
          </w:p>
        </w:tc>
        <w:tc>
          <w:tcPr>
            <w:tcW w:w="1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[Date]</w:t>
            </w:r>
          </w:p>
        </w:tc>
        <w:tc>
          <w:tcPr>
            <w:tcW w:w="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Implemented — awaiting verification</w:t>
            </w:r>
          </w:p>
        </w:tc>
      </w:tr>
    </w:tbl>
    <w:p>
      <w:pPr>
        <w:pStyle w:val="Normal"/>
        <w:spacing w:lineRule="exact" w:line="300" w:before="80" w:after="120"/>
        <w:rPr/>
      </w:pPr>
      <w:r>
        <w:rPr>
          <w:rFonts w:eastAsia="Arial" w:cs="Arial"/>
          <w:color w:val="1A1A1A"/>
          <w:sz w:val="22"/>
          <w:szCs w:val="22"/>
        </w:rPr>
        <w:t>Note: this summary table records active treatments at the issue date. The Risk Register holds the authoritative current status. The Plan is refreshed in line with the cadence in Section 10.</w:t>
      </w:r>
    </w:p>
    <w:p>
      <w:pPr>
        <w:pStyle w:val="Heading2"/>
        <w:spacing w:before="280" w:after="140"/>
        <w:rPr/>
      </w:pPr>
      <w:r>
        <w:rPr>
          <w:rFonts w:eastAsia="Arial" w:cs="Arial" w:ascii="Arial" w:hAnsi="Arial"/>
          <w:b/>
          <w:bCs/>
          <w:color w:val="0000FF"/>
          <w:sz w:val="28"/>
          <w:szCs w:val="28"/>
        </w:rPr>
        <w:t>7.2 Treatments Awaiting Implementation</w:t>
      </w:r>
    </w:p>
    <w:p>
      <w:pPr>
        <w:pStyle w:val="Normal"/>
        <w:spacing w:lineRule="exact" w:line="300" w:before="80" w:after="120"/>
        <w:rPr/>
      </w:pPr>
      <w:r>
        <w:rPr>
          <w:rFonts w:eastAsia="Arial" w:cs="Arial"/>
          <w:color w:val="1A1A1A"/>
          <w:sz w:val="22"/>
          <w:szCs w:val="22"/>
        </w:rPr>
        <w:t>Risks for which treatment has been agreed but implementation has not yet started. Often associated with planned procedures, registers, or supplier engagements scheduled in PROG-AUDIT-001 or supporting programmes.</w:t>
      </w:r>
    </w:p>
    <w:p>
      <w:pPr>
        <w:pStyle w:val="Normal"/>
        <w:spacing w:before="60" w:after="60"/>
        <w:rPr/>
      </w:pPr>
      <w:r>
        <w:rPr/>
      </w:r>
    </w:p>
    <w:tbl>
      <w:tblPr>
        <w:tblW w:w="9026" w:type="dxa"/>
        <w:jc w:val="start"/>
        <w:tblInd w:w="0" w:type="dxa"/>
        <w:tblLayout w:type="fixed"/>
        <w:tblCellMar>
          <w:top w:w="100" w:type="dxa"/>
          <w:start w:w="160" w:type="dxa"/>
          <w:bottom w:w="100" w:type="dxa"/>
          <w:end w:w="160" w:type="dxa"/>
        </w:tblCellMar>
      </w:tblPr>
      <w:tblGrid>
        <w:gridCol w:w="1299"/>
        <w:gridCol w:w="5027"/>
        <w:gridCol w:w="1500"/>
        <w:gridCol w:w="1199"/>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RISK ID</w:t>
            </w:r>
          </w:p>
        </w:tc>
        <w:tc>
          <w:tcPr>
            <w:tcW w:w="50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TREATMENT SUMMARY</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OWNER</w:t>
            </w:r>
          </w:p>
        </w:tc>
        <w:tc>
          <w:tcPr>
            <w:tcW w:w="1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PLANNED START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[R-xxx]</w:t>
            </w:r>
          </w:p>
        </w:tc>
        <w:tc>
          <w:tcPr>
            <w:tcW w:w="5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[Insert planned treatment]</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[Owner]</w:t>
            </w:r>
          </w:p>
        </w:tc>
        <w:tc>
          <w:tcPr>
            <w:tcW w:w="1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[Date]</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[R-xxx]</w:t>
            </w:r>
          </w:p>
        </w:tc>
        <w:tc>
          <w:tcPr>
            <w:tcW w:w="5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[Insert planned treatment]</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[Owner]</w:t>
            </w:r>
          </w:p>
        </w:tc>
        <w:tc>
          <w:tcPr>
            <w:tcW w:w="1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[Date]</w:t>
            </w:r>
          </w:p>
        </w:tc>
      </w:tr>
    </w:tbl>
    <w:p>
      <w:pPr>
        <w:pStyle w:val="Heading2"/>
        <w:spacing w:before="280" w:after="140"/>
        <w:rPr/>
      </w:pPr>
      <w:r>
        <w:rPr>
          <w:rFonts w:eastAsia="Arial" w:cs="Arial" w:ascii="Arial" w:hAnsi="Arial"/>
          <w:b/>
          <w:bCs/>
          <w:color w:val="0000FF"/>
          <w:sz w:val="28"/>
          <w:szCs w:val="28"/>
        </w:rPr>
        <w:t>7.3 Accepted Risks (without further treatment)</w:t>
      </w:r>
    </w:p>
    <w:p>
      <w:pPr>
        <w:pStyle w:val="Normal"/>
        <w:spacing w:lineRule="exact" w:line="300" w:before="80" w:after="120"/>
        <w:rPr/>
      </w:pPr>
      <w:r>
        <w:rPr>
          <w:rFonts w:eastAsia="Arial" w:cs="Arial"/>
          <w:color w:val="1A1A1A"/>
          <w:sz w:val="22"/>
          <w:szCs w:val="22"/>
        </w:rPr>
        <w:t>Risks for which the residual position is acceptable and no further treatment is planned at this review. Acceptance has been recorded by an authorised role in accordance with the Risk Assessment Methodology, Section 10.</w:t>
      </w:r>
    </w:p>
    <w:p>
      <w:pPr>
        <w:pStyle w:val="Normal"/>
        <w:spacing w:before="60" w:after="60"/>
        <w:rPr/>
      </w:pPr>
      <w:r>
        <w:rPr/>
      </w:r>
    </w:p>
    <w:tbl>
      <w:tblPr>
        <w:tblW w:w="9026" w:type="dxa"/>
        <w:jc w:val="start"/>
        <w:tblInd w:w="0" w:type="dxa"/>
        <w:tblLayout w:type="fixed"/>
        <w:tblCellMar>
          <w:top w:w="100" w:type="dxa"/>
          <w:start w:w="160" w:type="dxa"/>
          <w:bottom w:w="100" w:type="dxa"/>
          <w:end w:w="160" w:type="dxa"/>
        </w:tblCellMar>
      </w:tblPr>
      <w:tblGrid>
        <w:gridCol w:w="1299"/>
        <w:gridCol w:w="5027"/>
        <w:gridCol w:w="1500"/>
        <w:gridCol w:w="1199"/>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RISK ID</w:t>
            </w:r>
          </w:p>
        </w:tc>
        <w:tc>
          <w:tcPr>
            <w:tcW w:w="50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ACCEPTANCE RATIONALE</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ACCEPTED BY</w:t>
            </w:r>
          </w:p>
        </w:tc>
        <w:tc>
          <w:tcPr>
            <w:tcW w:w="1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REVIEW DATE</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[R-xxx]</w:t>
            </w:r>
          </w:p>
        </w:tc>
        <w:tc>
          <w:tcPr>
            <w:tcW w:w="5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[Insert rationale, e.g. “Inherent risk reduced to within acceptance threshold by existing controls; cost of further treatment disproportionate to residual exposure.”]</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[Role]</w:t>
            </w:r>
          </w:p>
        </w:tc>
        <w:tc>
          <w:tcPr>
            <w:tcW w:w="1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[Next review]</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[R-xxx]</w:t>
            </w:r>
          </w:p>
        </w:tc>
        <w:tc>
          <w:tcPr>
            <w:tcW w:w="5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[Insert rationale]</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[Role]</w:t>
            </w:r>
          </w:p>
        </w:tc>
        <w:tc>
          <w:tcPr>
            <w:tcW w:w="1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[Next review]</w:t>
            </w:r>
          </w:p>
        </w:tc>
      </w:tr>
    </w:tbl>
    <w:p>
      <w:pPr>
        <w:pStyle w:val="Heading1"/>
        <w:spacing w:before="360" w:after="180"/>
        <w:rPr/>
      </w:pPr>
      <w:r>
        <w:rPr>
          <w:rFonts w:eastAsia="Arial" w:cs="Arial" w:ascii="Arial" w:hAnsi="Arial"/>
          <w:b/>
          <w:bCs/>
          <w:color w:val="0000FF"/>
          <w:sz w:val="36"/>
          <w:szCs w:val="36"/>
        </w:rPr>
        <w:t>8. Tracking and Reporting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Treatment status is tracked in the Risk Register and reviewed by the Information Security Manager at least monthly.</w:t>
      </w:r>
    </w:p>
    <w:p>
      <w:pPr>
        <w:pStyle w:val="ListParagraph"/>
        <w:numPr>
          <w:ilvl w:val="0"/>
          <w:numId w:val="1"/>
        </w:numPr>
        <w:spacing w:lineRule="exact" w:line="280" w:before="40" w:after="40"/>
        <w:rPr/>
      </w:pPr>
      <w:r>
        <w:rPr>
          <w:rFonts w:eastAsia="Arial" w:cs="Arial"/>
          <w:color w:val="1A1A1A"/>
          <w:sz w:val="22"/>
          <w:szCs w:val="22"/>
        </w:rPr>
        <w:t>Critical and High risks with active treatment are reviewed by the risk owner at least quarterly.</w:t>
      </w:r>
    </w:p>
    <w:p>
      <w:pPr>
        <w:pStyle w:val="ListParagraph"/>
        <w:numPr>
          <w:ilvl w:val="0"/>
          <w:numId w:val="1"/>
        </w:numPr>
        <w:spacing w:lineRule="exact" w:line="280" w:before="40" w:after="40"/>
        <w:rPr/>
      </w:pPr>
      <w:r>
        <w:rPr>
          <w:rFonts w:eastAsia="Arial" w:cs="Arial"/>
          <w:color w:val="1A1A1A"/>
          <w:sz w:val="22"/>
          <w:szCs w:val="22"/>
        </w:rPr>
        <w:t>This Plan is refreshed at each management review, with a written summary of progress, slippage, and changes to the population of risks.</w:t>
      </w:r>
    </w:p>
    <w:p>
      <w:pPr>
        <w:pStyle w:val="ListParagraph"/>
        <w:numPr>
          <w:ilvl w:val="0"/>
          <w:numId w:val="1"/>
        </w:numPr>
        <w:spacing w:lineRule="exact" w:line="280" w:before="40" w:after="40"/>
        <w:rPr/>
      </w:pPr>
      <w:r>
        <w:rPr>
          <w:rFonts w:eastAsia="Arial" w:cs="Arial"/>
          <w:color w:val="1A1A1A"/>
          <w:sz w:val="22"/>
          <w:szCs w:val="22"/>
        </w:rPr>
        <w:t>Where a target date is missed, the risk owner records the reason and proposes a revised date or revised treatment, subject to the appropriate authorisation.</w:t>
      </w:r>
    </w:p>
    <w:p>
      <w:pPr>
        <w:pStyle w:val="Heading1"/>
        <w:spacing w:before="360" w:after="180"/>
        <w:rPr/>
      </w:pPr>
      <w:r>
        <w:rPr>
          <w:rFonts w:eastAsia="Arial" w:cs="Arial" w:ascii="Arial" w:hAnsi="Arial"/>
          <w:b/>
          <w:bCs/>
          <w:color w:val="0000FF"/>
          <w:sz w:val="36"/>
          <w:szCs w:val="36"/>
        </w:rPr>
        <w:t>9. Closure of Treatments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 treatment is closed when:</w:t>
      </w:r>
    </w:p>
    <w:p>
      <w:pPr>
        <w:pStyle w:val="ListParagraph"/>
        <w:numPr>
          <w:ilvl w:val="0"/>
          <w:numId w:val="1"/>
        </w:numPr>
        <w:spacing w:lineRule="exact" w:line="280" w:before="40" w:after="40"/>
        <w:rPr/>
      </w:pPr>
      <w:r>
        <w:rPr>
          <w:rFonts w:eastAsia="Arial" w:cs="Arial"/>
          <w:color w:val="1A1A1A"/>
          <w:sz w:val="22"/>
          <w:szCs w:val="22"/>
        </w:rPr>
        <w:t>The control(s) are operating effectively, evidence is recorded, and residual risk has been re-scored.</w:t>
      </w:r>
    </w:p>
    <w:p>
      <w:pPr>
        <w:pStyle w:val="ListParagraph"/>
        <w:numPr>
          <w:ilvl w:val="0"/>
          <w:numId w:val="1"/>
        </w:numPr>
        <w:spacing w:lineRule="exact" w:line="280" w:before="40" w:after="40"/>
        <w:rPr/>
      </w:pPr>
      <w:r>
        <w:rPr>
          <w:rFonts w:eastAsia="Arial" w:cs="Arial"/>
          <w:color w:val="1A1A1A"/>
          <w:sz w:val="22"/>
          <w:szCs w:val="22"/>
        </w:rPr>
        <w:t>The risk owner has formally accepted the residual risk in accordance with the Methodology.</w:t>
      </w:r>
    </w:p>
    <w:p>
      <w:pPr>
        <w:pStyle w:val="ListParagraph"/>
        <w:numPr>
          <w:ilvl w:val="0"/>
          <w:numId w:val="1"/>
        </w:numPr>
        <w:spacing w:lineRule="exact" w:line="280" w:before="40" w:after="40"/>
        <w:rPr/>
      </w:pPr>
      <w:r>
        <w:rPr>
          <w:rFonts w:eastAsia="Arial" w:cs="Arial"/>
          <w:color w:val="1A1A1A"/>
          <w:sz w:val="22"/>
          <w:szCs w:val="22"/>
        </w:rPr>
        <w:t>The Risk Register is updated to reflect the closure.</w:t>
      </w:r>
    </w:p>
    <w:p>
      <w:pPr>
        <w:pStyle w:val="Normal"/>
        <w:spacing w:lineRule="exact" w:line="300" w:before="80" w:after="120"/>
        <w:rPr/>
      </w:pPr>
      <w:r>
        <w:rPr>
          <w:rFonts w:eastAsia="Arial" w:cs="Arial"/>
          <w:color w:val="1A1A1A"/>
          <w:sz w:val="22"/>
          <w:szCs w:val="22"/>
        </w:rPr>
        <w:t>Closed treatments remain visible in the Risk Register history and may be reopened if circumstances change.</w:t>
      </w:r>
    </w:p>
    <w:p>
      <w:pPr>
        <w:pStyle w:val="Heading1"/>
        <w:spacing w:before="360" w:after="180"/>
        <w:rPr/>
      </w:pPr>
      <w:r>
        <w:rPr>
          <w:rFonts w:eastAsia="Arial" w:cs="Arial" w:ascii="Arial" w:hAnsi="Arial"/>
          <w:b/>
          <w:bCs/>
          <w:color w:val="0000FF"/>
          <w:sz w:val="36"/>
          <w:szCs w:val="36"/>
        </w:rPr>
        <w:t>10.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is refreshed at each management review, and republished at least annually as a controlled document. Material changes are approved by the Chief Executive Officer and recorded in Annex B.</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27001:2022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27001:2022. The authoritative ISMS scope and Annex A control selection are recorded in the Statement of Applicability (ISMS-SOA-001 v4.0).</w:t>
      </w:r>
    </w:p>
    <w:tbl>
      <w:tblPr>
        <w:tblW w:w="9026" w:type="dxa"/>
        <w:jc w:val="start"/>
        <w:tblInd w:w="0" w:type="dxa"/>
        <w:tblLayout w:type="fixed"/>
        <w:tblCellMar>
          <w:top w:w="100" w:type="dxa"/>
          <w:start w:w="160" w:type="dxa"/>
          <w:bottom w:w="100" w:type="dxa"/>
          <w:end w:w="16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6.1.3 (e)</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Risk treatment plan formulation</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 7 records the Risk Treatment Plan; Section 5 covers selection.</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6.1.3 (f)</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Risk owners’ approval and acceptance of residual risks</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Sections 7.3, 8 and 9 cover ownership, sign-off, and acceptance recording.</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8.3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Information security risk treatment — implementation</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Sections 7, 8 and 9 cover implementation tracking and closure.</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9.3</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Management review</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Sections 8 and 10 ensure the Plan is refreshed via management review.</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10.1</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Continual improvement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 8 supports continual improvement through tracking and refresh.</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ISMS-RTP-001 Risk Treatment Plan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ISMS-RTP-001 Risk Treatment Plan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2026-04-20T11:28:56Z</dcterms:created>
  <dc:creator>David Stokes</dc:creator>
  <dc:description/>
  <dc:language>en-US</dc:language>
  <cp:lastModifiedBy>David Stokes</cp:lastModifiedBy>
  <dcterms:modified xsi:type="dcterms:W3CDTF">2026-04-20T14:00:56Z</dcterms:modified>
  <cp:revision>1</cp:revision>
  <dc:subject/>
  <dc:title>Cloudax Risk Treatment Plan</dc:title>
</cp:coreProperties>
</file>

<file path=docProps/custom.xml><?xml version="1.0" encoding="utf-8"?>
<Properties xmlns="http://schemas.openxmlformats.org/officeDocument/2006/custom-properties" xmlns:vt="http://schemas.openxmlformats.org/officeDocument/2006/docPropsVTypes"/>
</file>