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38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52"/>
                <w:szCs w:val="52"/>
              </w:rPr>
              <w:t>Business Continuity Plan</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PLAN-BCP-001</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Business Continuity Plan</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Manager</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ISMS-SOA-001 v4.0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ISMS MAP</w:t>
            </w:r>
          </w:p>
          <w:p>
            <w:pPr>
              <w:pStyle w:val="Normal"/>
              <w:spacing w:before="0" w:after="0"/>
              <w:rPr/>
            </w:pPr>
            <w:r>
              <w:rPr>
                <w:rFonts w:eastAsia="Arial" w:cs="Arial"/>
                <w:color w:val="1A1A1A"/>
                <w:sz w:val="22"/>
                <w:szCs w:val="22"/>
              </w:rPr>
              <w:t>ISMS-MAP-001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Assumptions and Dependencies</w:t>
      </w:r>
    </w:p>
    <w:p>
      <w:pPr>
        <w:pStyle w:val="Normal"/>
        <w:spacing w:before="40" w:after="40"/>
        <w:rPr/>
      </w:pPr>
      <w:r>
        <w:rPr>
          <w:rFonts w:eastAsia="Arial" w:cs="Arial"/>
          <w:color w:val="1A1A1A"/>
          <w:sz w:val="22"/>
          <w:szCs w:val="22"/>
        </w:rPr>
        <w:t>5. Roles and Responsibilities</w:t>
      </w:r>
    </w:p>
    <w:p>
      <w:pPr>
        <w:pStyle w:val="Normal"/>
        <w:spacing w:before="40" w:after="40"/>
        <w:rPr/>
      </w:pPr>
      <w:r>
        <w:rPr>
          <w:rFonts w:eastAsia="Arial" w:cs="Arial"/>
          <w:color w:val="1A1A1A"/>
          <w:sz w:val="22"/>
          <w:szCs w:val="22"/>
        </w:rPr>
        <w:t>6. Critical Activities and Recovery Objectives</w:t>
      </w:r>
    </w:p>
    <w:p>
      <w:pPr>
        <w:pStyle w:val="Normal"/>
        <w:spacing w:before="40" w:after="40"/>
        <w:rPr/>
      </w:pPr>
      <w:r>
        <w:rPr>
          <w:rFonts w:eastAsia="Arial" w:cs="Arial"/>
          <w:color w:val="1A1A1A"/>
          <w:sz w:val="22"/>
          <w:szCs w:val="22"/>
        </w:rPr>
        <w:t>7. Disruption Scenarios</w:t>
      </w:r>
    </w:p>
    <w:p>
      <w:pPr>
        <w:pStyle w:val="Normal"/>
        <w:spacing w:before="40" w:after="40"/>
        <w:rPr/>
      </w:pPr>
      <w:r>
        <w:rPr>
          <w:rFonts w:eastAsia="Arial" w:cs="Arial"/>
          <w:color w:val="1A1A1A"/>
          <w:sz w:val="22"/>
          <w:szCs w:val="22"/>
        </w:rPr>
        <w:t>8. Continuity Strategies</w:t>
      </w:r>
    </w:p>
    <w:p>
      <w:pPr>
        <w:pStyle w:val="Normal"/>
        <w:spacing w:before="40" w:after="40"/>
        <w:rPr/>
      </w:pPr>
      <w:r>
        <w:rPr>
          <w:rFonts w:eastAsia="Arial" w:cs="Arial"/>
          <w:color w:val="1A1A1A"/>
          <w:sz w:val="22"/>
          <w:szCs w:val="22"/>
        </w:rPr>
        <w:t>9. Activation and Escalation</w:t>
      </w:r>
    </w:p>
    <w:p>
      <w:pPr>
        <w:pStyle w:val="Normal"/>
        <w:spacing w:before="40" w:after="40"/>
        <w:rPr/>
      </w:pPr>
      <w:r>
        <w:rPr>
          <w:rFonts w:eastAsia="Arial" w:cs="Arial"/>
          <w:color w:val="1A1A1A"/>
          <w:sz w:val="22"/>
          <w:szCs w:val="22"/>
        </w:rPr>
        <w:t>10. Communications During Disruption</w:t>
      </w:r>
    </w:p>
    <w:p>
      <w:pPr>
        <w:pStyle w:val="Normal"/>
        <w:spacing w:before="40" w:after="40"/>
        <w:rPr/>
      </w:pPr>
      <w:r>
        <w:rPr>
          <w:rFonts w:eastAsia="Arial" w:cs="Arial"/>
          <w:color w:val="1A1A1A"/>
          <w:sz w:val="22"/>
          <w:szCs w:val="22"/>
        </w:rPr>
        <w:t>11. Customer Notification</w:t>
      </w:r>
    </w:p>
    <w:p>
      <w:pPr>
        <w:pStyle w:val="Normal"/>
        <w:spacing w:before="40" w:after="40"/>
        <w:rPr/>
      </w:pPr>
      <w:r>
        <w:rPr>
          <w:rFonts w:eastAsia="Arial" w:cs="Arial"/>
          <w:color w:val="1A1A1A"/>
          <w:sz w:val="22"/>
          <w:szCs w:val="22"/>
        </w:rPr>
        <w:t>12. Workforce Continuity</w:t>
      </w:r>
    </w:p>
    <w:p>
      <w:pPr>
        <w:pStyle w:val="Normal"/>
        <w:spacing w:before="40" w:after="40"/>
        <w:rPr/>
      </w:pPr>
      <w:r>
        <w:rPr>
          <w:rFonts w:eastAsia="Arial" w:cs="Arial"/>
          <w:color w:val="1A1A1A"/>
          <w:sz w:val="22"/>
          <w:szCs w:val="22"/>
        </w:rPr>
        <w:t>13. Supplier and Cloud Provider Disruption</w:t>
      </w:r>
    </w:p>
    <w:p>
      <w:pPr>
        <w:pStyle w:val="Normal"/>
        <w:spacing w:before="40" w:after="40"/>
        <w:rPr/>
      </w:pPr>
      <w:r>
        <w:rPr>
          <w:rFonts w:eastAsia="Arial" w:cs="Arial"/>
          <w:color w:val="1A1A1A"/>
          <w:sz w:val="22"/>
          <w:szCs w:val="22"/>
        </w:rPr>
        <w:t>14. Stand-Down and Recovery</w:t>
      </w:r>
    </w:p>
    <w:p>
      <w:pPr>
        <w:pStyle w:val="Normal"/>
        <w:spacing w:before="40" w:after="40"/>
        <w:rPr/>
      </w:pPr>
      <w:r>
        <w:rPr>
          <w:rFonts w:eastAsia="Arial" w:cs="Arial"/>
          <w:color w:val="1A1A1A"/>
          <w:sz w:val="22"/>
          <w:szCs w:val="22"/>
        </w:rPr>
        <w:t>15. Post-Disruption Review</w:t>
      </w:r>
    </w:p>
    <w:p>
      <w:pPr>
        <w:pStyle w:val="Normal"/>
        <w:spacing w:before="40" w:after="40"/>
        <w:rPr/>
      </w:pPr>
      <w:r>
        <w:rPr>
          <w:rFonts w:eastAsia="Arial" w:cs="Arial"/>
          <w:color w:val="1A1A1A"/>
          <w:sz w:val="22"/>
          <w:szCs w:val="22"/>
        </w:rPr>
        <w:t>16. Testing and Exercising</w:t>
      </w:r>
    </w:p>
    <w:p>
      <w:pPr>
        <w:pStyle w:val="Normal"/>
        <w:spacing w:before="40" w:after="40"/>
        <w:rPr/>
      </w:pPr>
      <w:r>
        <w:rPr>
          <w:rFonts w:eastAsia="Arial" w:cs="Arial"/>
          <w:color w:val="1A1A1A"/>
          <w:sz w:val="22"/>
          <w:szCs w:val="22"/>
        </w:rPr>
        <w:t>17. Maintenance</w:t>
      </w:r>
    </w:p>
    <w:p>
      <w:pPr>
        <w:pStyle w:val="Normal"/>
        <w:spacing w:before="40" w:after="40"/>
        <w:rPr/>
      </w:pPr>
      <w:r>
        <w:rPr>
          <w:rFonts w:eastAsia="Arial" w:cs="Arial"/>
          <w:color w:val="1A1A1A"/>
          <w:sz w:val="22"/>
          <w:szCs w:val="22"/>
        </w:rPr>
        <w:t>18. Acknowledgement</w:t>
      </w:r>
    </w:p>
    <w:p>
      <w:pPr>
        <w:pStyle w:val="Normal"/>
        <w:spacing w:before="40" w:after="40"/>
        <w:rPr/>
      </w:pPr>
      <w:r>
        <w:rPr>
          <w:rFonts w:eastAsia="Arial" w:cs="Arial"/>
          <w:color w:val="1A1A1A"/>
          <w:sz w:val="22"/>
          <w:szCs w:val="22"/>
        </w:rPr>
        <w:t>Annex A — Annex A Controls Addressed</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Business Continuity Plan (the “Plan”) sets out how Cloudax Ltd. will maintain or rapidly resume the delivery of its services and the operation of its business during and after a disruption.</w:t>
      </w:r>
    </w:p>
    <w:p>
      <w:pPr>
        <w:pStyle w:val="Normal"/>
        <w:spacing w:lineRule="exact" w:line="300" w:before="80" w:after="120"/>
        <w:rPr/>
      </w:pPr>
      <w:r>
        <w:rPr>
          <w:rFonts w:eastAsia="Arial" w:cs="Arial"/>
          <w:color w:val="1A1A1A"/>
          <w:sz w:val="22"/>
          <w:szCs w:val="22"/>
        </w:rPr>
        <w:t>It supports the Information Security Policy (POL-001) and gives effect to A.5.29 Information security during disruption and A.5.30 ICT readiness for business continuity.</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Linked controls: A.5.29 Information security during disruption; A.5.30 ICT readiness for business continuity</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Plan applies to disruptions affecting the Cloudax conversational AI platform, supporting business operations, the Manchester shared workspace, key suppliers, and the Cloudax workforce. It is read together with the Disaster Recovery Plan (PLAN-DRP-001), which addresses the recovery of ICT services in detail.</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b/>
          <w:bCs/>
          <w:color w:val="1A1A1A"/>
          <w:sz w:val="22"/>
          <w:szCs w:val="22"/>
        </w:rPr>
        <w:t xml:space="preserve">Disruption: </w:t>
      </w:r>
      <w:r>
        <w:rPr>
          <w:rFonts w:eastAsia="Arial" w:cs="Arial"/>
          <w:color w:val="1A1A1A"/>
          <w:sz w:val="22"/>
          <w:szCs w:val="22"/>
        </w:rPr>
        <w:t>an event causing significant deviation from normal operations.</w:t>
      </w:r>
    </w:p>
    <w:p>
      <w:pPr>
        <w:pStyle w:val="ListParagraph"/>
        <w:numPr>
          <w:ilvl w:val="0"/>
          <w:numId w:val="1"/>
        </w:numPr>
        <w:spacing w:lineRule="exact" w:line="280" w:before="40" w:after="40"/>
        <w:rPr/>
      </w:pPr>
      <w:r>
        <w:rPr>
          <w:rFonts w:eastAsia="Arial" w:cs="Arial"/>
          <w:b/>
          <w:bCs/>
          <w:color w:val="1A1A1A"/>
          <w:sz w:val="22"/>
          <w:szCs w:val="22"/>
        </w:rPr>
        <w:t xml:space="preserve">Critical activity: </w:t>
      </w:r>
      <w:r>
        <w:rPr>
          <w:rFonts w:eastAsia="Arial" w:cs="Arial"/>
          <w:color w:val="1A1A1A"/>
          <w:sz w:val="22"/>
          <w:szCs w:val="22"/>
        </w:rPr>
        <w:t>an activity whose loss would, within a defined period, materially impair Cloudax’s ability to deliver its services or meet its obligations.</w:t>
      </w:r>
    </w:p>
    <w:p>
      <w:pPr>
        <w:pStyle w:val="ListParagraph"/>
        <w:numPr>
          <w:ilvl w:val="0"/>
          <w:numId w:val="1"/>
        </w:numPr>
        <w:spacing w:lineRule="exact" w:line="280" w:before="40" w:after="40"/>
        <w:rPr/>
      </w:pPr>
      <w:r>
        <w:rPr>
          <w:rFonts w:eastAsia="Arial" w:cs="Arial"/>
          <w:b/>
          <w:bCs/>
          <w:color w:val="1A1A1A"/>
          <w:sz w:val="22"/>
          <w:szCs w:val="22"/>
        </w:rPr>
        <w:t xml:space="preserve">MTPD: </w:t>
      </w:r>
      <w:r>
        <w:rPr>
          <w:rFonts w:eastAsia="Arial" w:cs="Arial"/>
          <w:color w:val="1A1A1A"/>
          <w:sz w:val="22"/>
          <w:szCs w:val="22"/>
        </w:rPr>
        <w:t>Maximum Tolerable Period of Disruption — the longest period a critical activity can be unavailable before unacceptable harm occurs.</w:t>
      </w:r>
    </w:p>
    <w:p>
      <w:pPr>
        <w:pStyle w:val="ListParagraph"/>
        <w:numPr>
          <w:ilvl w:val="0"/>
          <w:numId w:val="1"/>
        </w:numPr>
        <w:spacing w:lineRule="exact" w:line="280" w:before="40" w:after="40"/>
        <w:rPr/>
      </w:pPr>
      <w:r>
        <w:rPr>
          <w:rFonts w:eastAsia="Arial" w:cs="Arial"/>
          <w:b/>
          <w:bCs/>
          <w:color w:val="1A1A1A"/>
          <w:sz w:val="22"/>
          <w:szCs w:val="22"/>
        </w:rPr>
        <w:t xml:space="preserve">RTO: </w:t>
      </w:r>
      <w:r>
        <w:rPr>
          <w:rFonts w:eastAsia="Arial" w:cs="Arial"/>
          <w:color w:val="1A1A1A"/>
          <w:sz w:val="22"/>
          <w:szCs w:val="22"/>
        </w:rPr>
        <w:t>Recovery Time Objective — the target time within which an activity is to be resumed.</w:t>
      </w:r>
    </w:p>
    <w:p>
      <w:pPr>
        <w:pStyle w:val="ListParagraph"/>
        <w:numPr>
          <w:ilvl w:val="0"/>
          <w:numId w:val="1"/>
        </w:numPr>
        <w:spacing w:lineRule="exact" w:line="280" w:before="40" w:after="40"/>
        <w:rPr/>
      </w:pPr>
      <w:r>
        <w:rPr>
          <w:rFonts w:eastAsia="Arial" w:cs="Arial"/>
          <w:b/>
          <w:bCs/>
          <w:color w:val="1A1A1A"/>
          <w:sz w:val="22"/>
          <w:szCs w:val="22"/>
        </w:rPr>
        <w:t xml:space="preserve">RPO: </w:t>
      </w:r>
      <w:r>
        <w:rPr>
          <w:rFonts w:eastAsia="Arial" w:cs="Arial"/>
          <w:color w:val="1A1A1A"/>
          <w:sz w:val="22"/>
          <w:szCs w:val="22"/>
        </w:rPr>
        <w:t>Recovery Point Objective — the maximum acceptable amount of data loss measured in time.</w:t>
      </w:r>
    </w:p>
    <w:p>
      <w:pPr>
        <w:pStyle w:val="Heading1"/>
        <w:spacing w:before="360" w:after="180"/>
        <w:rPr/>
      </w:pPr>
      <w:r>
        <w:rPr>
          <w:rFonts w:eastAsia="Arial" w:cs="Arial" w:ascii="Arial" w:hAnsi="Arial"/>
          <w:b/>
          <w:bCs/>
          <w:color w:val="0000FF"/>
          <w:sz w:val="36"/>
          <w:szCs w:val="36"/>
        </w:rPr>
        <w:t>4. Assumptions and Dependencies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Plan rests on the following assumptions:</w:t>
      </w:r>
    </w:p>
    <w:p>
      <w:pPr>
        <w:pStyle w:val="ListParagraph"/>
        <w:numPr>
          <w:ilvl w:val="0"/>
          <w:numId w:val="1"/>
        </w:numPr>
        <w:spacing w:lineRule="exact" w:line="280" w:before="40" w:after="40"/>
        <w:rPr/>
      </w:pPr>
      <w:r>
        <w:rPr>
          <w:rFonts w:eastAsia="Arial" w:cs="Arial"/>
          <w:color w:val="1A1A1A"/>
          <w:sz w:val="22"/>
          <w:szCs w:val="22"/>
        </w:rPr>
        <w:t>Cloudax operates a cloud-native platform, hosted on established cloud service providers with multi-region capability and provider-native resilience features.</w:t>
      </w:r>
    </w:p>
    <w:p>
      <w:pPr>
        <w:pStyle w:val="ListParagraph"/>
        <w:numPr>
          <w:ilvl w:val="0"/>
          <w:numId w:val="1"/>
        </w:numPr>
        <w:spacing w:lineRule="exact" w:line="280" w:before="40" w:after="40"/>
        <w:rPr/>
      </w:pPr>
      <w:r>
        <w:rPr>
          <w:rFonts w:eastAsia="Arial" w:cs="Arial"/>
          <w:color w:val="1A1A1A"/>
          <w:sz w:val="22"/>
          <w:szCs w:val="22"/>
        </w:rPr>
        <w:t>Cloudax personnel work hybrid; the Manchester shared workspace is a primary but not sole working location.</w:t>
      </w:r>
    </w:p>
    <w:p>
      <w:pPr>
        <w:pStyle w:val="ListParagraph"/>
        <w:numPr>
          <w:ilvl w:val="0"/>
          <w:numId w:val="1"/>
        </w:numPr>
        <w:spacing w:lineRule="exact" w:line="280" w:before="40" w:after="40"/>
        <w:rPr/>
      </w:pPr>
      <w:r>
        <w:rPr>
          <w:rFonts w:eastAsia="Arial" w:cs="Arial"/>
          <w:color w:val="1A1A1A"/>
          <w:sz w:val="22"/>
          <w:szCs w:val="22"/>
        </w:rPr>
        <w:t>Critical SaaS services (identity, source code, communications, productivity) are independent of the Cloudax platform and may remain available even when the platform is disrupted.</w:t>
      </w:r>
    </w:p>
    <w:p>
      <w:pPr>
        <w:pStyle w:val="ListParagraph"/>
        <w:numPr>
          <w:ilvl w:val="0"/>
          <w:numId w:val="1"/>
        </w:numPr>
        <w:spacing w:lineRule="exact" w:line="280" w:before="40" w:after="40"/>
        <w:rPr/>
      </w:pPr>
      <w:r>
        <w:rPr>
          <w:rFonts w:eastAsia="Arial" w:cs="Arial"/>
          <w:color w:val="1A1A1A"/>
          <w:sz w:val="22"/>
          <w:szCs w:val="22"/>
        </w:rPr>
        <w:t>The Cloudax team is small (six employees as at issue); workforce continuity is a material risk addressed in Section 12.</w:t>
      </w:r>
    </w:p>
    <w:p>
      <w:pPr>
        <w:pStyle w:val="ListParagraph"/>
        <w:numPr>
          <w:ilvl w:val="0"/>
          <w:numId w:val="1"/>
        </w:numPr>
        <w:spacing w:lineRule="exact" w:line="280" w:before="40" w:after="40"/>
        <w:rPr/>
      </w:pPr>
      <w:r>
        <w:rPr>
          <w:rFonts w:eastAsia="Arial" w:cs="Arial"/>
          <w:color w:val="1A1A1A"/>
          <w:sz w:val="22"/>
          <w:szCs w:val="22"/>
        </w:rPr>
        <w:t>Suppliers and cloud providers maintain their own continuity arrangements; Cloudax’s controls focus on supplier monitoring (POL-006) and on diversification where feasible.</w:t>
      </w:r>
    </w:p>
    <w:p>
      <w:pPr>
        <w:pStyle w:val="Heading1"/>
        <w:spacing w:before="360" w:after="180"/>
        <w:rPr/>
      </w:pPr>
      <w:r>
        <w:rPr>
          <w:rFonts w:eastAsia="Arial" w:cs="Arial" w:ascii="Arial" w:hAnsi="Arial"/>
          <w:b/>
          <w:bCs/>
          <w:color w:val="0000FF"/>
          <w:sz w:val="36"/>
          <w:szCs w:val="36"/>
        </w:rPr>
        <w:t>5. Roles and Responsibilities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Disruption response is led by an Incident Manager, with executive support and specialist function leads as required.</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3000"/>
        <w:gridCol w:w="6025"/>
      </w:tblGrid>
      <w:tr>
        <w:trPr>
          <w:tblHeader w:val="true"/>
        </w:trPr>
        <w:tc>
          <w:tcPr>
            <w:tcW w:w="30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ROLE</w:t>
            </w:r>
          </w:p>
        </w:tc>
        <w:tc>
          <w:tcPr>
            <w:tcW w:w="6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RESPONSIBILITY</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Chief Executive Officer</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Authorises Plan activation. Approves strategic decisions including customer communication, supplier escalation, and resource commitment. Owns external communications during severe disruption.</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Information Security Manager</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Acts as Incident Manager by default. Coordinates response, escalation, decisions, and communications. Maintains the Plan.</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Chief Technology Officer</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Leads technical response and the recovery activities described in PLAN-DRP-001. Owns platform availability decisions.</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Privacy Lead</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Assesses personal data implications of disruption. Coordinates with the ICO where required (PRO-024).</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Customer-facing leads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Coordinate customer notification and support during disruption (Section 11).</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All personnel</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Follow direction from the Incident Manager. Report observed impacts and changes promptly.</w:t>
            </w:r>
          </w:p>
        </w:tc>
      </w:tr>
    </w:tbl>
    <w:p>
      <w:pPr>
        <w:pStyle w:val="Heading1"/>
        <w:spacing w:before="360" w:after="180"/>
        <w:rPr/>
      </w:pPr>
      <w:r>
        <w:rPr>
          <w:rFonts w:eastAsia="Arial" w:cs="Arial" w:ascii="Arial" w:hAnsi="Arial"/>
          <w:b/>
          <w:bCs/>
          <w:color w:val="0000FF"/>
          <w:sz w:val="36"/>
          <w:szCs w:val="36"/>
        </w:rPr>
        <w:t>6. Critical Activities and Recovery Objectives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following activities have been identified as critical, with recovery objectives set against MTPD:</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4500"/>
        <w:gridCol w:w="1499"/>
        <w:gridCol w:w="1500"/>
        <w:gridCol w:w="1526"/>
      </w:tblGrid>
      <w:tr>
        <w:trPr>
          <w:tblHeader w:val="true"/>
        </w:trPr>
        <w:tc>
          <w:tcPr>
            <w:tcW w:w="4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CRITICAL ACTIVITY</w:t>
            </w:r>
          </w:p>
        </w:tc>
        <w:tc>
          <w:tcPr>
            <w:tcW w:w="14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MTPD</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RTO</w:t>
            </w:r>
          </w:p>
        </w:tc>
        <w:tc>
          <w:tcPr>
            <w:tcW w:w="15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RPO</w:t>
            </w:r>
          </w:p>
        </w:tc>
      </w:tr>
      <w:tr>
        <w:trPr/>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Cloudax conversational AI platform — customer-facing service</w:t>
            </w:r>
          </w:p>
        </w:tc>
        <w:tc>
          <w:tcPr>
            <w:tcW w:w="1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8 hours</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4 hours</w:t>
            </w:r>
          </w:p>
        </w:tc>
        <w:tc>
          <w:tcPr>
            <w:tcW w:w="15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15 minutes</w:t>
            </w:r>
          </w:p>
        </w:tc>
      </w:tr>
      <w:tr>
        <w:trPr/>
        <w:tc>
          <w:tcPr>
            <w:tcW w:w="4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Customer data integrity (no loss of customer recordings, transcripts, configuration)</w:t>
            </w:r>
          </w:p>
        </w:tc>
        <w:tc>
          <w:tcPr>
            <w:tcW w:w="1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Immediate</w:t>
            </w:r>
          </w:p>
        </w:tc>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N/A</w:t>
            </w:r>
          </w:p>
        </w:tc>
        <w:tc>
          <w:tcPr>
            <w:tcW w:w="15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15 minutes</w:t>
            </w:r>
          </w:p>
        </w:tc>
      </w:tr>
      <w:tr>
        <w:trPr/>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Identity and access management (corporate IdP and MFA)</w:t>
            </w:r>
          </w:p>
        </w:tc>
        <w:tc>
          <w:tcPr>
            <w:tcW w:w="1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8 hours</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4 hours</w:t>
            </w:r>
          </w:p>
        </w:tc>
        <w:tc>
          <w:tcPr>
            <w:tcW w:w="15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1 hour</w:t>
            </w:r>
          </w:p>
        </w:tc>
      </w:tr>
      <w:tr>
        <w:trPr/>
        <w:tc>
          <w:tcPr>
            <w:tcW w:w="4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Customer support and incident communication channels</w:t>
            </w:r>
          </w:p>
        </w:tc>
        <w:tc>
          <w:tcPr>
            <w:tcW w:w="1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12 hours</w:t>
            </w:r>
          </w:p>
        </w:tc>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8 hours</w:t>
            </w:r>
          </w:p>
        </w:tc>
        <w:tc>
          <w:tcPr>
            <w:tcW w:w="15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4 hours</w:t>
            </w:r>
          </w:p>
        </w:tc>
      </w:tr>
      <w:tr>
        <w:trPr/>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Source code and CI/CD pipelines</w:t>
            </w:r>
          </w:p>
        </w:tc>
        <w:tc>
          <w:tcPr>
            <w:tcW w:w="1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5 days</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2 business days</w:t>
            </w:r>
          </w:p>
        </w:tc>
        <w:tc>
          <w:tcPr>
            <w:tcW w:w="15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1 hour (last commit)</w:t>
            </w:r>
          </w:p>
        </w:tc>
      </w:tr>
      <w:tr>
        <w:trPr/>
        <w:tc>
          <w:tcPr>
            <w:tcW w:w="4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Back-office functions (finance, payroll, HR)</w:t>
            </w:r>
          </w:p>
        </w:tc>
        <w:tc>
          <w:tcPr>
            <w:tcW w:w="1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10 business days</w:t>
            </w:r>
          </w:p>
        </w:tc>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5 business days</w:t>
            </w:r>
          </w:p>
        </w:tc>
        <w:tc>
          <w:tcPr>
            <w:tcW w:w="15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24 hours</w:t>
            </w:r>
          </w:p>
        </w:tc>
      </w:tr>
    </w:tbl>
    <w:p>
      <w:pPr>
        <w:pStyle w:val="Normal"/>
        <w:spacing w:lineRule="exact" w:line="300" w:before="80" w:after="120"/>
        <w:rPr/>
      </w:pPr>
      <w:r>
        <w:rPr>
          <w:rFonts w:eastAsia="Arial" w:cs="Arial"/>
          <w:color w:val="1A1A1A"/>
          <w:sz w:val="22"/>
          <w:szCs w:val="22"/>
        </w:rPr>
        <w:t>RTO and RPO targets are achieved through the architecture and arrangements documented in PLAN-DRP-001 and supporting backup arrangements (POL-018).</w:t>
      </w:r>
    </w:p>
    <w:p>
      <w:pPr>
        <w:pStyle w:val="Heading1"/>
        <w:spacing w:before="360" w:after="180"/>
        <w:rPr/>
      </w:pPr>
      <w:r>
        <w:rPr>
          <w:rFonts w:eastAsia="Arial" w:cs="Arial" w:ascii="Arial" w:hAnsi="Arial"/>
          <w:b/>
          <w:bCs/>
          <w:color w:val="0000FF"/>
          <w:sz w:val="36"/>
          <w:szCs w:val="36"/>
        </w:rPr>
        <w:t>7. Disruption Scenarios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Plan is designed against the following representative scenarios:</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3000"/>
        <w:gridCol w:w="2699"/>
        <w:gridCol w:w="3327"/>
      </w:tblGrid>
      <w:tr>
        <w:trPr>
          <w:tblHeader w:val="true"/>
        </w:trPr>
        <w:tc>
          <w:tcPr>
            <w:tcW w:w="30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SCENARIO</w:t>
            </w:r>
          </w:p>
        </w:tc>
        <w:tc>
          <w:tcPr>
            <w:tcW w:w="2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PRIMARY IMPACT</w:t>
            </w:r>
          </w:p>
        </w:tc>
        <w:tc>
          <w:tcPr>
            <w:tcW w:w="3327"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PRIMARY RESPONSE</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Loss of Cloudax cloud region or material cloud provider service</w:t>
            </w:r>
          </w:p>
        </w:tc>
        <w:tc>
          <w:tcPr>
            <w:tcW w:w="2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Platform availability</w:t>
            </w:r>
          </w:p>
        </w:tc>
        <w:tc>
          <w:tcPr>
            <w:tcW w:w="3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Failover to alternative region or service per PLAN-DRP-001; customer communication</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Cyber-attack (ransomware, account compromise, supply-chain compromise)</w:t>
            </w:r>
          </w:p>
        </w:tc>
        <w:tc>
          <w:tcPr>
            <w:tcW w:w="2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Confidentiality, integrity, availability</w:t>
            </w:r>
          </w:p>
        </w:tc>
        <w:tc>
          <w:tcPr>
            <w:tcW w:w="33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Activate PLAN-IRP-001 alongside this Plan; isolate, contain, recover</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Loss of Manchester shared workspace (fire, building incident, public-health closure)</w:t>
            </w:r>
          </w:p>
        </w:tc>
        <w:tc>
          <w:tcPr>
            <w:tcW w:w="2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Workforce productivity</w:t>
            </w:r>
          </w:p>
        </w:tc>
        <w:tc>
          <w:tcPr>
            <w:tcW w:w="3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Workforce shifts to fully remote; meeting/collab tools used; coordination via Section 12</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Loss of key personnel (illness, sudden departure)</w:t>
            </w:r>
          </w:p>
        </w:tc>
        <w:tc>
          <w:tcPr>
            <w:tcW w:w="2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Knowledge and operational capacity</w:t>
            </w:r>
          </w:p>
        </w:tc>
        <w:tc>
          <w:tcPr>
            <w:tcW w:w="33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Documented runbooks, cross-training, and supplier support per Section 12</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Critical supplier failure or insolvency</w:t>
            </w:r>
          </w:p>
        </w:tc>
        <w:tc>
          <w:tcPr>
            <w:tcW w:w="2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Service or operational dependency</w:t>
            </w:r>
          </w:p>
        </w:tc>
        <w:tc>
          <w:tcPr>
            <w:tcW w:w="3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Activate alternative supplier where available; escalate per POL-006</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Sustained loss of internet or network at primary working location</w:t>
            </w:r>
          </w:p>
        </w:tc>
        <w:tc>
          <w:tcPr>
            <w:tcW w:w="2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Platform operations and support</w:t>
            </w:r>
          </w:p>
        </w:tc>
        <w:tc>
          <w:tcPr>
            <w:tcW w:w="33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Personnel relocate or work from alternative locations</w:t>
            </w:r>
          </w:p>
        </w:tc>
      </w:tr>
    </w:tbl>
    <w:p>
      <w:pPr>
        <w:pStyle w:val="Heading1"/>
        <w:spacing w:before="360" w:after="180"/>
        <w:rPr/>
      </w:pPr>
      <w:r>
        <w:rPr>
          <w:rFonts w:eastAsia="Arial" w:cs="Arial" w:ascii="Arial" w:hAnsi="Arial"/>
          <w:b/>
          <w:bCs/>
          <w:color w:val="0000FF"/>
          <w:sz w:val="36"/>
          <w:szCs w:val="36"/>
        </w:rPr>
        <w:t>8. Continuity Strategies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Cloudax’s continuity strategies emphasise prevention through resilient architecture, paired with rapid response when disruption occurs:</w:t>
      </w:r>
    </w:p>
    <w:p>
      <w:pPr>
        <w:pStyle w:val="ListParagraph"/>
        <w:numPr>
          <w:ilvl w:val="0"/>
          <w:numId w:val="1"/>
        </w:numPr>
        <w:spacing w:lineRule="exact" w:line="280" w:before="40" w:after="40"/>
        <w:rPr/>
      </w:pPr>
      <w:r>
        <w:rPr>
          <w:rFonts w:eastAsia="Arial" w:cs="Arial"/>
          <w:color w:val="1A1A1A"/>
          <w:sz w:val="22"/>
          <w:szCs w:val="22"/>
        </w:rPr>
        <w:t>Cloud-native, multi-region architecture for the Cloudax platform, with documented failover (PLAN-DRP-001).</w:t>
      </w:r>
    </w:p>
    <w:p>
      <w:pPr>
        <w:pStyle w:val="ListParagraph"/>
        <w:numPr>
          <w:ilvl w:val="0"/>
          <w:numId w:val="1"/>
        </w:numPr>
        <w:spacing w:lineRule="exact" w:line="280" w:before="40" w:after="40"/>
        <w:rPr/>
      </w:pPr>
      <w:r>
        <w:rPr>
          <w:rFonts w:eastAsia="Arial" w:cs="Arial"/>
          <w:color w:val="1A1A1A"/>
          <w:sz w:val="22"/>
          <w:szCs w:val="22"/>
        </w:rPr>
        <w:t>Backups and immutable copies in line with POL-018 Backup Policy, tested annually.</w:t>
      </w:r>
    </w:p>
    <w:p>
      <w:pPr>
        <w:pStyle w:val="ListParagraph"/>
        <w:numPr>
          <w:ilvl w:val="0"/>
          <w:numId w:val="1"/>
        </w:numPr>
        <w:spacing w:lineRule="exact" w:line="280" w:before="40" w:after="40"/>
        <w:rPr/>
      </w:pPr>
      <w:r>
        <w:rPr>
          <w:rFonts w:eastAsia="Arial" w:cs="Arial"/>
          <w:color w:val="1A1A1A"/>
          <w:sz w:val="22"/>
          <w:szCs w:val="22"/>
        </w:rPr>
        <w:t>Diverse SaaS providers for identity, communications, source code, and productivity; no single provider whose failure halts response.</w:t>
      </w:r>
    </w:p>
    <w:p>
      <w:pPr>
        <w:pStyle w:val="ListParagraph"/>
        <w:numPr>
          <w:ilvl w:val="0"/>
          <w:numId w:val="1"/>
        </w:numPr>
        <w:spacing w:lineRule="exact" w:line="280" w:before="40" w:after="40"/>
        <w:rPr/>
      </w:pPr>
      <w:r>
        <w:rPr>
          <w:rFonts w:eastAsia="Arial" w:cs="Arial"/>
          <w:color w:val="1A1A1A"/>
          <w:sz w:val="22"/>
          <w:szCs w:val="22"/>
        </w:rPr>
        <w:t>Hybrid working as the default — reducing single-point dependence on the Manchester workspace.</w:t>
      </w:r>
    </w:p>
    <w:p>
      <w:pPr>
        <w:pStyle w:val="ListParagraph"/>
        <w:numPr>
          <w:ilvl w:val="0"/>
          <w:numId w:val="1"/>
        </w:numPr>
        <w:spacing w:lineRule="exact" w:line="280" w:before="40" w:after="40"/>
        <w:rPr/>
      </w:pPr>
      <w:r>
        <w:rPr>
          <w:rFonts w:eastAsia="Arial" w:cs="Arial"/>
          <w:color w:val="1A1A1A"/>
          <w:sz w:val="22"/>
          <w:szCs w:val="22"/>
        </w:rPr>
        <w:t>Documented runbooks for the Cloudax platform, accessible to the on-call rota.</w:t>
      </w:r>
    </w:p>
    <w:p>
      <w:pPr>
        <w:pStyle w:val="ListParagraph"/>
        <w:numPr>
          <w:ilvl w:val="0"/>
          <w:numId w:val="1"/>
        </w:numPr>
        <w:spacing w:lineRule="exact" w:line="280" w:before="40" w:after="40"/>
        <w:rPr/>
      </w:pPr>
      <w:r>
        <w:rPr>
          <w:rFonts w:eastAsia="Arial" w:cs="Arial"/>
          <w:color w:val="1A1A1A"/>
          <w:sz w:val="22"/>
          <w:szCs w:val="22"/>
        </w:rPr>
        <w:t>Cross-training across roles and documented ‘single point of knowledge’ reduction.</w:t>
      </w:r>
    </w:p>
    <w:p>
      <w:pPr>
        <w:pStyle w:val="ListParagraph"/>
        <w:numPr>
          <w:ilvl w:val="0"/>
          <w:numId w:val="1"/>
        </w:numPr>
        <w:spacing w:lineRule="exact" w:line="280" w:before="40" w:after="40"/>
        <w:rPr/>
      </w:pPr>
      <w:r>
        <w:rPr>
          <w:rFonts w:eastAsia="Arial" w:cs="Arial"/>
          <w:color w:val="1A1A1A"/>
          <w:sz w:val="22"/>
          <w:szCs w:val="22"/>
        </w:rPr>
        <w:t>Supplier monitoring and tier-based assurance (POL-006).</w:t>
      </w:r>
    </w:p>
    <w:p>
      <w:pPr>
        <w:pStyle w:val="ListParagraph"/>
        <w:numPr>
          <w:ilvl w:val="0"/>
          <w:numId w:val="1"/>
        </w:numPr>
        <w:spacing w:lineRule="exact" w:line="280" w:before="40" w:after="40"/>
        <w:rPr/>
      </w:pPr>
      <w:r>
        <w:rPr>
          <w:rFonts w:eastAsia="Arial" w:cs="Arial"/>
          <w:color w:val="1A1A1A"/>
          <w:sz w:val="22"/>
          <w:szCs w:val="22"/>
        </w:rPr>
        <w:t>Pre-agreed escalation paths and authority delegation (Section 5).</w:t>
      </w:r>
    </w:p>
    <w:p>
      <w:pPr>
        <w:pStyle w:val="Heading1"/>
        <w:spacing w:before="360" w:after="180"/>
        <w:rPr/>
      </w:pPr>
      <w:r>
        <w:rPr>
          <w:rFonts w:eastAsia="Arial" w:cs="Arial" w:ascii="Arial" w:hAnsi="Arial"/>
          <w:b/>
          <w:bCs/>
          <w:color w:val="0000FF"/>
          <w:sz w:val="36"/>
          <w:szCs w:val="36"/>
        </w:rPr>
        <w:t>9. Activation and Escalation</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Plan may be activated by the Information Security Manager or, in their absence, the Chief Technology Officer or the Chief Executive Officer.</w:t>
      </w:r>
    </w:p>
    <w:p>
      <w:pPr>
        <w:pStyle w:val="Normal"/>
        <w:spacing w:lineRule="exact" w:line="300" w:before="80" w:after="120"/>
        <w:rPr/>
      </w:pPr>
      <w:r>
        <w:rPr>
          <w:rFonts w:eastAsia="Arial" w:cs="Arial"/>
          <w:color w:val="1A1A1A"/>
          <w:sz w:val="22"/>
          <w:szCs w:val="22"/>
        </w:rPr>
        <w:t>Activation is appropriate when:</w:t>
      </w:r>
    </w:p>
    <w:p>
      <w:pPr>
        <w:pStyle w:val="ListParagraph"/>
        <w:numPr>
          <w:ilvl w:val="0"/>
          <w:numId w:val="1"/>
        </w:numPr>
        <w:spacing w:lineRule="exact" w:line="280" w:before="40" w:after="40"/>
        <w:rPr/>
      </w:pPr>
      <w:r>
        <w:rPr>
          <w:rFonts w:eastAsia="Arial" w:cs="Arial"/>
          <w:color w:val="1A1A1A"/>
          <w:sz w:val="22"/>
          <w:szCs w:val="22"/>
        </w:rPr>
        <w:t>A disruption is impacting, or imminently likely to impact, a critical activity beyond a few minutes.</w:t>
      </w:r>
    </w:p>
    <w:p>
      <w:pPr>
        <w:pStyle w:val="ListParagraph"/>
        <w:numPr>
          <w:ilvl w:val="0"/>
          <w:numId w:val="1"/>
        </w:numPr>
        <w:spacing w:lineRule="exact" w:line="280" w:before="40" w:after="40"/>
        <w:rPr/>
      </w:pPr>
      <w:r>
        <w:rPr>
          <w:rFonts w:eastAsia="Arial" w:cs="Arial"/>
          <w:color w:val="1A1A1A"/>
          <w:sz w:val="22"/>
          <w:szCs w:val="22"/>
        </w:rPr>
        <w:t>A cyber-incident exceeds the in-shift response capability.</w:t>
      </w:r>
    </w:p>
    <w:p>
      <w:pPr>
        <w:pStyle w:val="ListParagraph"/>
        <w:numPr>
          <w:ilvl w:val="0"/>
          <w:numId w:val="1"/>
        </w:numPr>
        <w:spacing w:lineRule="exact" w:line="280" w:before="40" w:after="40"/>
        <w:rPr/>
      </w:pPr>
      <w:r>
        <w:rPr>
          <w:rFonts w:eastAsia="Arial" w:cs="Arial"/>
          <w:color w:val="1A1A1A"/>
          <w:sz w:val="22"/>
          <w:szCs w:val="22"/>
        </w:rPr>
        <w:t>A workforce or facilities disruption affects the ability of multiple personnel to perform critical activities.</w:t>
      </w:r>
    </w:p>
    <w:p>
      <w:pPr>
        <w:pStyle w:val="ListParagraph"/>
        <w:numPr>
          <w:ilvl w:val="0"/>
          <w:numId w:val="1"/>
        </w:numPr>
        <w:spacing w:lineRule="exact" w:line="280" w:before="40" w:after="40"/>
        <w:rPr/>
      </w:pPr>
      <w:r>
        <w:rPr>
          <w:rFonts w:eastAsia="Arial" w:cs="Arial"/>
          <w:color w:val="1A1A1A"/>
          <w:sz w:val="22"/>
          <w:szCs w:val="22"/>
        </w:rPr>
        <w:t>A regulatory or contractual notification is or may be required.</w:t>
      </w:r>
    </w:p>
    <w:p>
      <w:pPr>
        <w:pStyle w:val="Normal"/>
        <w:spacing w:lineRule="exact" w:line="300" w:before="80" w:after="120"/>
        <w:rPr/>
      </w:pPr>
      <w:r>
        <w:rPr>
          <w:rFonts w:eastAsia="Arial" w:cs="Arial"/>
          <w:color w:val="1A1A1A"/>
          <w:sz w:val="22"/>
          <w:szCs w:val="22"/>
        </w:rPr>
        <w:t>Activation triggers convening of the response team via established channels, opening of an incident record (in PLAN-IRP-001 where the disruption is security-related), and time-stamped event logging.</w:t>
      </w:r>
    </w:p>
    <w:p>
      <w:pPr>
        <w:pStyle w:val="Heading1"/>
        <w:spacing w:before="360" w:after="180"/>
        <w:rPr/>
      </w:pPr>
      <w:r>
        <w:rPr>
          <w:rFonts w:eastAsia="Arial" w:cs="Arial" w:ascii="Arial" w:hAnsi="Arial"/>
          <w:b/>
          <w:bCs/>
          <w:color w:val="0000FF"/>
          <w:sz w:val="36"/>
          <w:szCs w:val="36"/>
        </w:rPr>
        <w:t>10. Communications During Disruption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Internal communications use a dedicated channel (Microsoft Teams or alternative), with a hold-channel established if the primary platform is affected.</w:t>
      </w:r>
    </w:p>
    <w:p>
      <w:pPr>
        <w:pStyle w:val="ListParagraph"/>
        <w:numPr>
          <w:ilvl w:val="0"/>
          <w:numId w:val="1"/>
        </w:numPr>
        <w:spacing w:lineRule="exact" w:line="280" w:before="40" w:after="40"/>
        <w:rPr/>
      </w:pPr>
      <w:r>
        <w:rPr>
          <w:rFonts w:eastAsia="Arial" w:cs="Arial"/>
          <w:color w:val="1A1A1A"/>
          <w:sz w:val="22"/>
          <w:szCs w:val="22"/>
        </w:rPr>
        <w:t>All communications are led by the Incident Manager. Personnel must not communicate externally outside agreed channels and approved messaging.</w:t>
      </w:r>
    </w:p>
    <w:p>
      <w:pPr>
        <w:pStyle w:val="ListParagraph"/>
        <w:numPr>
          <w:ilvl w:val="0"/>
          <w:numId w:val="1"/>
        </w:numPr>
        <w:spacing w:lineRule="exact" w:line="280" w:before="40" w:after="40"/>
        <w:rPr/>
      </w:pPr>
      <w:r>
        <w:rPr>
          <w:rFonts w:eastAsia="Arial" w:cs="Arial"/>
          <w:color w:val="1A1A1A"/>
          <w:sz w:val="22"/>
          <w:szCs w:val="22"/>
        </w:rPr>
        <w:t>External communications are approved by the Chief Executive Officer or designate.</w:t>
      </w:r>
    </w:p>
    <w:p>
      <w:pPr>
        <w:pStyle w:val="ListParagraph"/>
        <w:numPr>
          <w:ilvl w:val="0"/>
          <w:numId w:val="1"/>
        </w:numPr>
        <w:spacing w:lineRule="exact" w:line="280" w:before="40" w:after="40"/>
        <w:rPr/>
      </w:pPr>
      <w:r>
        <w:rPr>
          <w:rFonts w:eastAsia="Arial" w:cs="Arial"/>
          <w:color w:val="1A1A1A"/>
          <w:sz w:val="22"/>
          <w:szCs w:val="22"/>
        </w:rPr>
        <w:t>A short, factual status template is used for both internal and external updates, refreshed at agreed cadence (typically hourly during a major incident).</w:t>
      </w:r>
    </w:p>
    <w:p>
      <w:pPr>
        <w:pStyle w:val="Heading1"/>
        <w:spacing w:before="360" w:after="180"/>
        <w:rPr/>
      </w:pPr>
      <w:r>
        <w:rPr>
          <w:rFonts w:eastAsia="Arial" w:cs="Arial" w:ascii="Arial" w:hAnsi="Arial"/>
          <w:b/>
          <w:bCs/>
          <w:color w:val="0000FF"/>
          <w:sz w:val="36"/>
          <w:szCs w:val="36"/>
        </w:rPr>
        <w:t>11. Customer Notification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Customers affected by a disruption are notified in accordance with their contracts and any applicable Service Level Agreement (SLA).</w:t>
      </w:r>
    </w:p>
    <w:p>
      <w:pPr>
        <w:pStyle w:val="ListParagraph"/>
        <w:numPr>
          <w:ilvl w:val="0"/>
          <w:numId w:val="1"/>
        </w:numPr>
        <w:spacing w:lineRule="exact" w:line="280" w:before="40" w:after="40"/>
        <w:rPr/>
      </w:pPr>
      <w:r>
        <w:rPr>
          <w:rFonts w:eastAsia="Arial" w:cs="Arial"/>
          <w:color w:val="1A1A1A"/>
          <w:sz w:val="22"/>
          <w:szCs w:val="22"/>
        </w:rPr>
        <w:t>Notifications are coordinated by the Incident Manager with input from customer-facing leads, the Privacy Lead, and the Chief Executive Officer.</w:t>
      </w:r>
    </w:p>
    <w:p>
      <w:pPr>
        <w:pStyle w:val="ListParagraph"/>
        <w:numPr>
          <w:ilvl w:val="0"/>
          <w:numId w:val="1"/>
        </w:numPr>
        <w:spacing w:lineRule="exact" w:line="280" w:before="40" w:after="40"/>
        <w:rPr/>
      </w:pPr>
      <w:r>
        <w:rPr>
          <w:rFonts w:eastAsia="Arial" w:cs="Arial"/>
          <w:color w:val="1A1A1A"/>
          <w:sz w:val="22"/>
          <w:szCs w:val="22"/>
        </w:rPr>
        <w:t>Notifications follow a plain-language structure: what is known, what is being done, what next, when the next update will be provided.</w:t>
      </w:r>
    </w:p>
    <w:p>
      <w:pPr>
        <w:pStyle w:val="ListParagraph"/>
        <w:numPr>
          <w:ilvl w:val="0"/>
          <w:numId w:val="1"/>
        </w:numPr>
        <w:spacing w:lineRule="exact" w:line="280" w:before="40" w:after="40"/>
        <w:rPr/>
      </w:pPr>
      <w:r>
        <w:rPr>
          <w:rFonts w:eastAsia="Arial" w:cs="Arial"/>
          <w:color w:val="1A1A1A"/>
          <w:sz w:val="22"/>
          <w:szCs w:val="22"/>
        </w:rPr>
        <w:t>Personal data breach notifications follow PRO-024 Breach Notification Procedure and POL-010 Privacy Policy.</w:t>
      </w:r>
    </w:p>
    <w:p>
      <w:pPr>
        <w:pStyle w:val="Heading1"/>
        <w:spacing w:before="360" w:after="180"/>
        <w:rPr/>
      </w:pPr>
      <w:r>
        <w:rPr>
          <w:rFonts w:eastAsia="Arial" w:cs="Arial" w:ascii="Arial" w:hAnsi="Arial"/>
          <w:b/>
          <w:bCs/>
          <w:color w:val="0000FF"/>
          <w:sz w:val="36"/>
          <w:szCs w:val="36"/>
        </w:rPr>
        <w:t>12. Workforce Continuity</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operates with a small team, where the temporary loss of any one person is material. Mitigations include:</w:t>
      </w:r>
    </w:p>
    <w:p>
      <w:pPr>
        <w:pStyle w:val="ListParagraph"/>
        <w:numPr>
          <w:ilvl w:val="0"/>
          <w:numId w:val="1"/>
        </w:numPr>
        <w:spacing w:lineRule="exact" w:line="280" w:before="40" w:after="40"/>
        <w:rPr/>
      </w:pPr>
      <w:r>
        <w:rPr>
          <w:rFonts w:eastAsia="Arial" w:cs="Arial"/>
          <w:color w:val="1A1A1A"/>
          <w:sz w:val="22"/>
          <w:szCs w:val="22"/>
        </w:rPr>
        <w:t>Documented runbooks and procedures, designed to be operable by any suitably qualified team member.</w:t>
      </w:r>
    </w:p>
    <w:p>
      <w:pPr>
        <w:pStyle w:val="ListParagraph"/>
        <w:numPr>
          <w:ilvl w:val="0"/>
          <w:numId w:val="1"/>
        </w:numPr>
        <w:spacing w:lineRule="exact" w:line="280" w:before="40" w:after="40"/>
        <w:rPr/>
      </w:pPr>
      <w:r>
        <w:rPr>
          <w:rFonts w:eastAsia="Arial" w:cs="Arial"/>
          <w:color w:val="1A1A1A"/>
          <w:sz w:val="22"/>
          <w:szCs w:val="22"/>
        </w:rPr>
        <w:t>Cross-training and pair-working across the platform on-call rota.</w:t>
      </w:r>
    </w:p>
    <w:p>
      <w:pPr>
        <w:pStyle w:val="ListParagraph"/>
        <w:numPr>
          <w:ilvl w:val="0"/>
          <w:numId w:val="1"/>
        </w:numPr>
        <w:spacing w:lineRule="exact" w:line="280" w:before="40" w:after="40"/>
        <w:rPr/>
      </w:pPr>
      <w:r>
        <w:rPr>
          <w:rFonts w:eastAsia="Arial" w:cs="Arial"/>
          <w:color w:val="1A1A1A"/>
          <w:sz w:val="22"/>
          <w:szCs w:val="22"/>
        </w:rPr>
        <w:t>Pre-arranged contractor and partner relationships that can supplement capacity at short notice.</w:t>
      </w:r>
    </w:p>
    <w:p>
      <w:pPr>
        <w:pStyle w:val="ListParagraph"/>
        <w:numPr>
          <w:ilvl w:val="0"/>
          <w:numId w:val="1"/>
        </w:numPr>
        <w:spacing w:lineRule="exact" w:line="280" w:before="40" w:after="40"/>
        <w:rPr/>
      </w:pPr>
      <w:r>
        <w:rPr>
          <w:rFonts w:eastAsia="Arial" w:cs="Arial"/>
          <w:color w:val="1A1A1A"/>
          <w:sz w:val="22"/>
          <w:szCs w:val="22"/>
        </w:rPr>
        <w:t>Authority and access provisioning that does not depend on any single individual.</w:t>
      </w:r>
    </w:p>
    <w:p>
      <w:pPr>
        <w:pStyle w:val="ListParagraph"/>
        <w:numPr>
          <w:ilvl w:val="0"/>
          <w:numId w:val="1"/>
        </w:numPr>
        <w:spacing w:lineRule="exact" w:line="280" w:before="40" w:after="40"/>
        <w:rPr/>
      </w:pPr>
      <w:r>
        <w:rPr>
          <w:rFonts w:eastAsia="Arial" w:cs="Arial"/>
          <w:color w:val="1A1A1A"/>
          <w:sz w:val="22"/>
          <w:szCs w:val="22"/>
        </w:rPr>
        <w:t>Up-to-date contact list for personnel and key external parties (REG-AUTH-001).</w:t>
      </w:r>
    </w:p>
    <w:p>
      <w:pPr>
        <w:pStyle w:val="Heading1"/>
        <w:spacing w:before="360" w:after="180"/>
        <w:rPr/>
      </w:pPr>
      <w:r>
        <w:rPr>
          <w:rFonts w:eastAsia="Arial" w:cs="Arial" w:ascii="Arial" w:hAnsi="Arial"/>
          <w:b/>
          <w:bCs/>
          <w:color w:val="0000FF"/>
          <w:sz w:val="36"/>
          <w:szCs w:val="36"/>
        </w:rPr>
        <w:t>13. Supplier and Cloud Provider Disruption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Disruption to Tier 1 and Tier 2 suppliers triggers contact with the Cloudax supplier owner and engagement under POL-006.</w:t>
      </w:r>
    </w:p>
    <w:p>
      <w:pPr>
        <w:pStyle w:val="ListParagraph"/>
        <w:numPr>
          <w:ilvl w:val="0"/>
          <w:numId w:val="1"/>
        </w:numPr>
        <w:spacing w:lineRule="exact" w:line="280" w:before="40" w:after="40"/>
        <w:rPr/>
      </w:pPr>
      <w:r>
        <w:rPr>
          <w:rFonts w:eastAsia="Arial" w:cs="Arial"/>
          <w:color w:val="1A1A1A"/>
          <w:sz w:val="22"/>
          <w:szCs w:val="22"/>
        </w:rPr>
        <w:t>Cloud provider status pages are monitored continuously; provider incidents that affect Cloudax services trigger this Plan and PLAN-DRP-001.</w:t>
      </w:r>
    </w:p>
    <w:p>
      <w:pPr>
        <w:pStyle w:val="ListParagraph"/>
        <w:numPr>
          <w:ilvl w:val="0"/>
          <w:numId w:val="1"/>
        </w:numPr>
        <w:spacing w:lineRule="exact" w:line="280" w:before="40" w:after="40"/>
        <w:rPr/>
      </w:pPr>
      <w:r>
        <w:rPr>
          <w:rFonts w:eastAsia="Arial" w:cs="Arial"/>
          <w:color w:val="1A1A1A"/>
          <w:sz w:val="22"/>
          <w:szCs w:val="22"/>
        </w:rPr>
        <w:t>Where a supplier failure is sustained, the Information Security Manager and Chief Executive Officer evaluate the engagement of alternatives previously identified during onboarding assessment.</w:t>
      </w:r>
    </w:p>
    <w:p>
      <w:pPr>
        <w:pStyle w:val="Heading1"/>
        <w:spacing w:before="360" w:after="180"/>
        <w:rPr/>
      </w:pPr>
      <w:r>
        <w:rPr>
          <w:rFonts w:eastAsia="Arial" w:cs="Arial" w:ascii="Arial" w:hAnsi="Arial"/>
          <w:b/>
          <w:bCs/>
          <w:color w:val="0000FF"/>
          <w:sz w:val="36"/>
          <w:szCs w:val="36"/>
        </w:rPr>
        <w:t>14. Stand-Down and Recovery</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The Incident Manager declares stand-down once critical activities are restored and operating within tolerance.</w:t>
      </w:r>
    </w:p>
    <w:p>
      <w:pPr>
        <w:pStyle w:val="ListParagraph"/>
        <w:numPr>
          <w:ilvl w:val="0"/>
          <w:numId w:val="1"/>
        </w:numPr>
        <w:spacing w:lineRule="exact" w:line="280" w:before="40" w:after="40"/>
        <w:rPr/>
      </w:pPr>
      <w:r>
        <w:rPr>
          <w:rFonts w:eastAsia="Arial" w:cs="Arial"/>
          <w:color w:val="1A1A1A"/>
          <w:sz w:val="22"/>
          <w:szCs w:val="22"/>
        </w:rPr>
        <w:t>Stand-down is communicated through the channels used during the incident.</w:t>
      </w:r>
    </w:p>
    <w:p>
      <w:pPr>
        <w:pStyle w:val="ListParagraph"/>
        <w:numPr>
          <w:ilvl w:val="0"/>
          <w:numId w:val="1"/>
        </w:numPr>
        <w:spacing w:lineRule="exact" w:line="280" w:before="40" w:after="40"/>
        <w:rPr/>
      </w:pPr>
      <w:r>
        <w:rPr>
          <w:rFonts w:eastAsia="Arial" w:cs="Arial"/>
          <w:color w:val="1A1A1A"/>
          <w:sz w:val="22"/>
          <w:szCs w:val="22"/>
        </w:rPr>
        <w:t>Outstanding remediation, post-incident actions, and improvement opportunities are recorded in REG-CAR-001.</w:t>
      </w:r>
    </w:p>
    <w:p>
      <w:pPr>
        <w:pStyle w:val="Heading1"/>
        <w:spacing w:before="360" w:after="180"/>
        <w:rPr/>
      </w:pPr>
      <w:r>
        <w:rPr>
          <w:rFonts w:eastAsia="Arial" w:cs="Arial" w:ascii="Arial" w:hAnsi="Arial"/>
          <w:b/>
          <w:bCs/>
          <w:color w:val="0000FF"/>
          <w:sz w:val="36"/>
          <w:szCs w:val="36"/>
        </w:rPr>
        <w:t>15. Post-Disruption Review</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Every Plan activation is followed by a blameless post-incident review.</w:t>
      </w:r>
    </w:p>
    <w:p>
      <w:pPr>
        <w:pStyle w:val="ListParagraph"/>
        <w:numPr>
          <w:ilvl w:val="0"/>
          <w:numId w:val="1"/>
        </w:numPr>
        <w:spacing w:lineRule="exact" w:line="280" w:before="40" w:after="40"/>
        <w:rPr/>
      </w:pPr>
      <w:r>
        <w:rPr>
          <w:rFonts w:eastAsia="Arial" w:cs="Arial"/>
          <w:color w:val="1A1A1A"/>
          <w:sz w:val="22"/>
          <w:szCs w:val="22"/>
        </w:rPr>
        <w:t>The review identifies what worked, what did not, contributing factors, and concrete improvements to the Plan or supporting controls.</w:t>
      </w:r>
    </w:p>
    <w:p>
      <w:pPr>
        <w:pStyle w:val="ListParagraph"/>
        <w:numPr>
          <w:ilvl w:val="0"/>
          <w:numId w:val="1"/>
        </w:numPr>
        <w:spacing w:lineRule="exact" w:line="280" w:before="40" w:after="40"/>
        <w:rPr/>
      </w:pPr>
      <w:r>
        <w:rPr>
          <w:rFonts w:eastAsia="Arial" w:cs="Arial"/>
          <w:color w:val="1A1A1A"/>
          <w:sz w:val="22"/>
          <w:szCs w:val="22"/>
        </w:rPr>
        <w:t>Findings feed continual improvement (Cl. 10.1) and management review (Cl. 9.3).</w:t>
      </w:r>
    </w:p>
    <w:p>
      <w:pPr>
        <w:pStyle w:val="Heading1"/>
        <w:spacing w:before="360" w:after="180"/>
        <w:rPr/>
      </w:pPr>
      <w:r>
        <w:rPr>
          <w:rFonts w:eastAsia="Arial" w:cs="Arial" w:ascii="Arial" w:hAnsi="Arial"/>
          <w:b/>
          <w:bCs/>
          <w:color w:val="0000FF"/>
          <w:sz w:val="36"/>
          <w:szCs w:val="36"/>
        </w:rPr>
        <w:t>16. Testing and Exercising</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This Plan is exercised at least annually, including a tabletop exercise covering one or more disruption scenarios.</w:t>
      </w:r>
    </w:p>
    <w:p>
      <w:pPr>
        <w:pStyle w:val="ListParagraph"/>
        <w:numPr>
          <w:ilvl w:val="0"/>
          <w:numId w:val="1"/>
        </w:numPr>
        <w:spacing w:lineRule="exact" w:line="280" w:before="40" w:after="40"/>
        <w:rPr/>
      </w:pPr>
      <w:r>
        <w:rPr>
          <w:rFonts w:eastAsia="Arial" w:cs="Arial"/>
          <w:color w:val="1A1A1A"/>
          <w:sz w:val="22"/>
          <w:szCs w:val="22"/>
        </w:rPr>
        <w:t>Disaster recovery technical tests are described in PLAN-DRP-001.</w:t>
      </w:r>
    </w:p>
    <w:p>
      <w:pPr>
        <w:pStyle w:val="ListParagraph"/>
        <w:numPr>
          <w:ilvl w:val="0"/>
          <w:numId w:val="1"/>
        </w:numPr>
        <w:spacing w:lineRule="exact" w:line="280" w:before="40" w:after="40"/>
        <w:rPr/>
      </w:pPr>
      <w:r>
        <w:rPr>
          <w:rFonts w:eastAsia="Arial" w:cs="Arial"/>
          <w:color w:val="1A1A1A"/>
          <w:sz w:val="22"/>
          <w:szCs w:val="22"/>
        </w:rPr>
        <w:t>Exercise outcomes, including findings and improvement actions, are recorded and reported to management review.</w:t>
      </w:r>
    </w:p>
    <w:p>
      <w:pPr>
        <w:pStyle w:val="Heading1"/>
        <w:spacing w:before="360" w:after="180"/>
        <w:rPr/>
      </w:pPr>
      <w:r>
        <w:rPr>
          <w:rFonts w:eastAsia="Arial" w:cs="Arial" w:ascii="Arial" w:hAnsi="Arial"/>
          <w:b/>
          <w:bCs/>
          <w:color w:val="0000FF"/>
          <w:sz w:val="36"/>
          <w:szCs w:val="36"/>
        </w:rPr>
        <w:t>17.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Plan is reviewed at least annually and on material change to the business, the platform, the workforce, or the supplier base. Material changes are approved by the Chief Executive Officer and recorded in Annex B.</w:t>
      </w:r>
    </w:p>
    <w:p>
      <w:pPr>
        <w:pStyle w:val="Heading1"/>
        <w:spacing w:before="360" w:after="180"/>
        <w:rPr/>
      </w:pPr>
      <w:r>
        <w:rPr>
          <w:rFonts w:eastAsia="Arial" w:cs="Arial" w:ascii="Arial" w:hAnsi="Arial"/>
          <w:b/>
          <w:bCs/>
          <w:color w:val="0000FF"/>
          <w:sz w:val="36"/>
          <w:szCs w:val="36"/>
        </w:rPr>
        <w:t>18.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personnel are required to acknowledge this Plan on commencement, on material change, and on request.</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Annex A Controls Addressed</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gives effect to the following ISO/IEC 27001:2022 Annex A controls, as recorded in the Cloudax Statement of Applicability (ISMS-SOA-001 v4.0).</w:t>
      </w:r>
    </w:p>
    <w:tbl>
      <w:tblPr>
        <w:tblW w:w="9026" w:type="dxa"/>
        <w:jc w:val="start"/>
        <w:tblInd w:w="0" w:type="dxa"/>
        <w:tblLayout w:type="fixed"/>
        <w:tblCellMar>
          <w:top w:w="100" w:type="dxa"/>
          <w:start w:w="140" w:type="dxa"/>
          <w:bottom w:w="100" w:type="dxa"/>
          <w:end w:w="140" w:type="dxa"/>
        </w:tblCellMar>
      </w:tblPr>
      <w:tblGrid>
        <w:gridCol w:w="1699"/>
        <w:gridCol w:w="7326"/>
      </w:tblGrid>
      <w:tr>
        <w:trPr>
          <w:tblHeader w:val="true"/>
        </w:trPr>
        <w:tc>
          <w:tcPr>
            <w:tcW w:w="1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ANNEX A REF</w:t>
            </w:r>
          </w:p>
        </w:tc>
        <w:tc>
          <w:tcPr>
            <w:tcW w:w="73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CONTROL TITLE</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A.5.29</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Information security during disruption</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A.5.30</w:t>
            </w:r>
          </w:p>
        </w:tc>
        <w:tc>
          <w:tcPr>
            <w:tcW w:w="7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ICT readiness for business continuity</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A.5.24</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Information security incident management planning and preparation</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A.5.27</w:t>
            </w:r>
          </w:p>
        </w:tc>
        <w:tc>
          <w:tcPr>
            <w:tcW w:w="7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Learning from information security incidents</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A.8.13</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Information backup</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A.8.14</w:t>
            </w:r>
          </w:p>
        </w:tc>
        <w:tc>
          <w:tcPr>
            <w:tcW w:w="7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Redundancy of information processing facilities</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Manager</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27001:2022 and Cloudax Statement of Applicability v4.0.</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PLAN-BCP-001 Business Continuity Plan  •  Internal  </w:t>
      <w:tab/>
      <w:t>v1.0  •  April 2026</w:t>
      <w:tab/>
      <w:t xml:space="preserve">Page </w:t>
    </w:r>
    <w:r>
      <w:rPr/>
      <w:fldChar w:fldCharType="begin"/>
    </w:r>
    <w:r>
      <w:rPr/>
      <w:instrText xml:space="preserve"> PAGE </w:instrText>
    </w:r>
    <w:r>
      <w:rPr/>
      <w:fldChar w:fldCharType="separate"/>
    </w:r>
    <w:r>
      <w:rPr/>
      <w:t>10</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PLAN-BCP-001 Business Continuity Plan  •  Internal  </w:t>
      <w:tab/>
      <w:t>v1.0  •  April 2026</w:t>
      <w:tab/>
      <w:t xml:space="preserve">Page </w:t>
    </w:r>
    <w:r>
      <w:rPr/>
      <w:fldChar w:fldCharType="begin"/>
    </w:r>
    <w:r>
      <w:rPr/>
      <w:instrText xml:space="preserve"> PAGE </w:instrText>
    </w:r>
    <w:r>
      <w:rPr/>
      <w:fldChar w:fldCharType="separate"/>
    </w:r>
    <w:r>
      <w:rPr/>
      <w:t>10</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2026-04-22T10:33:59Z</dcterms:created>
  <dc:creator>David Stokes</dc:creator>
  <dc:description/>
  <dc:language>en-US</dc:language>
  <cp:lastModifiedBy>David Stokes</cp:lastModifiedBy>
  <dcterms:modified xsi:type="dcterms:W3CDTF">2026-04-22T13:12:59Z</dcterms:modified>
  <cp:revision>1</cp:revision>
  <dc:subject/>
  <dc:title>Cloudax Business Continuity Plan</dc:title>
</cp:coreProperties>
</file>

<file path=docProps/custom.xml><?xml version="1.0" encoding="utf-8"?>
<Properties xmlns="http://schemas.openxmlformats.org/officeDocument/2006/custom-properties" xmlns:vt="http://schemas.openxmlformats.org/officeDocument/2006/docPropsVTypes"/>
</file>