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jc w:val="start"/>
        <w:tblInd w:w="0" w:type="dxa"/>
        <w:tblLayout w:type="fixed"/>
        <w:tblCellMar>
          <w:top w:w="700" w:type="dxa"/>
          <w:start w:w="600" w:type="dxa"/>
          <w:bottom w:w="700" w:type="dxa"/>
          <w:end w:w="600" w:type="dxa"/>
        </w:tblCellMar>
      </w:tblPr>
      <w:tblGrid>
        <w:gridCol w:w="9026"/>
      </w:tblGrid>
      <w:tr>
        <w:trPr>
          <w:trHeight w:val="3800" w:hRule="atLeast"/>
        </w:trPr>
        <w:tc>
          <w:tcPr>
            <w:tcW w:w="9026"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52"/>
                <w:szCs w:val="52"/>
              </w:rPr>
              <w:t>Disaster Recovery Plan</w:t>
            </w:r>
          </w:p>
          <w:p>
            <w:pPr>
              <w:pStyle w:val="Normal"/>
              <w:spacing w:before="0" w:after="40"/>
              <w:jc w:val="center"/>
              <w:rPr/>
            </w:pPr>
            <w:r>
              <w:rPr>
                <w:rFonts w:eastAsia="Arial" w:cs="Arial"/>
                <w:color w:val="FFFFFF"/>
                <w:sz w:val="22"/>
                <w:szCs w:val="22"/>
              </w:rPr>
              <w:t>Information Security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9026" w:type="dxa"/>
        <w:jc w:val="start"/>
        <w:tblInd w:w="0" w:type="dxa"/>
        <w:tblLayout w:type="fixed"/>
        <w:tblCellMar>
          <w:top w:w="140" w:type="dxa"/>
          <w:start w:w="200" w:type="dxa"/>
          <w:bottom w:w="140" w:type="dxa"/>
          <w:end w:w="200" w:type="dxa"/>
        </w:tblCellMar>
      </w:tblPr>
      <w:tblGrid>
        <w:gridCol w:w="4513"/>
        <w:gridCol w:w="4512"/>
      </w:tblGrid>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PLAN-DRP-001</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Disaster Recovery Plan</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Information Security Manager</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Chief Executive Officer</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third parties on request</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SoA REFERENCE</w:t>
            </w:r>
          </w:p>
          <w:p>
            <w:pPr>
              <w:pStyle w:val="Normal"/>
              <w:spacing w:before="0" w:after="0"/>
              <w:rPr/>
            </w:pPr>
            <w:r>
              <w:rPr>
                <w:rFonts w:eastAsia="Arial" w:cs="Arial"/>
                <w:color w:val="1A1A1A"/>
                <w:sz w:val="22"/>
                <w:szCs w:val="22"/>
              </w:rPr>
              <w:t>ISMS-SOA-001 v4.0</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ISMS MAP</w:t>
            </w:r>
          </w:p>
          <w:p>
            <w:pPr>
              <w:pStyle w:val="Normal"/>
              <w:spacing w:before="0" w:after="0"/>
              <w:rPr/>
            </w:pPr>
            <w:r>
              <w:rPr>
                <w:rFonts w:eastAsia="Arial" w:cs="Arial"/>
                <w:color w:val="1A1A1A"/>
                <w:sz w:val="22"/>
                <w:szCs w:val="22"/>
              </w:rPr>
              <w:t>ISMS-MAP-001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w:t>
      </w:r>
    </w:p>
    <w:p>
      <w:pPr>
        <w:pStyle w:val="Normal"/>
        <w:spacing w:before="40" w:after="40"/>
        <w:rPr/>
      </w:pPr>
      <w:r>
        <w:rPr>
          <w:rFonts w:eastAsia="Arial" w:cs="Arial"/>
          <w:color w:val="1A1A1A"/>
          <w:sz w:val="22"/>
          <w:szCs w:val="22"/>
        </w:rPr>
        <w:t>3. Definitions</w:t>
      </w:r>
    </w:p>
    <w:p>
      <w:pPr>
        <w:pStyle w:val="Normal"/>
        <w:spacing w:before="40" w:after="40"/>
        <w:rPr/>
      </w:pPr>
      <w:r>
        <w:rPr>
          <w:rFonts w:eastAsia="Arial" w:cs="Arial"/>
          <w:color w:val="1A1A1A"/>
          <w:sz w:val="22"/>
          <w:szCs w:val="22"/>
        </w:rPr>
        <w:t>4. Architecture and Resilience Posture</w:t>
      </w:r>
    </w:p>
    <w:p>
      <w:pPr>
        <w:pStyle w:val="Normal"/>
        <w:spacing w:before="40" w:after="40"/>
        <w:rPr/>
      </w:pPr>
      <w:r>
        <w:rPr>
          <w:rFonts w:eastAsia="Arial" w:cs="Arial"/>
          <w:color w:val="1A1A1A"/>
          <w:sz w:val="22"/>
          <w:szCs w:val="22"/>
        </w:rPr>
        <w:t>5. Roles and Responsibilities</w:t>
      </w:r>
    </w:p>
    <w:p>
      <w:pPr>
        <w:pStyle w:val="Normal"/>
        <w:spacing w:before="40" w:after="40"/>
        <w:rPr/>
      </w:pPr>
      <w:r>
        <w:rPr>
          <w:rFonts w:eastAsia="Arial" w:cs="Arial"/>
          <w:color w:val="1A1A1A"/>
          <w:sz w:val="22"/>
          <w:szCs w:val="22"/>
        </w:rPr>
        <w:t>6. Recovery Objectives by Service</w:t>
      </w:r>
    </w:p>
    <w:p>
      <w:pPr>
        <w:pStyle w:val="Normal"/>
        <w:spacing w:before="40" w:after="40"/>
        <w:rPr/>
      </w:pPr>
      <w:r>
        <w:rPr>
          <w:rFonts w:eastAsia="Arial" w:cs="Arial"/>
          <w:color w:val="1A1A1A"/>
          <w:sz w:val="22"/>
          <w:szCs w:val="22"/>
        </w:rPr>
        <w:t>7. Disaster Scenarios</w:t>
      </w:r>
    </w:p>
    <w:p>
      <w:pPr>
        <w:pStyle w:val="Normal"/>
        <w:spacing w:before="40" w:after="40"/>
        <w:rPr/>
      </w:pPr>
      <w:r>
        <w:rPr>
          <w:rFonts w:eastAsia="Arial" w:cs="Arial"/>
          <w:color w:val="1A1A1A"/>
          <w:sz w:val="22"/>
          <w:szCs w:val="22"/>
        </w:rPr>
        <w:t>8. Recovery Strategies</w:t>
      </w:r>
    </w:p>
    <w:p>
      <w:pPr>
        <w:pStyle w:val="Normal"/>
        <w:spacing w:before="40" w:after="40"/>
        <w:rPr/>
      </w:pPr>
      <w:r>
        <w:rPr>
          <w:rFonts w:eastAsia="Arial" w:cs="Arial"/>
          <w:color w:val="1A1A1A"/>
          <w:sz w:val="22"/>
          <w:szCs w:val="22"/>
        </w:rPr>
        <w:t xml:space="preserve">   </w:t>
      </w:r>
      <w:r>
        <w:rPr>
          <w:rFonts w:eastAsia="Arial" w:cs="Arial"/>
          <w:color w:val="1A1A1A"/>
          <w:sz w:val="22"/>
          <w:szCs w:val="22"/>
        </w:rPr>
        <w:t>8.1 Multi-Region Failover</w:t>
      </w:r>
    </w:p>
    <w:p>
      <w:pPr>
        <w:pStyle w:val="Normal"/>
        <w:spacing w:before="40" w:after="40"/>
        <w:rPr/>
      </w:pPr>
      <w:r>
        <w:rPr>
          <w:rFonts w:eastAsia="Arial" w:cs="Arial"/>
          <w:color w:val="1A1A1A"/>
          <w:sz w:val="22"/>
          <w:szCs w:val="22"/>
        </w:rPr>
        <w:t xml:space="preserve">   </w:t>
      </w:r>
      <w:r>
        <w:rPr>
          <w:rFonts w:eastAsia="Arial" w:cs="Arial"/>
          <w:color w:val="1A1A1A"/>
          <w:sz w:val="22"/>
          <w:szCs w:val="22"/>
        </w:rPr>
        <w:t>8.2 Backup-Based Recovery</w:t>
      </w:r>
    </w:p>
    <w:p>
      <w:pPr>
        <w:pStyle w:val="Normal"/>
        <w:spacing w:before="40" w:after="40"/>
        <w:rPr/>
      </w:pPr>
      <w:r>
        <w:rPr>
          <w:rFonts w:eastAsia="Arial" w:cs="Arial"/>
          <w:color w:val="1A1A1A"/>
          <w:sz w:val="22"/>
          <w:szCs w:val="22"/>
        </w:rPr>
        <w:t xml:space="preserve">   </w:t>
      </w:r>
      <w:r>
        <w:rPr>
          <w:rFonts w:eastAsia="Arial" w:cs="Arial"/>
          <w:color w:val="1A1A1A"/>
          <w:sz w:val="22"/>
          <w:szCs w:val="22"/>
        </w:rPr>
        <w:t>8.3 SaaS Service Recovery</w:t>
      </w:r>
    </w:p>
    <w:p>
      <w:pPr>
        <w:pStyle w:val="Normal"/>
        <w:spacing w:before="40" w:after="40"/>
        <w:rPr/>
      </w:pPr>
      <w:r>
        <w:rPr>
          <w:rFonts w:eastAsia="Arial" w:cs="Arial"/>
          <w:color w:val="1A1A1A"/>
          <w:sz w:val="22"/>
          <w:szCs w:val="22"/>
        </w:rPr>
        <w:t xml:space="preserve">   </w:t>
      </w:r>
      <w:r>
        <w:rPr>
          <w:rFonts w:eastAsia="Arial" w:cs="Arial"/>
          <w:color w:val="1A1A1A"/>
          <w:sz w:val="22"/>
          <w:szCs w:val="22"/>
        </w:rPr>
        <w:t>8.4 Source Code and CI/CD Recovery</w:t>
      </w:r>
    </w:p>
    <w:p>
      <w:pPr>
        <w:pStyle w:val="Normal"/>
        <w:spacing w:before="40" w:after="40"/>
        <w:rPr/>
      </w:pPr>
      <w:r>
        <w:rPr>
          <w:rFonts w:eastAsia="Arial" w:cs="Arial"/>
          <w:color w:val="1A1A1A"/>
          <w:sz w:val="22"/>
          <w:szCs w:val="22"/>
        </w:rPr>
        <w:t xml:space="preserve">   </w:t>
      </w:r>
      <w:r>
        <w:rPr>
          <w:rFonts w:eastAsia="Arial" w:cs="Arial"/>
          <w:color w:val="1A1A1A"/>
          <w:sz w:val="22"/>
          <w:szCs w:val="22"/>
        </w:rPr>
        <w:t>8.5 Identity Recovery</w:t>
      </w:r>
    </w:p>
    <w:p>
      <w:pPr>
        <w:pStyle w:val="Normal"/>
        <w:spacing w:before="40" w:after="40"/>
        <w:rPr/>
      </w:pPr>
      <w:r>
        <w:rPr>
          <w:rFonts w:eastAsia="Arial" w:cs="Arial"/>
          <w:color w:val="1A1A1A"/>
          <w:sz w:val="22"/>
          <w:szCs w:val="22"/>
        </w:rPr>
        <w:t>9. Activation</w:t>
      </w:r>
    </w:p>
    <w:p>
      <w:pPr>
        <w:pStyle w:val="Normal"/>
        <w:spacing w:before="40" w:after="40"/>
        <w:rPr/>
      </w:pPr>
      <w:r>
        <w:rPr>
          <w:rFonts w:eastAsia="Arial" w:cs="Arial"/>
          <w:color w:val="1A1A1A"/>
          <w:sz w:val="22"/>
          <w:szCs w:val="22"/>
        </w:rPr>
        <w:t>10. Recovery Runbooks (cross-reference)</w:t>
      </w:r>
    </w:p>
    <w:p>
      <w:pPr>
        <w:pStyle w:val="Normal"/>
        <w:spacing w:before="40" w:after="40"/>
        <w:rPr/>
      </w:pPr>
      <w:r>
        <w:rPr>
          <w:rFonts w:eastAsia="Arial" w:cs="Arial"/>
          <w:color w:val="1A1A1A"/>
          <w:sz w:val="22"/>
          <w:szCs w:val="22"/>
        </w:rPr>
        <w:t>11. Verification of Recovery</w:t>
      </w:r>
    </w:p>
    <w:p>
      <w:pPr>
        <w:pStyle w:val="Normal"/>
        <w:spacing w:before="40" w:after="40"/>
        <w:rPr/>
      </w:pPr>
      <w:r>
        <w:rPr>
          <w:rFonts w:eastAsia="Arial" w:cs="Arial"/>
          <w:color w:val="1A1A1A"/>
          <w:sz w:val="22"/>
          <w:szCs w:val="22"/>
        </w:rPr>
        <w:t>12. Customer Communication</w:t>
      </w:r>
    </w:p>
    <w:p>
      <w:pPr>
        <w:pStyle w:val="Normal"/>
        <w:spacing w:before="40" w:after="40"/>
        <w:rPr/>
      </w:pPr>
      <w:r>
        <w:rPr>
          <w:rFonts w:eastAsia="Arial" w:cs="Arial"/>
          <w:color w:val="1A1A1A"/>
          <w:sz w:val="22"/>
          <w:szCs w:val="22"/>
        </w:rPr>
        <w:t>13. Failback to Normal Operations</w:t>
      </w:r>
    </w:p>
    <w:p>
      <w:pPr>
        <w:pStyle w:val="Normal"/>
        <w:spacing w:before="40" w:after="40"/>
        <w:rPr/>
      </w:pPr>
      <w:r>
        <w:rPr>
          <w:rFonts w:eastAsia="Arial" w:cs="Arial"/>
          <w:color w:val="1A1A1A"/>
          <w:sz w:val="22"/>
          <w:szCs w:val="22"/>
        </w:rPr>
        <w:t>14. Post-Recovery Review</w:t>
      </w:r>
    </w:p>
    <w:p>
      <w:pPr>
        <w:pStyle w:val="Normal"/>
        <w:spacing w:before="40" w:after="40"/>
        <w:rPr/>
      </w:pPr>
      <w:r>
        <w:rPr>
          <w:rFonts w:eastAsia="Arial" w:cs="Arial"/>
          <w:color w:val="1A1A1A"/>
          <w:sz w:val="22"/>
          <w:szCs w:val="22"/>
        </w:rPr>
        <w:t>15. Testing</w:t>
      </w:r>
    </w:p>
    <w:p>
      <w:pPr>
        <w:pStyle w:val="Normal"/>
        <w:spacing w:before="40" w:after="40"/>
        <w:rPr/>
      </w:pPr>
      <w:r>
        <w:rPr>
          <w:rFonts w:eastAsia="Arial" w:cs="Arial"/>
          <w:color w:val="1A1A1A"/>
          <w:sz w:val="22"/>
          <w:szCs w:val="22"/>
        </w:rPr>
        <w:t>16. Maintenance</w:t>
      </w:r>
    </w:p>
    <w:p>
      <w:pPr>
        <w:pStyle w:val="Normal"/>
        <w:spacing w:before="40" w:after="40"/>
        <w:rPr/>
      </w:pPr>
      <w:r>
        <w:rPr>
          <w:rFonts w:eastAsia="Arial" w:cs="Arial"/>
          <w:color w:val="1A1A1A"/>
          <w:sz w:val="22"/>
          <w:szCs w:val="22"/>
        </w:rPr>
        <w:t>17. Acknowledgement</w:t>
      </w:r>
    </w:p>
    <w:p>
      <w:pPr>
        <w:pStyle w:val="Normal"/>
        <w:spacing w:before="40" w:after="40"/>
        <w:rPr/>
      </w:pPr>
      <w:r>
        <w:rPr>
          <w:rFonts w:eastAsia="Arial" w:cs="Arial"/>
          <w:color w:val="1A1A1A"/>
          <w:sz w:val="22"/>
          <w:szCs w:val="22"/>
        </w:rPr>
        <w:t>Annex A — Annex A Controls Addressed</w:t>
      </w:r>
    </w:p>
    <w:p>
      <w:pPr>
        <w:pStyle w:val="Normal"/>
        <w:spacing w:before="40" w:after="40"/>
        <w:rPr/>
      </w:pPr>
      <w:r>
        <w:rPr>
          <w:rFonts w:eastAsia="Arial" w:cs="Arial"/>
          <w:color w:val="1A1A1A"/>
          <w:sz w:val="22"/>
          <w:szCs w:val="22"/>
        </w:rPr>
        <w:t>Annex B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Disaster Recovery Plan (the “Plan”) sets out how Cloudax Ltd. recovers ICT services after a disaster. It complements the Business Continuity Plan (PLAN-BCP-001) by focusing on the technical recovery of platform and supporting systems.</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Linked controls: A.5.30 ICT readiness for business continuity; A.8.14 Redundancy of information processing facilities; A.8.13 Information backup</w:t>
      </w:r>
    </w:p>
    <w:p>
      <w:pPr>
        <w:pStyle w:val="Heading1"/>
        <w:spacing w:before="360" w:after="180"/>
        <w:rPr/>
      </w:pPr>
      <w:r>
        <w:rPr>
          <w:rFonts w:eastAsia="Arial" w:cs="Arial" w:ascii="Arial" w:hAnsi="Arial"/>
          <w:b/>
          <w:bCs/>
          <w:color w:val="0000FF"/>
          <w:sz w:val="36"/>
          <w:szCs w:val="36"/>
        </w:rPr>
        <w:t>2.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Plan covers the recovery of:</w:t>
      </w:r>
    </w:p>
    <w:p>
      <w:pPr>
        <w:pStyle w:val="ListParagraph"/>
        <w:numPr>
          <w:ilvl w:val="0"/>
          <w:numId w:val="3"/>
        </w:numPr>
        <w:spacing w:lineRule="exact" w:line="280" w:before="40" w:after="40"/>
        <w:rPr/>
      </w:pPr>
      <w:r>
        <w:rPr>
          <w:rFonts w:eastAsia="Arial" w:cs="Arial"/>
          <w:color w:val="1A1A1A"/>
          <w:sz w:val="22"/>
          <w:szCs w:val="22"/>
        </w:rPr>
        <w:t>The Cloudax conversational AI platform (production and customer-facing services).</w:t>
      </w:r>
    </w:p>
    <w:p>
      <w:pPr>
        <w:pStyle w:val="ListParagraph"/>
        <w:numPr>
          <w:ilvl w:val="0"/>
          <w:numId w:val="1"/>
        </w:numPr>
        <w:spacing w:lineRule="exact" w:line="280" w:before="40" w:after="40"/>
        <w:rPr/>
      </w:pPr>
      <w:r>
        <w:rPr>
          <w:rFonts w:eastAsia="Arial" w:cs="Arial"/>
          <w:color w:val="1A1A1A"/>
          <w:sz w:val="22"/>
          <w:szCs w:val="22"/>
        </w:rPr>
        <w:t>Supporting cloud infrastructure, including identity, networking, storage, and security tooling.</w:t>
      </w:r>
    </w:p>
    <w:p>
      <w:pPr>
        <w:pStyle w:val="ListParagraph"/>
        <w:numPr>
          <w:ilvl w:val="0"/>
          <w:numId w:val="1"/>
        </w:numPr>
        <w:spacing w:lineRule="exact" w:line="280" w:before="40" w:after="40"/>
        <w:rPr/>
      </w:pPr>
      <w:r>
        <w:rPr>
          <w:rFonts w:eastAsia="Arial" w:cs="Arial"/>
          <w:color w:val="1A1A1A"/>
          <w:sz w:val="22"/>
          <w:szCs w:val="22"/>
        </w:rPr>
        <w:t>Source code repositories, CI/CD pipelines, and developer tooling.</w:t>
      </w:r>
    </w:p>
    <w:p>
      <w:pPr>
        <w:pStyle w:val="ListParagraph"/>
        <w:numPr>
          <w:ilvl w:val="0"/>
          <w:numId w:val="1"/>
        </w:numPr>
        <w:spacing w:lineRule="exact" w:line="280" w:before="40" w:after="40"/>
        <w:rPr/>
      </w:pPr>
      <w:r>
        <w:rPr>
          <w:rFonts w:eastAsia="Arial" w:cs="Arial"/>
          <w:color w:val="1A1A1A"/>
          <w:sz w:val="22"/>
          <w:szCs w:val="22"/>
        </w:rPr>
        <w:t>Customer data, including voice recordings, transcripts, and derived data.</w:t>
      </w:r>
    </w:p>
    <w:p>
      <w:pPr>
        <w:pStyle w:val="ListParagraph"/>
        <w:numPr>
          <w:ilvl w:val="0"/>
          <w:numId w:val="1"/>
        </w:numPr>
        <w:spacing w:lineRule="exact" w:line="280" w:before="40" w:after="40"/>
        <w:rPr/>
      </w:pPr>
      <w:r>
        <w:rPr>
          <w:rFonts w:eastAsia="Arial" w:cs="Arial"/>
          <w:color w:val="1A1A1A"/>
          <w:sz w:val="22"/>
          <w:szCs w:val="22"/>
        </w:rPr>
        <w:t>SaaS applications used to operate Cloudax (productivity, communications, ticketing, monitoring).</w:t>
      </w:r>
    </w:p>
    <w:p>
      <w:pPr>
        <w:pStyle w:val="Heading1"/>
        <w:spacing w:before="360" w:after="180"/>
        <w:rPr/>
      </w:pPr>
      <w:r>
        <w:rPr>
          <w:rFonts w:eastAsia="Arial" w:cs="Arial" w:ascii="Arial" w:hAnsi="Arial"/>
          <w:b/>
          <w:bCs/>
          <w:color w:val="0000FF"/>
          <w:sz w:val="36"/>
          <w:szCs w:val="36"/>
        </w:rPr>
        <w:t>3. Definitions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b/>
          <w:bCs/>
          <w:color w:val="1A1A1A"/>
          <w:sz w:val="22"/>
          <w:szCs w:val="22"/>
        </w:rPr>
        <w:t xml:space="preserve">Disaster: </w:t>
      </w:r>
      <w:r>
        <w:rPr>
          <w:rFonts w:eastAsia="Arial" w:cs="Arial"/>
          <w:color w:val="1A1A1A"/>
          <w:sz w:val="22"/>
          <w:szCs w:val="22"/>
        </w:rPr>
        <w:t>a sudden event causing significant disruption or loss of ICT services or data.</w:t>
      </w:r>
    </w:p>
    <w:p>
      <w:pPr>
        <w:pStyle w:val="ListParagraph"/>
        <w:numPr>
          <w:ilvl w:val="0"/>
          <w:numId w:val="1"/>
        </w:numPr>
        <w:spacing w:lineRule="exact" w:line="280" w:before="40" w:after="40"/>
        <w:rPr/>
      </w:pPr>
      <w:r>
        <w:rPr>
          <w:rFonts w:eastAsia="Arial" w:cs="Arial"/>
          <w:b/>
          <w:bCs/>
          <w:color w:val="1A1A1A"/>
          <w:sz w:val="22"/>
          <w:szCs w:val="22"/>
        </w:rPr>
        <w:t xml:space="preserve">Failover: </w:t>
      </w:r>
      <w:r>
        <w:rPr>
          <w:rFonts w:eastAsia="Arial" w:cs="Arial"/>
          <w:color w:val="1A1A1A"/>
          <w:sz w:val="22"/>
          <w:szCs w:val="22"/>
        </w:rPr>
        <w:t>the act of switching service from a primary to an alternative facility.</w:t>
      </w:r>
    </w:p>
    <w:p>
      <w:pPr>
        <w:pStyle w:val="ListParagraph"/>
        <w:numPr>
          <w:ilvl w:val="0"/>
          <w:numId w:val="1"/>
        </w:numPr>
        <w:spacing w:lineRule="exact" w:line="280" w:before="40" w:after="40"/>
        <w:rPr/>
      </w:pPr>
      <w:r>
        <w:rPr>
          <w:rFonts w:eastAsia="Arial" w:cs="Arial"/>
          <w:b/>
          <w:bCs/>
          <w:color w:val="1A1A1A"/>
          <w:sz w:val="22"/>
          <w:szCs w:val="22"/>
        </w:rPr>
        <w:t xml:space="preserve">Failback: </w:t>
      </w:r>
      <w:r>
        <w:rPr>
          <w:rFonts w:eastAsia="Arial" w:cs="Arial"/>
          <w:color w:val="1A1A1A"/>
          <w:sz w:val="22"/>
          <w:szCs w:val="22"/>
        </w:rPr>
        <w:t>the act of returning service to the primary facility once it is restored.</w:t>
      </w:r>
    </w:p>
    <w:p>
      <w:pPr>
        <w:pStyle w:val="Heading1"/>
        <w:spacing w:before="360" w:after="180"/>
        <w:rPr/>
      </w:pPr>
      <w:r>
        <w:rPr>
          <w:rFonts w:eastAsia="Arial" w:cs="Arial" w:ascii="Arial" w:hAnsi="Arial"/>
          <w:b/>
          <w:bCs/>
          <w:color w:val="0000FF"/>
          <w:sz w:val="36"/>
          <w:szCs w:val="36"/>
        </w:rPr>
        <w:t>4. Architecture and Resilience Posture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Cloudax’s recovery posture is built on three pillars:</w:t>
      </w:r>
    </w:p>
    <w:p>
      <w:pPr>
        <w:pStyle w:val="ListParagraph"/>
        <w:numPr>
          <w:ilvl w:val="0"/>
          <w:numId w:val="1"/>
        </w:numPr>
        <w:spacing w:lineRule="exact" w:line="280" w:before="40" w:after="40"/>
        <w:rPr/>
      </w:pPr>
      <w:r>
        <w:rPr>
          <w:rFonts w:eastAsia="Arial" w:cs="Arial"/>
          <w:color w:val="1A1A1A"/>
          <w:sz w:val="22"/>
          <w:szCs w:val="22"/>
        </w:rPr>
        <w:t>Cloud-native architecture using established cloud service providers with multi-region capability and provider-native resilience features (auto-scaling, managed databases with replication, object storage with regional redundancy).</w:t>
      </w:r>
    </w:p>
    <w:p>
      <w:pPr>
        <w:pStyle w:val="ListParagraph"/>
        <w:numPr>
          <w:ilvl w:val="0"/>
          <w:numId w:val="1"/>
        </w:numPr>
        <w:spacing w:lineRule="exact" w:line="280" w:before="40" w:after="40"/>
        <w:rPr/>
      </w:pPr>
      <w:r>
        <w:rPr>
          <w:rFonts w:eastAsia="Arial" w:cs="Arial"/>
          <w:color w:val="1A1A1A"/>
          <w:sz w:val="22"/>
          <w:szCs w:val="22"/>
        </w:rPr>
        <w:t>Defence in depth across regions, accounts, and providers, including segregated identity for backup and recovery operations.</w:t>
      </w:r>
    </w:p>
    <w:p>
      <w:pPr>
        <w:pStyle w:val="ListParagraph"/>
        <w:numPr>
          <w:ilvl w:val="0"/>
          <w:numId w:val="1"/>
        </w:numPr>
        <w:spacing w:lineRule="exact" w:line="280" w:before="40" w:after="40"/>
        <w:rPr/>
      </w:pPr>
      <w:r>
        <w:rPr>
          <w:rFonts w:eastAsia="Arial" w:cs="Arial"/>
          <w:color w:val="1A1A1A"/>
          <w:sz w:val="22"/>
          <w:szCs w:val="22"/>
        </w:rPr>
        <w:t>Backup arrangements per POL-018 Backup Policy, including cross-region replication, immutability for ransomware mitigation, and tested restoration procedures.</w:t>
      </w:r>
    </w:p>
    <w:p>
      <w:pPr>
        <w:pStyle w:val="Heading1"/>
        <w:spacing w:before="360" w:after="180"/>
        <w:rPr/>
      </w:pPr>
      <w:r>
        <w:rPr>
          <w:rFonts w:eastAsia="Arial" w:cs="Arial" w:ascii="Arial" w:hAnsi="Arial"/>
          <w:b/>
          <w:bCs/>
          <w:color w:val="0000FF"/>
          <w:sz w:val="36"/>
          <w:szCs w:val="36"/>
        </w:rPr>
        <w:t>5. Roles and Responsibilities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Recovery is led by the Chief Technology Officer in coordination with the Incident Manager (Information Security Manager) under PLAN-BCP-001.</w:t>
      </w:r>
    </w:p>
    <w:p>
      <w:pPr>
        <w:pStyle w:val="Normal"/>
        <w:spacing w:before="60" w:after="60"/>
        <w:rPr/>
      </w:pPr>
      <w:r>
        <w:rPr/>
      </w:r>
    </w:p>
    <w:tbl>
      <w:tblPr>
        <w:tblW w:w="9026" w:type="dxa"/>
        <w:jc w:val="start"/>
        <w:tblInd w:w="0" w:type="dxa"/>
        <w:tblLayout w:type="fixed"/>
        <w:tblCellMar>
          <w:top w:w="100" w:type="dxa"/>
          <w:start w:w="140" w:type="dxa"/>
          <w:bottom w:w="100" w:type="dxa"/>
          <w:end w:w="140" w:type="dxa"/>
        </w:tblCellMar>
      </w:tblPr>
      <w:tblGrid>
        <w:gridCol w:w="3000"/>
        <w:gridCol w:w="6025"/>
      </w:tblGrid>
      <w:tr>
        <w:trPr>
          <w:tblHeader w:val="true"/>
        </w:trPr>
        <w:tc>
          <w:tcPr>
            <w:tcW w:w="30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ROLE</w:t>
            </w:r>
          </w:p>
        </w:tc>
        <w:tc>
          <w:tcPr>
            <w:tcW w:w="6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RESPONSIBILITY</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Chief Technology Officer</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Leads technical recovery; authorises failover; signs off recovery completion.</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Incident Manager (Information Security Manager)</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Coordinates with PLAN-BCP-001; ensures security implications of recovery actions are addressed.</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On-call engineer(s)</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Execute runbooks; report progress; escalate blockers.</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Customer-facing leads</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Coordinate customer communication during recovery.</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Privacy Lead</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Ensures recovery decisions respect data residency and personal data handling obligations.</w:t>
            </w:r>
          </w:p>
        </w:tc>
      </w:tr>
    </w:tbl>
    <w:p>
      <w:pPr>
        <w:pStyle w:val="Heading1"/>
        <w:spacing w:before="360" w:after="180"/>
        <w:rPr/>
      </w:pPr>
      <w:r>
        <w:rPr>
          <w:rFonts w:eastAsia="Arial" w:cs="Arial" w:ascii="Arial" w:hAnsi="Arial"/>
          <w:b/>
          <w:bCs/>
          <w:color w:val="0000FF"/>
          <w:sz w:val="36"/>
          <w:szCs w:val="36"/>
        </w:rPr>
        <w:t>6. Recovery Objectives by Service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Recovery objectives align to the critical activities in PLAN-BCP-001:</w:t>
      </w:r>
    </w:p>
    <w:p>
      <w:pPr>
        <w:pStyle w:val="Normal"/>
        <w:spacing w:before="60" w:after="60"/>
        <w:rPr/>
      </w:pPr>
      <w:r>
        <w:rPr/>
      </w:r>
    </w:p>
    <w:tbl>
      <w:tblPr>
        <w:tblW w:w="9026" w:type="dxa"/>
        <w:jc w:val="start"/>
        <w:tblInd w:w="0" w:type="dxa"/>
        <w:tblLayout w:type="fixed"/>
        <w:tblCellMar>
          <w:top w:w="100" w:type="dxa"/>
          <w:start w:w="140" w:type="dxa"/>
          <w:bottom w:w="100" w:type="dxa"/>
          <w:end w:w="140" w:type="dxa"/>
        </w:tblCellMar>
      </w:tblPr>
      <w:tblGrid>
        <w:gridCol w:w="3500"/>
        <w:gridCol w:w="1300"/>
        <w:gridCol w:w="1299"/>
        <w:gridCol w:w="2926"/>
      </w:tblGrid>
      <w:tr>
        <w:trPr>
          <w:tblHeader w:val="true"/>
        </w:trPr>
        <w:tc>
          <w:tcPr>
            <w:tcW w:w="3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SERVICE</w:t>
            </w:r>
          </w:p>
        </w:tc>
        <w:tc>
          <w:tcPr>
            <w:tcW w:w="13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RTO</w:t>
            </w:r>
          </w:p>
        </w:tc>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RPO</w:t>
            </w:r>
          </w:p>
        </w:tc>
        <w:tc>
          <w:tcPr>
            <w:tcW w:w="29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RECOVERY METHOD</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Conversational AI platform (customer-facing)</w:t>
            </w:r>
          </w:p>
        </w:tc>
        <w:tc>
          <w:tcPr>
            <w:tcW w:w="1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4 hours</w:t>
            </w:r>
          </w:p>
        </w:tc>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15 minutes</w:t>
            </w:r>
          </w:p>
        </w:tc>
        <w:tc>
          <w:tcPr>
            <w:tcW w:w="29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Multi-region failover</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Customer data store (recordings, transcripts, configuration)</w:t>
            </w:r>
          </w:p>
        </w:tc>
        <w:tc>
          <w:tcPr>
            <w:tcW w:w="1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4 hours</w:t>
            </w:r>
          </w:p>
        </w:tc>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15 minutes</w:t>
            </w:r>
          </w:p>
        </w:tc>
        <w:tc>
          <w:tcPr>
            <w:tcW w:w="29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Replicated storage; backup if needed</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Identity provider (corporate IdP + MFA)</w:t>
            </w:r>
          </w:p>
        </w:tc>
        <w:tc>
          <w:tcPr>
            <w:tcW w:w="1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4 hours</w:t>
            </w:r>
          </w:p>
        </w:tc>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1 hour</w:t>
            </w:r>
          </w:p>
        </w:tc>
        <w:tc>
          <w:tcPr>
            <w:tcW w:w="29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SaaS provider native resilience; backup of configuration</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Source code repositories and CI/CD</w:t>
            </w:r>
          </w:p>
        </w:tc>
        <w:tc>
          <w:tcPr>
            <w:tcW w:w="1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2 business days</w:t>
            </w:r>
          </w:p>
        </w:tc>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Last commit</w:t>
            </w:r>
          </w:p>
        </w:tc>
        <w:tc>
          <w:tcPr>
            <w:tcW w:w="29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SaaS provider native; third-party backup tooling</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Internal monitoring, logging, security tooling</w:t>
            </w:r>
          </w:p>
        </w:tc>
        <w:tc>
          <w:tcPr>
            <w:tcW w:w="1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8 hours</w:t>
            </w:r>
          </w:p>
        </w:tc>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Operational tolerance</w:t>
            </w:r>
          </w:p>
        </w:tc>
        <w:tc>
          <w:tcPr>
            <w:tcW w:w="29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Cloud-native redundancy; backup of configuration</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Productivity suite (Microsoft 365)</w:t>
            </w:r>
          </w:p>
        </w:tc>
        <w:tc>
          <w:tcPr>
            <w:tcW w:w="1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12 hours</w:t>
            </w:r>
          </w:p>
        </w:tc>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Operational tolerance</w:t>
            </w:r>
          </w:p>
        </w:tc>
        <w:tc>
          <w:tcPr>
            <w:tcW w:w="29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Provider native; third-party backup tooling per POL-018</w:t>
            </w:r>
          </w:p>
        </w:tc>
      </w:tr>
    </w:tbl>
    <w:p>
      <w:pPr>
        <w:pStyle w:val="Heading1"/>
        <w:spacing w:before="360" w:after="180"/>
        <w:rPr/>
      </w:pPr>
      <w:r>
        <w:rPr>
          <w:rFonts w:eastAsia="Arial" w:cs="Arial" w:ascii="Arial" w:hAnsi="Arial"/>
          <w:b/>
          <w:bCs/>
          <w:color w:val="0000FF"/>
          <w:sz w:val="36"/>
          <w:szCs w:val="36"/>
        </w:rPr>
        <w:t>7. Disaster Scenarios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The Plan is designed against the following representative disaster scenarios:</w:t>
      </w:r>
    </w:p>
    <w:p>
      <w:pPr>
        <w:pStyle w:val="Normal"/>
        <w:spacing w:before="60" w:after="60"/>
        <w:rPr/>
      </w:pPr>
      <w:r>
        <w:rPr/>
      </w:r>
    </w:p>
    <w:tbl>
      <w:tblPr>
        <w:tblW w:w="9026" w:type="dxa"/>
        <w:jc w:val="start"/>
        <w:tblInd w:w="0" w:type="dxa"/>
        <w:tblLayout w:type="fixed"/>
        <w:tblCellMar>
          <w:top w:w="100" w:type="dxa"/>
          <w:start w:w="140" w:type="dxa"/>
          <w:bottom w:w="100" w:type="dxa"/>
          <w:end w:w="140" w:type="dxa"/>
        </w:tblCellMar>
      </w:tblPr>
      <w:tblGrid>
        <w:gridCol w:w="3500"/>
        <w:gridCol w:w="1500"/>
        <w:gridCol w:w="4026"/>
      </w:tblGrid>
      <w:tr>
        <w:trPr>
          <w:tblHeader w:val="true"/>
        </w:trPr>
        <w:tc>
          <w:tcPr>
            <w:tcW w:w="3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SCENARIO</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PROBABILITY</w:t>
            </w:r>
          </w:p>
        </w:tc>
        <w:tc>
          <w:tcPr>
            <w:tcW w:w="40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RECOVERY APPROACH</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Cloud region outage (planned region of operation unavailable)</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Low / Moderate</w:t>
            </w:r>
          </w:p>
        </w:tc>
        <w:tc>
          <w:tcPr>
            <w:tcW w:w="40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Multi-region failover (§8.1)</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Cloud account compromise</w:t>
            </w:r>
          </w:p>
        </w:tc>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Low / High impact</w:t>
            </w:r>
          </w:p>
        </w:tc>
        <w:tc>
          <w:tcPr>
            <w:tcW w:w="40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Failover to clean account; rotate keys; PLAN-IRP-001</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Ransomware affecting Cloudax-controlled environments</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Low / High impact</w:t>
            </w:r>
          </w:p>
        </w:tc>
        <w:tc>
          <w:tcPr>
            <w:tcW w:w="40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Restore from immutable backups (§8.2); PLAN-IRP-001</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Catastrophic data corruption (logical, not regional)</w:t>
            </w:r>
          </w:p>
        </w:tc>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Low</w:t>
            </w:r>
          </w:p>
        </w:tc>
        <w:tc>
          <w:tcPr>
            <w:tcW w:w="40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Point-in-time restore from backup (§8.2)</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Loss of source code platform (provider failure or compromise)</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Very low</w:t>
            </w:r>
          </w:p>
        </w:tc>
        <w:tc>
          <w:tcPr>
            <w:tcW w:w="40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Restore repositories from third-party backup (§8.4)</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Loss of identity provider</w:t>
            </w:r>
          </w:p>
        </w:tc>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Very low</w:t>
            </w:r>
          </w:p>
        </w:tc>
        <w:tc>
          <w:tcPr>
            <w:tcW w:w="40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Activate break-glass identity recovery (§8.5)</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Sustained loss of productivity / communications SaaS</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Low</w:t>
            </w:r>
          </w:p>
        </w:tc>
        <w:tc>
          <w:tcPr>
            <w:tcW w:w="40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Switch to documented backup channels and tools</w:t>
            </w:r>
          </w:p>
        </w:tc>
      </w:tr>
    </w:tbl>
    <w:p>
      <w:pPr>
        <w:pStyle w:val="Heading1"/>
        <w:spacing w:before="360" w:after="180"/>
        <w:rPr/>
      </w:pPr>
      <w:r>
        <w:rPr>
          <w:rFonts w:eastAsia="Arial" w:cs="Arial" w:ascii="Arial" w:hAnsi="Arial"/>
          <w:b/>
          <w:bCs/>
          <w:color w:val="0000FF"/>
          <w:sz w:val="36"/>
          <w:szCs w:val="36"/>
        </w:rPr>
        <w:t>8. Recovery Strategies</w:t>
      </w:r>
    </w:p>
    <w:p>
      <w:pPr>
        <w:pStyle w:val="Normal"/>
        <w:pBdr>
          <w:bottom w:val="single" w:sz="12" w:space="1" w:color="0000FF"/>
        </w:pBdr>
        <w:spacing w:before="0" w:after="200"/>
        <w:rPr/>
      </w:pPr>
      <w:r>
        <w:rPr/>
      </w:r>
    </w:p>
    <w:p>
      <w:pPr>
        <w:pStyle w:val="Heading2"/>
        <w:spacing w:before="280" w:after="140"/>
        <w:rPr/>
      </w:pPr>
      <w:r>
        <w:rPr>
          <w:rFonts w:eastAsia="Arial" w:cs="Arial" w:ascii="Arial" w:hAnsi="Arial"/>
          <w:b/>
          <w:bCs/>
          <w:color w:val="0000FF"/>
          <w:sz w:val="28"/>
          <w:szCs w:val="28"/>
        </w:rPr>
        <w:t>8.1 Multi-Region Failover</w:t>
      </w:r>
    </w:p>
    <w:p>
      <w:pPr>
        <w:pStyle w:val="ListParagraph"/>
        <w:numPr>
          <w:ilvl w:val="0"/>
          <w:numId w:val="1"/>
        </w:numPr>
        <w:spacing w:lineRule="exact" w:line="280" w:before="40" w:after="40"/>
        <w:rPr/>
      </w:pPr>
      <w:r>
        <w:rPr>
          <w:rFonts w:eastAsia="Arial" w:cs="Arial"/>
          <w:color w:val="1A1A1A"/>
          <w:sz w:val="22"/>
          <w:szCs w:val="22"/>
        </w:rPr>
        <w:t>The Cloudax platform is deployed across at least two cloud regions, with active or warm-standby capacity in the secondary region.</w:t>
      </w:r>
    </w:p>
    <w:p>
      <w:pPr>
        <w:pStyle w:val="ListParagraph"/>
        <w:numPr>
          <w:ilvl w:val="0"/>
          <w:numId w:val="1"/>
        </w:numPr>
        <w:spacing w:lineRule="exact" w:line="280" w:before="40" w:after="40"/>
        <w:rPr/>
      </w:pPr>
      <w:r>
        <w:rPr>
          <w:rFonts w:eastAsia="Arial" w:cs="Arial"/>
          <w:color w:val="1A1A1A"/>
          <w:sz w:val="22"/>
          <w:szCs w:val="22"/>
        </w:rPr>
        <w:t>Customer data is replicated cross-region in line with customer data residency obligations.</w:t>
      </w:r>
    </w:p>
    <w:p>
      <w:pPr>
        <w:pStyle w:val="ListParagraph"/>
        <w:numPr>
          <w:ilvl w:val="0"/>
          <w:numId w:val="1"/>
        </w:numPr>
        <w:spacing w:lineRule="exact" w:line="280" w:before="40" w:after="40"/>
        <w:rPr/>
      </w:pPr>
      <w:r>
        <w:rPr>
          <w:rFonts w:eastAsia="Arial" w:cs="Arial"/>
          <w:color w:val="1A1A1A"/>
          <w:sz w:val="22"/>
          <w:szCs w:val="22"/>
        </w:rPr>
        <w:t>Failover decisions are taken by the Chief Technology Officer in consultation with the Incident Manager.</w:t>
      </w:r>
    </w:p>
    <w:p>
      <w:pPr>
        <w:pStyle w:val="ListParagraph"/>
        <w:numPr>
          <w:ilvl w:val="0"/>
          <w:numId w:val="1"/>
        </w:numPr>
        <w:spacing w:lineRule="exact" w:line="280" w:before="40" w:after="40"/>
        <w:rPr/>
      </w:pPr>
      <w:r>
        <w:rPr>
          <w:rFonts w:eastAsia="Arial" w:cs="Arial"/>
          <w:color w:val="1A1A1A"/>
          <w:sz w:val="22"/>
          <w:szCs w:val="22"/>
        </w:rPr>
        <w:t>Failover playbooks are maintained as runbooks (Section 10) and exercised annually.</w:t>
      </w:r>
    </w:p>
    <w:p>
      <w:pPr>
        <w:pStyle w:val="Heading2"/>
        <w:spacing w:before="280" w:after="140"/>
        <w:rPr/>
      </w:pPr>
      <w:r>
        <w:rPr>
          <w:rFonts w:eastAsia="Arial" w:cs="Arial" w:ascii="Arial" w:hAnsi="Arial"/>
          <w:b/>
          <w:bCs/>
          <w:color w:val="0000FF"/>
          <w:sz w:val="28"/>
          <w:szCs w:val="28"/>
        </w:rPr>
        <w:t>8.2 Backup-Based Recovery</w:t>
      </w:r>
    </w:p>
    <w:p>
      <w:pPr>
        <w:pStyle w:val="ListParagraph"/>
        <w:numPr>
          <w:ilvl w:val="0"/>
          <w:numId w:val="1"/>
        </w:numPr>
        <w:spacing w:lineRule="exact" w:line="280" w:before="40" w:after="40"/>
        <w:rPr/>
      </w:pPr>
      <w:r>
        <w:rPr>
          <w:rFonts w:eastAsia="Arial" w:cs="Arial"/>
          <w:color w:val="1A1A1A"/>
          <w:sz w:val="22"/>
          <w:szCs w:val="22"/>
        </w:rPr>
        <w:t>Where multi-region failover is insufficient (e.g. data corruption or ransomware), recovery is from backup per POL-018.</w:t>
      </w:r>
    </w:p>
    <w:p>
      <w:pPr>
        <w:pStyle w:val="ListParagraph"/>
        <w:numPr>
          <w:ilvl w:val="0"/>
          <w:numId w:val="1"/>
        </w:numPr>
        <w:spacing w:lineRule="exact" w:line="280" w:before="40" w:after="40"/>
        <w:rPr/>
      </w:pPr>
      <w:r>
        <w:rPr>
          <w:rFonts w:eastAsia="Arial" w:cs="Arial"/>
          <w:color w:val="1A1A1A"/>
          <w:sz w:val="22"/>
          <w:szCs w:val="22"/>
        </w:rPr>
        <w:t>Backups are immutable where supported and tested for restoration annually.</w:t>
      </w:r>
    </w:p>
    <w:p>
      <w:pPr>
        <w:pStyle w:val="ListParagraph"/>
        <w:numPr>
          <w:ilvl w:val="0"/>
          <w:numId w:val="1"/>
        </w:numPr>
        <w:spacing w:lineRule="exact" w:line="280" w:before="40" w:after="40"/>
        <w:rPr/>
      </w:pPr>
      <w:r>
        <w:rPr>
          <w:rFonts w:eastAsia="Arial" w:cs="Arial"/>
          <w:color w:val="1A1A1A"/>
          <w:sz w:val="22"/>
          <w:szCs w:val="22"/>
        </w:rPr>
        <w:t>Recovery to a clean environment is preferred when there is any possibility of compromise.</w:t>
      </w:r>
    </w:p>
    <w:p>
      <w:pPr>
        <w:pStyle w:val="Heading2"/>
        <w:spacing w:before="280" w:after="140"/>
        <w:rPr/>
      </w:pPr>
      <w:r>
        <w:rPr>
          <w:rFonts w:eastAsia="Arial" w:cs="Arial" w:ascii="Arial" w:hAnsi="Arial"/>
          <w:b/>
          <w:bCs/>
          <w:color w:val="0000FF"/>
          <w:sz w:val="28"/>
          <w:szCs w:val="28"/>
        </w:rPr>
        <w:t>8.3 SaaS Service Recovery</w:t>
      </w:r>
    </w:p>
    <w:p>
      <w:pPr>
        <w:pStyle w:val="ListParagraph"/>
        <w:numPr>
          <w:ilvl w:val="0"/>
          <w:numId w:val="1"/>
        </w:numPr>
        <w:spacing w:lineRule="exact" w:line="280" w:before="40" w:after="40"/>
        <w:rPr/>
      </w:pPr>
      <w:r>
        <w:rPr>
          <w:rFonts w:eastAsia="Arial" w:cs="Arial"/>
          <w:color w:val="1A1A1A"/>
          <w:sz w:val="22"/>
          <w:szCs w:val="22"/>
        </w:rPr>
        <w:t>Microsoft 365, identity provider, and other SaaS services rely on provider-native resilience supplemented by Cloudax third-party backup.</w:t>
      </w:r>
    </w:p>
    <w:p>
      <w:pPr>
        <w:pStyle w:val="ListParagraph"/>
        <w:numPr>
          <w:ilvl w:val="0"/>
          <w:numId w:val="1"/>
        </w:numPr>
        <w:spacing w:lineRule="exact" w:line="280" w:before="40" w:after="40"/>
        <w:rPr/>
      </w:pPr>
      <w:r>
        <w:rPr>
          <w:rFonts w:eastAsia="Arial" w:cs="Arial"/>
          <w:color w:val="1A1A1A"/>
          <w:sz w:val="22"/>
          <w:szCs w:val="22"/>
        </w:rPr>
        <w:t>Where a provider is unavailable for an extended period, Cloudax activates documented backup channels for communications and ticketing.</w:t>
      </w:r>
    </w:p>
    <w:p>
      <w:pPr>
        <w:pStyle w:val="Heading2"/>
        <w:spacing w:before="280" w:after="140"/>
        <w:rPr/>
      </w:pPr>
      <w:r>
        <w:rPr>
          <w:rFonts w:eastAsia="Arial" w:cs="Arial" w:ascii="Arial" w:hAnsi="Arial"/>
          <w:b/>
          <w:bCs/>
          <w:color w:val="0000FF"/>
          <w:sz w:val="28"/>
          <w:szCs w:val="28"/>
        </w:rPr>
        <w:t>8.4 Source Code and CI/CD Recovery</w:t>
      </w:r>
    </w:p>
    <w:p>
      <w:pPr>
        <w:pStyle w:val="ListParagraph"/>
        <w:numPr>
          <w:ilvl w:val="0"/>
          <w:numId w:val="1"/>
        </w:numPr>
        <w:spacing w:lineRule="exact" w:line="280" w:before="40" w:after="40"/>
        <w:rPr/>
      </w:pPr>
      <w:r>
        <w:rPr>
          <w:rFonts w:eastAsia="Arial" w:cs="Arial"/>
          <w:color w:val="1A1A1A"/>
          <w:sz w:val="22"/>
          <w:szCs w:val="22"/>
        </w:rPr>
        <w:t>Source code repositories are mirrored to a third-party backup at least daily.</w:t>
      </w:r>
    </w:p>
    <w:p>
      <w:pPr>
        <w:pStyle w:val="ListParagraph"/>
        <w:numPr>
          <w:ilvl w:val="0"/>
          <w:numId w:val="1"/>
        </w:numPr>
        <w:spacing w:lineRule="exact" w:line="280" w:before="40" w:after="40"/>
        <w:rPr/>
      </w:pPr>
      <w:r>
        <w:rPr>
          <w:rFonts w:eastAsia="Arial" w:cs="Arial"/>
          <w:color w:val="1A1A1A"/>
          <w:sz w:val="22"/>
          <w:szCs w:val="22"/>
        </w:rPr>
        <w:t>CI/CD pipeline configuration is held in version-controlled Infrastructure-as-Code, recoverable from the same backup.</w:t>
      </w:r>
    </w:p>
    <w:p>
      <w:pPr>
        <w:pStyle w:val="ListParagraph"/>
        <w:numPr>
          <w:ilvl w:val="0"/>
          <w:numId w:val="1"/>
        </w:numPr>
        <w:spacing w:lineRule="exact" w:line="280" w:before="40" w:after="40"/>
        <w:rPr/>
      </w:pPr>
      <w:r>
        <w:rPr>
          <w:rFonts w:eastAsia="Arial" w:cs="Arial"/>
          <w:color w:val="1A1A1A"/>
          <w:sz w:val="22"/>
          <w:szCs w:val="22"/>
        </w:rPr>
        <w:t>Build artefacts are stored in approved registries with retention sufficient for rollback.</w:t>
      </w:r>
    </w:p>
    <w:p>
      <w:pPr>
        <w:pStyle w:val="Heading2"/>
        <w:spacing w:before="280" w:after="140"/>
        <w:rPr/>
      </w:pPr>
      <w:r>
        <w:rPr>
          <w:rFonts w:eastAsia="Arial" w:cs="Arial" w:ascii="Arial" w:hAnsi="Arial"/>
          <w:b/>
          <w:bCs/>
          <w:color w:val="0000FF"/>
          <w:sz w:val="28"/>
          <w:szCs w:val="28"/>
        </w:rPr>
        <w:t>8.5 Identity Recovery</w:t>
      </w:r>
    </w:p>
    <w:p>
      <w:pPr>
        <w:pStyle w:val="ListParagraph"/>
        <w:numPr>
          <w:ilvl w:val="0"/>
          <w:numId w:val="1"/>
        </w:numPr>
        <w:spacing w:lineRule="exact" w:line="280" w:before="40" w:after="40"/>
        <w:rPr/>
      </w:pPr>
      <w:r>
        <w:rPr>
          <w:rFonts w:eastAsia="Arial" w:cs="Arial"/>
          <w:color w:val="1A1A1A"/>
          <w:sz w:val="22"/>
          <w:szCs w:val="22"/>
        </w:rPr>
        <w:t>Break-glass administrative accounts for the corporate identity provider are documented and protected per POL-002 §9.</w:t>
      </w:r>
    </w:p>
    <w:p>
      <w:pPr>
        <w:pStyle w:val="ListParagraph"/>
        <w:numPr>
          <w:ilvl w:val="0"/>
          <w:numId w:val="1"/>
        </w:numPr>
        <w:spacing w:lineRule="exact" w:line="280" w:before="40" w:after="40"/>
        <w:rPr/>
      </w:pPr>
      <w:r>
        <w:rPr>
          <w:rFonts w:eastAsia="Arial" w:cs="Arial"/>
          <w:color w:val="1A1A1A"/>
          <w:sz w:val="22"/>
          <w:szCs w:val="22"/>
        </w:rPr>
        <w:t>MFA recovery procedures are documented and tested.</w:t>
      </w:r>
    </w:p>
    <w:p>
      <w:pPr>
        <w:pStyle w:val="ListParagraph"/>
        <w:numPr>
          <w:ilvl w:val="0"/>
          <w:numId w:val="1"/>
        </w:numPr>
        <w:spacing w:lineRule="exact" w:line="280" w:before="40" w:after="40"/>
        <w:rPr/>
      </w:pPr>
      <w:r>
        <w:rPr>
          <w:rFonts w:eastAsia="Arial" w:cs="Arial"/>
          <w:color w:val="1A1A1A"/>
          <w:sz w:val="22"/>
          <w:szCs w:val="22"/>
        </w:rPr>
        <w:t>In a confirmed compromise, identity recovery is performed in coordination with PLAN-IRP-001.</w:t>
      </w:r>
    </w:p>
    <w:p>
      <w:pPr>
        <w:pStyle w:val="Heading1"/>
        <w:spacing w:before="360" w:after="180"/>
        <w:rPr/>
      </w:pPr>
      <w:r>
        <w:rPr>
          <w:rFonts w:eastAsia="Arial" w:cs="Arial" w:ascii="Arial" w:hAnsi="Arial"/>
          <w:b/>
          <w:bCs/>
          <w:color w:val="0000FF"/>
          <w:sz w:val="36"/>
          <w:szCs w:val="36"/>
        </w:rPr>
        <w:t>9. Activation</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Plan is activated by the Chief Technology Officer in consultation with the Incident Manager. Activation may be triggered by:</w:t>
      </w:r>
    </w:p>
    <w:p>
      <w:pPr>
        <w:pStyle w:val="ListParagraph"/>
        <w:numPr>
          <w:ilvl w:val="0"/>
          <w:numId w:val="1"/>
        </w:numPr>
        <w:spacing w:lineRule="exact" w:line="280" w:before="40" w:after="40"/>
        <w:rPr/>
      </w:pPr>
      <w:r>
        <w:rPr>
          <w:rFonts w:eastAsia="Arial" w:cs="Arial"/>
          <w:color w:val="1A1A1A"/>
          <w:sz w:val="22"/>
          <w:szCs w:val="22"/>
        </w:rPr>
        <w:t>A platform incident exceeding agreed availability tolerances.</w:t>
      </w:r>
    </w:p>
    <w:p>
      <w:pPr>
        <w:pStyle w:val="ListParagraph"/>
        <w:numPr>
          <w:ilvl w:val="0"/>
          <w:numId w:val="1"/>
        </w:numPr>
        <w:spacing w:lineRule="exact" w:line="280" w:before="40" w:after="40"/>
        <w:rPr/>
      </w:pPr>
      <w:r>
        <w:rPr>
          <w:rFonts w:eastAsia="Arial" w:cs="Arial"/>
          <w:color w:val="1A1A1A"/>
          <w:sz w:val="22"/>
          <w:szCs w:val="22"/>
        </w:rPr>
        <w:t>A confirmed disaster scenario per Section 7.</w:t>
      </w:r>
    </w:p>
    <w:p>
      <w:pPr>
        <w:pStyle w:val="ListParagraph"/>
        <w:numPr>
          <w:ilvl w:val="0"/>
          <w:numId w:val="1"/>
        </w:numPr>
        <w:spacing w:lineRule="exact" w:line="280" w:before="40" w:after="40"/>
        <w:rPr/>
      </w:pPr>
      <w:r>
        <w:rPr>
          <w:rFonts w:eastAsia="Arial" w:cs="Arial"/>
          <w:color w:val="1A1A1A"/>
          <w:sz w:val="22"/>
          <w:szCs w:val="22"/>
        </w:rPr>
        <w:t>Activation of PLAN-BCP-001 where ICT recovery is required.</w:t>
      </w:r>
    </w:p>
    <w:p>
      <w:pPr>
        <w:pStyle w:val="Normal"/>
        <w:spacing w:lineRule="exact" w:line="300" w:before="80" w:after="120"/>
        <w:rPr/>
      </w:pPr>
      <w:r>
        <w:rPr>
          <w:rFonts w:eastAsia="Arial" w:cs="Arial"/>
          <w:color w:val="1A1A1A"/>
          <w:sz w:val="22"/>
          <w:szCs w:val="22"/>
        </w:rPr>
        <w:t>Activation triggers opening of an incident bridge, time-stamped event logging, and selection of the recovery strategy.</w:t>
      </w:r>
    </w:p>
    <w:p>
      <w:pPr>
        <w:pStyle w:val="Heading1"/>
        <w:spacing w:before="360" w:after="180"/>
        <w:rPr/>
      </w:pPr>
      <w:r>
        <w:rPr>
          <w:rFonts w:eastAsia="Arial" w:cs="Arial" w:ascii="Arial" w:hAnsi="Arial"/>
          <w:b/>
          <w:bCs/>
          <w:color w:val="0000FF"/>
          <w:sz w:val="36"/>
          <w:szCs w:val="36"/>
        </w:rPr>
        <w:t>10. Recovery Runbooks (cross-reference)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Detailed step-by-step runbooks are maintained separately by the engineering team and version-controlled alongside Infrastructure-as-Code. Runbooks cover:</w:t>
      </w:r>
    </w:p>
    <w:p>
      <w:pPr>
        <w:pStyle w:val="ListParagraph"/>
        <w:numPr>
          <w:ilvl w:val="0"/>
          <w:numId w:val="1"/>
        </w:numPr>
        <w:spacing w:lineRule="exact" w:line="280" w:before="40" w:after="40"/>
        <w:rPr/>
      </w:pPr>
      <w:r>
        <w:rPr>
          <w:rFonts w:eastAsia="Arial" w:cs="Arial"/>
          <w:color w:val="1A1A1A"/>
          <w:sz w:val="22"/>
          <w:szCs w:val="22"/>
        </w:rPr>
        <w:t>Region failover for the Cloudax platform.</w:t>
      </w:r>
    </w:p>
    <w:p>
      <w:pPr>
        <w:pStyle w:val="ListParagraph"/>
        <w:numPr>
          <w:ilvl w:val="0"/>
          <w:numId w:val="1"/>
        </w:numPr>
        <w:spacing w:lineRule="exact" w:line="280" w:before="40" w:after="40"/>
        <w:rPr/>
      </w:pPr>
      <w:r>
        <w:rPr>
          <w:rFonts w:eastAsia="Arial" w:cs="Arial"/>
          <w:color w:val="1A1A1A"/>
          <w:sz w:val="22"/>
          <w:szCs w:val="22"/>
        </w:rPr>
        <w:t>Restore from backup for customer data, configuration, and source code.</w:t>
      </w:r>
    </w:p>
    <w:p>
      <w:pPr>
        <w:pStyle w:val="ListParagraph"/>
        <w:numPr>
          <w:ilvl w:val="0"/>
          <w:numId w:val="1"/>
        </w:numPr>
        <w:spacing w:lineRule="exact" w:line="280" w:before="40" w:after="40"/>
        <w:rPr/>
      </w:pPr>
      <w:r>
        <w:rPr>
          <w:rFonts w:eastAsia="Arial" w:cs="Arial"/>
          <w:color w:val="1A1A1A"/>
          <w:sz w:val="22"/>
          <w:szCs w:val="22"/>
        </w:rPr>
        <w:t>Identity provider break-glass and recovery.</w:t>
      </w:r>
    </w:p>
    <w:p>
      <w:pPr>
        <w:pStyle w:val="ListParagraph"/>
        <w:numPr>
          <w:ilvl w:val="0"/>
          <w:numId w:val="1"/>
        </w:numPr>
        <w:spacing w:lineRule="exact" w:line="280" w:before="40" w:after="40"/>
        <w:rPr/>
      </w:pPr>
      <w:r>
        <w:rPr>
          <w:rFonts w:eastAsia="Arial" w:cs="Arial"/>
          <w:color w:val="1A1A1A"/>
          <w:sz w:val="22"/>
          <w:szCs w:val="22"/>
        </w:rPr>
        <w:t>CI/CD pipeline rebuild.</w:t>
      </w:r>
    </w:p>
    <w:p>
      <w:pPr>
        <w:pStyle w:val="ListParagraph"/>
        <w:numPr>
          <w:ilvl w:val="0"/>
          <w:numId w:val="1"/>
        </w:numPr>
        <w:spacing w:lineRule="exact" w:line="280" w:before="40" w:after="40"/>
        <w:rPr/>
      </w:pPr>
      <w:r>
        <w:rPr>
          <w:rFonts w:eastAsia="Arial" w:cs="Arial"/>
          <w:color w:val="1A1A1A"/>
          <w:sz w:val="22"/>
          <w:szCs w:val="22"/>
        </w:rPr>
        <w:t>Network reconfiguration in degraded modes.</w:t>
      </w:r>
    </w:p>
    <w:p>
      <w:pPr>
        <w:pStyle w:val="Normal"/>
        <w:spacing w:lineRule="exact" w:line="300" w:before="80" w:after="120"/>
        <w:rPr/>
      </w:pPr>
      <w:r>
        <w:rPr>
          <w:rFonts w:eastAsia="Arial" w:cs="Arial"/>
          <w:color w:val="1A1A1A"/>
          <w:sz w:val="22"/>
          <w:szCs w:val="22"/>
        </w:rPr>
        <w:t>Runbooks are reviewed at least annually and updated whenever the underlying technology changes.</w:t>
      </w:r>
    </w:p>
    <w:p>
      <w:pPr>
        <w:pStyle w:val="Heading1"/>
        <w:spacing w:before="360" w:after="180"/>
        <w:rPr/>
      </w:pPr>
      <w:r>
        <w:rPr>
          <w:rFonts w:eastAsia="Arial" w:cs="Arial" w:ascii="Arial" w:hAnsi="Arial"/>
          <w:b/>
          <w:bCs/>
          <w:color w:val="0000FF"/>
          <w:sz w:val="36"/>
          <w:szCs w:val="36"/>
        </w:rPr>
        <w:t>11. Verification of Recovery</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Recovery is verified through automated health checks, smoke tests, and customer-impact monitoring.</w:t>
      </w:r>
    </w:p>
    <w:p>
      <w:pPr>
        <w:pStyle w:val="ListParagraph"/>
        <w:numPr>
          <w:ilvl w:val="0"/>
          <w:numId w:val="1"/>
        </w:numPr>
        <w:spacing w:lineRule="exact" w:line="280" w:before="40" w:after="40"/>
        <w:rPr/>
      </w:pPr>
      <w:r>
        <w:rPr>
          <w:rFonts w:eastAsia="Arial" w:cs="Arial"/>
          <w:color w:val="1A1A1A"/>
          <w:sz w:val="22"/>
          <w:szCs w:val="22"/>
        </w:rPr>
        <w:t>Customer data integrity is verified through sampling and reconciliation against last-known-good state.</w:t>
      </w:r>
    </w:p>
    <w:p>
      <w:pPr>
        <w:pStyle w:val="ListParagraph"/>
        <w:numPr>
          <w:ilvl w:val="0"/>
          <w:numId w:val="1"/>
        </w:numPr>
        <w:spacing w:lineRule="exact" w:line="280" w:before="40" w:after="40"/>
        <w:rPr/>
      </w:pPr>
      <w:r>
        <w:rPr>
          <w:rFonts w:eastAsia="Arial" w:cs="Arial"/>
          <w:color w:val="1A1A1A"/>
          <w:sz w:val="22"/>
          <w:szCs w:val="22"/>
        </w:rPr>
        <w:t>Recovery is signed off by the Chief Technology Officer before stand-down is declared.</w:t>
      </w:r>
    </w:p>
    <w:p>
      <w:pPr>
        <w:pStyle w:val="Heading1"/>
        <w:spacing w:before="360" w:after="180"/>
        <w:rPr/>
      </w:pPr>
      <w:r>
        <w:rPr>
          <w:rFonts w:eastAsia="Arial" w:cs="Arial" w:ascii="Arial" w:hAnsi="Arial"/>
          <w:b/>
          <w:bCs/>
          <w:color w:val="0000FF"/>
          <w:sz w:val="36"/>
          <w:szCs w:val="36"/>
        </w:rPr>
        <w:t>12. Customer Communication</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Customer communication during disaster recovery follows PLAN-BCP-001 §11, with technical detail limited to what customers need to act on (e.g. expected resumption time, data-loss exposure, any retry guidance).</w:t>
      </w:r>
    </w:p>
    <w:p>
      <w:pPr>
        <w:pStyle w:val="Heading1"/>
        <w:spacing w:before="360" w:after="180"/>
        <w:rPr/>
      </w:pPr>
      <w:r>
        <w:rPr>
          <w:rFonts w:eastAsia="Arial" w:cs="Arial" w:ascii="Arial" w:hAnsi="Arial"/>
          <w:b/>
          <w:bCs/>
          <w:color w:val="0000FF"/>
          <w:sz w:val="36"/>
          <w:szCs w:val="36"/>
        </w:rPr>
        <w:t>13. Failback to Normal Operations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Failback to the primary region or environment is undertaken once it has been re-established and verified.</w:t>
      </w:r>
    </w:p>
    <w:p>
      <w:pPr>
        <w:pStyle w:val="ListParagraph"/>
        <w:numPr>
          <w:ilvl w:val="0"/>
          <w:numId w:val="1"/>
        </w:numPr>
        <w:spacing w:lineRule="exact" w:line="280" w:before="40" w:after="40"/>
        <w:rPr/>
      </w:pPr>
      <w:r>
        <w:rPr>
          <w:rFonts w:eastAsia="Arial" w:cs="Arial"/>
          <w:color w:val="1A1A1A"/>
          <w:sz w:val="22"/>
          <w:szCs w:val="22"/>
        </w:rPr>
        <w:t>Failback is planned to minimise customer disruption; where possible, it is performed during a maintenance window.</w:t>
      </w:r>
    </w:p>
    <w:p>
      <w:pPr>
        <w:pStyle w:val="ListParagraph"/>
        <w:numPr>
          <w:ilvl w:val="0"/>
          <w:numId w:val="1"/>
        </w:numPr>
        <w:spacing w:lineRule="exact" w:line="280" w:before="40" w:after="40"/>
        <w:rPr/>
      </w:pPr>
      <w:r>
        <w:rPr>
          <w:rFonts w:eastAsia="Arial" w:cs="Arial"/>
          <w:color w:val="1A1A1A"/>
          <w:sz w:val="22"/>
          <w:szCs w:val="22"/>
        </w:rPr>
        <w:t>Failback is signed off by the Chief Technology Officer.</w:t>
      </w:r>
    </w:p>
    <w:p>
      <w:pPr>
        <w:pStyle w:val="Heading1"/>
        <w:spacing w:before="360" w:after="180"/>
        <w:rPr/>
      </w:pPr>
      <w:r>
        <w:rPr>
          <w:rFonts w:eastAsia="Arial" w:cs="Arial" w:ascii="Arial" w:hAnsi="Arial"/>
          <w:b/>
          <w:bCs/>
          <w:color w:val="0000FF"/>
          <w:sz w:val="36"/>
          <w:szCs w:val="36"/>
        </w:rPr>
        <w:t>14. Post-Recovery Review</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Every recovery is followed by a blameless post-incident review covering technical recovery, customer impact, and lessons learned.</w:t>
      </w:r>
    </w:p>
    <w:p>
      <w:pPr>
        <w:pStyle w:val="ListParagraph"/>
        <w:numPr>
          <w:ilvl w:val="0"/>
          <w:numId w:val="1"/>
        </w:numPr>
        <w:spacing w:lineRule="exact" w:line="280" w:before="40" w:after="40"/>
        <w:rPr/>
      </w:pPr>
      <w:r>
        <w:rPr>
          <w:rFonts w:eastAsia="Arial" w:cs="Arial"/>
          <w:color w:val="1A1A1A"/>
          <w:sz w:val="22"/>
          <w:szCs w:val="22"/>
        </w:rPr>
        <w:t>Findings feed continual improvement and management review.</w:t>
      </w:r>
    </w:p>
    <w:p>
      <w:pPr>
        <w:pStyle w:val="Heading1"/>
        <w:spacing w:before="360" w:after="180"/>
        <w:rPr/>
      </w:pPr>
      <w:r>
        <w:rPr>
          <w:rFonts w:eastAsia="Arial" w:cs="Arial" w:ascii="Arial" w:hAnsi="Arial"/>
          <w:b/>
          <w:bCs/>
          <w:color w:val="0000FF"/>
          <w:sz w:val="36"/>
          <w:szCs w:val="36"/>
        </w:rPr>
        <w:t>15. Testing</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This Plan is tested at least annually through a combination of tabletop exercise and at least one technical recovery test.</w:t>
      </w:r>
    </w:p>
    <w:p>
      <w:pPr>
        <w:pStyle w:val="ListParagraph"/>
        <w:numPr>
          <w:ilvl w:val="0"/>
          <w:numId w:val="1"/>
        </w:numPr>
        <w:spacing w:lineRule="exact" w:line="280" w:before="40" w:after="40"/>
        <w:rPr/>
      </w:pPr>
      <w:r>
        <w:rPr>
          <w:rFonts w:eastAsia="Arial" w:cs="Arial"/>
          <w:color w:val="1A1A1A"/>
          <w:sz w:val="22"/>
          <w:szCs w:val="22"/>
        </w:rPr>
        <w:t>Backup restoration is tested at least annually per POL-018.</w:t>
      </w:r>
    </w:p>
    <w:p>
      <w:pPr>
        <w:pStyle w:val="ListParagraph"/>
        <w:numPr>
          <w:ilvl w:val="0"/>
          <w:numId w:val="1"/>
        </w:numPr>
        <w:spacing w:lineRule="exact" w:line="280" w:before="40" w:after="40"/>
        <w:rPr/>
      </w:pPr>
      <w:r>
        <w:rPr>
          <w:rFonts w:eastAsia="Arial" w:cs="Arial"/>
          <w:color w:val="1A1A1A"/>
          <w:sz w:val="22"/>
          <w:szCs w:val="22"/>
        </w:rPr>
        <w:t>Test outcomes are recorded and reviewed at management review.</w:t>
      </w:r>
    </w:p>
    <w:p>
      <w:pPr>
        <w:pStyle w:val="Heading1"/>
        <w:spacing w:before="360" w:after="180"/>
        <w:rPr/>
      </w:pPr>
      <w:r>
        <w:rPr>
          <w:rFonts w:eastAsia="Arial" w:cs="Arial" w:ascii="Arial" w:hAnsi="Arial"/>
          <w:b/>
          <w:bCs/>
          <w:color w:val="0000FF"/>
          <w:sz w:val="36"/>
          <w:szCs w:val="36"/>
        </w:rPr>
        <w:t>16. Maintenance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Plan is reviewed at least annually and on material change to the architecture, recovery objectives, or supplier base. Material changes are approved by the Chief Executive Officer and recorded in Annex B.</w:t>
      </w:r>
    </w:p>
    <w:p>
      <w:pPr>
        <w:pStyle w:val="Heading1"/>
        <w:spacing w:before="360" w:after="180"/>
        <w:rPr/>
      </w:pPr>
      <w:r>
        <w:rPr>
          <w:rFonts w:eastAsia="Arial" w:cs="Arial" w:ascii="Arial" w:hAnsi="Arial"/>
          <w:b/>
          <w:bCs/>
          <w:color w:val="0000FF"/>
          <w:sz w:val="36"/>
          <w:szCs w:val="36"/>
        </w:rPr>
        <w:t>17. Acknowledgement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All personnel involved in technical recovery are required to acknowledge this Plan on commencement, on material change, and on request.</w:t>
      </w:r>
    </w:p>
    <w:p>
      <w:pPr>
        <w:pStyle w:val="Normal"/>
        <w:spacing w:before="60" w:after="60"/>
        <w:rPr/>
      </w:pPr>
      <w:r>
        <w:rPr/>
      </w:r>
    </w:p>
    <w:tbl>
      <w:tblPr>
        <w:tblW w:w="9026" w:type="dxa"/>
        <w:jc w:val="start"/>
        <w:tblInd w:w="0" w:type="dxa"/>
        <w:tblLayout w:type="fixed"/>
        <w:tblCellMar>
          <w:top w:w="600" w:type="dxa"/>
          <w:start w:w="0" w:type="dxa"/>
          <w:bottom w:w="40" w:type="dxa"/>
          <w:end w:w="0" w:type="dxa"/>
        </w:tblCellMar>
      </w:tblPr>
      <w:tblGrid>
        <w:gridCol w:w="4513"/>
        <w:gridCol w:w="4512"/>
      </w:tblGrid>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NAME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SIGNATURE</w:t>
            </w:r>
          </w:p>
        </w:tc>
      </w:tr>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ROLE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DATE</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A — Annex A Controls Addressed</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document gives effect to the following ISO/IEC 27001:2022 Annex A controls, as recorded in the Cloudax Statement of Applicability (ISMS-SOA-001 v4.0).</w:t>
      </w:r>
    </w:p>
    <w:tbl>
      <w:tblPr>
        <w:tblW w:w="9026" w:type="dxa"/>
        <w:jc w:val="start"/>
        <w:tblInd w:w="0" w:type="dxa"/>
        <w:tblLayout w:type="fixed"/>
        <w:tblCellMar>
          <w:top w:w="100" w:type="dxa"/>
          <w:start w:w="140" w:type="dxa"/>
          <w:bottom w:w="100" w:type="dxa"/>
          <w:end w:w="140" w:type="dxa"/>
        </w:tblCellMar>
      </w:tblPr>
      <w:tblGrid>
        <w:gridCol w:w="1699"/>
        <w:gridCol w:w="7326"/>
      </w:tblGrid>
      <w:tr>
        <w:trPr>
          <w:tblHeader w:val="true"/>
        </w:trPr>
        <w:tc>
          <w:tcPr>
            <w:tcW w:w="16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ANNEX A REF</w:t>
            </w:r>
          </w:p>
        </w:tc>
        <w:tc>
          <w:tcPr>
            <w:tcW w:w="73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CONTROL TITLE</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A.5.30</w:t>
            </w:r>
          </w:p>
        </w:tc>
        <w:tc>
          <w:tcPr>
            <w:tcW w:w="7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ICT readiness for business continuity</w:t>
            </w:r>
          </w:p>
        </w:tc>
      </w:tr>
      <w:tr>
        <w:trPr/>
        <w:tc>
          <w:tcPr>
            <w:tcW w:w="1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A.8.14</w:t>
            </w:r>
          </w:p>
        </w:tc>
        <w:tc>
          <w:tcPr>
            <w:tcW w:w="73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Redundancy of information processing facilities</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A.8.13</w:t>
            </w:r>
          </w:p>
        </w:tc>
        <w:tc>
          <w:tcPr>
            <w:tcW w:w="7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Information backup</w:t>
            </w:r>
          </w:p>
        </w:tc>
      </w:tr>
      <w:tr>
        <w:trPr/>
        <w:tc>
          <w:tcPr>
            <w:tcW w:w="1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A.5.29</w:t>
            </w:r>
          </w:p>
        </w:tc>
        <w:tc>
          <w:tcPr>
            <w:tcW w:w="73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Information security during disruption</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B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Information Security Manager</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 Aligned to ISO/IEC 27001:2022 and Cloudax Statement of Applicability v4.0.</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PLAN-DRP-001 Disaster Recovery Plan  •  Internal  </w:t>
      <w:tab/>
      <w:t>v1.0  •  April 2026</w:t>
      <w:tab/>
      <w:t xml:space="preserve">Page </w:t>
    </w:r>
    <w:r>
      <w:rPr/>
      <w:fldChar w:fldCharType="begin"/>
    </w:r>
    <w:r>
      <w:rPr/>
      <w:instrText xml:space="preserve"> PAGE </w:instrText>
    </w:r>
    <w:r>
      <w:rPr/>
      <w:fldChar w:fldCharType="separate"/>
    </w:r>
    <w:r>
      <w:rPr/>
      <w:t>10</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PLAN-DRP-001 Disaster Recovery Plan  •  Internal  </w:t>
      <w:tab/>
      <w:t>v1.0  •  April 2026</w:t>
      <w:tab/>
      <w:t xml:space="preserve">Page </w:t>
    </w:r>
    <w:r>
      <w:rPr/>
      <w:fldChar w:fldCharType="begin"/>
    </w:r>
    <w:r>
      <w:rPr/>
      <w:instrText xml:space="preserve"> PAGE </w:instrText>
    </w:r>
    <w:r>
      <w:rPr/>
      <w:fldChar w:fldCharType="separate"/>
    </w:r>
    <w:r>
      <w:rPr/>
      <w:t>10</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10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bullet"/>
      <w:lvlText w:val="◦"/>
      <w:lvlJc w:val="start"/>
      <w:pPr>
        <w:tabs>
          <w:tab w:val="num" w:pos="0"/>
        </w:tabs>
        <w:ind w:start="1080" w:hanging="260"/>
      </w:pPr>
      <w:rPr>
        <w:rFonts w:ascii="Arial" w:hAnsi="Arial" w:cs="Arial" w:hint="default"/>
        <w:color w:val="0000FF"/>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spacing w:before="200" w:after="100"/>
      <w:outlineLvl w:val="2"/>
    </w:pPr>
    <w:rPr>
      <w:rFonts w:ascii="Arial" w:hAnsi="Arial" w:eastAsia="Arial" w:cs="Arial"/>
      <w:b/>
      <w:bCs/>
      <w:color w:val="1A1A1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2026-04-06T12:08:55Z</dcterms:created>
  <dc:creator>David Stokes</dc:creator>
  <dc:description/>
  <dc:language>en-US</dc:language>
  <cp:lastModifiedBy>David Stokes</cp:lastModifiedBy>
  <dcterms:modified xsi:type="dcterms:W3CDTF">2026-04-06T13:47:55Z</dcterms:modified>
  <cp:revision>1</cp:revision>
  <dc:subject/>
  <dc:title>Cloudax Disaster Recovery Plan</dc:title>
</cp:coreProperties>
</file>

<file path=docProps/custom.xml><?xml version="1.0" encoding="utf-8"?>
<Properties xmlns="http://schemas.openxmlformats.org/officeDocument/2006/custom-properties" xmlns:vt="http://schemas.openxmlformats.org/officeDocument/2006/docPropsVTypes"/>
</file>