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Access Control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POL-002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Access Control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Identity Management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Authentication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Authorisation and Access Rights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Privileged Access and Privileged Utility Programs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Application and System Access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Source Code Access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Customer Data Access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Third-Party and Supplier Access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Working in Secure Areas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Access Reviews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Joiner, Mover, and Leaver Process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Logging and Monitoring of Access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18. Segregation of Duties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19. Policy Breaches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20.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21.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Access Control Policy defines how Cloudax Ltd. (“Cloudax”) controls access to information, systems, networks, applications, source code, and information processing facilities. It supports the Information Security Policy (POL-001) and gives effect to the Annex A controls listed in Annex A of this Policy and recorded in the Statement of Applicability (ISMS-SOA-001 v4.0).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controls: A.5.3, A.5.15, A.5.16, A.5.17, A.7.6, A.8.2, A.8.3, A.8.5, A.8.18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access to Cloudax information assets, including endpoints, identity providers, cloud tenancies, production and non-production environments, SaaS applications, source code repositories, customer data, and Cloudax facilities.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It applies to all personnel, contractors, suppliers, and third parties who require access to Cloudax information assets.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Identity: </w:t>
      </w:r>
      <w:r>
        <w:rPr>
          <w:rFonts w:eastAsia="Arial" w:cs="Arial"/>
          <w:color w:val="1A1A1A"/>
          <w:sz w:val="22"/>
          <w:szCs w:val="22"/>
        </w:rPr>
        <w:t>a unique digital representation of a person, system, or service.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Authentication: </w:t>
      </w:r>
      <w:r>
        <w:rPr>
          <w:rFonts w:eastAsia="Arial" w:cs="Arial"/>
          <w:color w:val="1A1A1A"/>
          <w:sz w:val="22"/>
          <w:szCs w:val="22"/>
        </w:rPr>
        <w:t>the process of verifying that a claimed identity is genuine.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Authorisation: </w:t>
      </w:r>
      <w:r>
        <w:rPr>
          <w:rFonts w:eastAsia="Arial" w:cs="Arial"/>
          <w:color w:val="1A1A1A"/>
          <w:sz w:val="22"/>
          <w:szCs w:val="22"/>
        </w:rPr>
        <w:t>the process of granting an authenticated identity permission to perform actions or access resources.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Privileged access: </w:t>
      </w:r>
      <w:r>
        <w:rPr>
          <w:rFonts w:eastAsia="Arial" w:cs="Arial"/>
          <w:color w:val="1A1A1A"/>
          <w:sz w:val="22"/>
          <w:szCs w:val="22"/>
        </w:rPr>
        <w:t>access rights that allow an identity to perform actions that materially affect the confidentiality, integrity, or availability of information or systems.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Privileged utility program: </w:t>
      </w:r>
      <w:r>
        <w:rPr>
          <w:rFonts w:eastAsia="Arial" w:cs="Arial"/>
          <w:color w:val="1A1A1A"/>
          <w:sz w:val="22"/>
          <w:szCs w:val="22"/>
        </w:rPr>
        <w:t>a program able to override system or application controls (e.g. system administration tools, debuggers, command-line system utilities, network sniffers).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Least privilege — </w:t>
      </w:r>
      <w:r>
        <w:rPr>
          <w:rFonts w:eastAsia="Arial" w:cs="Arial"/>
          <w:color w:val="1A1A1A"/>
          <w:sz w:val="22"/>
          <w:szCs w:val="22"/>
        </w:rPr>
        <w:t>identities receive the minimum access required to perform their role.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Need to know — </w:t>
      </w:r>
      <w:r>
        <w:rPr>
          <w:rFonts w:eastAsia="Arial" w:cs="Arial"/>
          <w:color w:val="1A1A1A"/>
          <w:sz w:val="22"/>
          <w:szCs w:val="22"/>
        </w:rPr>
        <w:t>access is granted only where there is a legitimate business need.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Segregation of duties — </w:t>
      </w:r>
      <w:r>
        <w:rPr>
          <w:rFonts w:eastAsia="Arial" w:cs="Arial"/>
          <w:color w:val="1A1A1A"/>
          <w:sz w:val="22"/>
          <w:szCs w:val="22"/>
        </w:rPr>
        <w:t>conflicting duties are segregated where risk requires it.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Default deny — </w:t>
      </w:r>
      <w:r>
        <w:rPr>
          <w:rFonts w:eastAsia="Arial" w:cs="Arial"/>
          <w:color w:val="1A1A1A"/>
          <w:sz w:val="22"/>
          <w:szCs w:val="22"/>
        </w:rPr>
        <w:t>access is denied unless explicitly granted.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Personal accountability — </w:t>
      </w:r>
      <w:r>
        <w:rPr>
          <w:rFonts w:eastAsia="Arial" w:cs="Arial"/>
          <w:color w:val="1A1A1A"/>
          <w:sz w:val="22"/>
          <w:szCs w:val="22"/>
        </w:rPr>
        <w:t>every action is attributable to an individual identity; shared accounts are prohibited.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controls: A.5.3, A.5.15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Information Security Manager: </w:t>
      </w:r>
      <w:r>
        <w:rPr>
          <w:rFonts w:eastAsia="Arial" w:cs="Arial"/>
          <w:color w:val="1A1A1A"/>
          <w:sz w:val="22"/>
          <w:szCs w:val="22"/>
        </w:rPr>
        <w:t>owns this Policy and the access management framework.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Chief Technology Officer: </w:t>
      </w:r>
      <w:r>
        <w:rPr>
          <w:rFonts w:eastAsia="Arial" w:cs="Arial"/>
          <w:color w:val="1A1A1A"/>
          <w:sz w:val="22"/>
          <w:szCs w:val="22"/>
        </w:rPr>
        <w:t>owns the technical implementation of access controls in production and supporting systems.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System and application owners: </w:t>
      </w:r>
      <w:r>
        <w:rPr>
          <w:rFonts w:eastAsia="Arial" w:cs="Arial"/>
          <w:color w:val="1A1A1A"/>
          <w:sz w:val="22"/>
          <w:szCs w:val="22"/>
        </w:rPr>
        <w:t>define the access model for systems they own; approve access; perform reviews.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Line managers: </w:t>
      </w:r>
      <w:r>
        <w:rPr>
          <w:rFonts w:eastAsia="Arial" w:cs="Arial"/>
          <w:color w:val="1A1A1A"/>
          <w:sz w:val="22"/>
          <w:szCs w:val="22"/>
        </w:rPr>
        <w:t>approve access for direct reports; ensure access is removed promptly on role change or termination.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Identity Management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user is issued a unique, named identity in the corporate identity provider.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Shared and generic accounts are prohibited. Where unavoidable (e.g. legacy system), an exception is documented, time-bound, and compensated.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Service accounts are uniquely named, owned by a named human, documented, and rotated according to their threat model.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Identities are linked to authoritative sources (e.g. HR systems for employees) and provisioned through automated workflows where possible.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controls: A.5.16 Identity management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Authentication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Passwords or passphrases must be at least 14 characters and unique to each system. The approved password manager must be used.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Multi-factor authentication (MFA) is mandatory for the corporate identity provider, Microsoft 365, VPN, privileged consoles, source code repositories, and production environments.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Phishing-resistant MFA factors (e.g. WebAuthn / FIDO2) are required for privileged accounts.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Single sign-on (SSO) is the default for SaaS applications.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Service-to-service authentication uses short-lived credentials, certificates, or workload identities.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controls: A.5.17 Authentication information; A.8.5 Secure authentication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Authorisation and Access Rights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Access rights are granted based on documented role definitions and least privilege.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New access requests are submitted through the access management workflow (PRO-005), approved by line manager and system owner.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Access rights are time-bound where appropriate, particularly for contractors and privileged access.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Self-granted or self-approved access is prohibited.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controls: A.8.3 Information access restriction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Privileged Access and Privileged Utility Programs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Privileged accounts are separate from standard accounts. Privileged actions are not performed from standard user accounts.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Privileged access requires phishing-resistant MFA and is logged in detail.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Just-in-time elevation is preferred over standing privileged access.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Privileged utility programs (system administration tools, debuggers, network analysers) are restricted to authorised personnel and their use is logged.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Break-glass accounts are documented, secured, and used only with explicit authorisation.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controls: A.8.2 Privileged access rights; A.8.18 Use of privileged utility programs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Application and System Access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Applications enforce role-based or attribute-based access control.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Inactive sessions are terminated automatically after a defined period.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Concurrent sessions are restricted where required by risk profile.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Source addresses, device posture, and contextual signals may be used as part of access decisions.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controls: A.5.15, A.8.3, A.8.5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Source Code Access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Source code repositories require SSO and MFA.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Branch protection rules require code review by a separate person before merge to protected branches.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Direct push to protected branches is prohibited.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Repository access is reviewed at least quarterly.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Customer Data Access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Access to customer data — including voice recordings, transcripts, and derived data — is treated as Restricted under POL-004 Information Classification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Access is granted only on a least-privilege, need-to-know basis with documented business reason.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data access is logged in detail; logs are protected against tampering and reviewed.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Customer-specific support access (impersonation, break-glass) requires explicit authorisation, is time-bound, and is recorded.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Third-Party and Supplier Access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Access for third parties is granted only after supplier approval under POL-006 Supplier Security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Third-party access is granted to named individuals (never shared accounts) and is time-bound.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Working in Secure Areas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Where Cloudax personnel work in secure areas — including the Cloudax-controlled zones within the shared workspace and any customer-controlled secure areas — the following requirements apply: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Access to secure areas is restricted to personnel whose role requires it.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Photography, video, and audio recording in secure areas requires authorisation.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Visitors to secure areas are signed in, escorted, and not left unattended.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Lone working in secure areas is avoided where reasonably practicable; where it occurs, defined check-in procedures apply.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controls: A.7.6 Working in secure areas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Access Reviews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Access rights are reviewed: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At least annually for all systems within the ISMS scope.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At least quarterly for production environments, source code repositories, and customer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Whenever a person changes role or leaves Cloudax.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 response to incidents or material control changes.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Joiner, Mover, and Leaver Process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Joiner, Mover, Leaver (JML) is operated under PRO-005.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Joiner: identities provisioned only after the joiner workflow is complete (including signed acknowledgement of relevant policies).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Mover: access reassessed when a person changes role; access no longer required is removed promptly.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Leaver: access revoked on termination, in coordination with HR, no later than end of the working day on which employment or engagement ends.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Logging and Monitoring of Access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Authentication, authorisation, and privileged access events are logged for all in-scope systems (POL-019 Logging Policy).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Alerts are configured for indicators of credential compromise, anomalous access, and policy violations (POL-020 Monitoring Policy).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Suspected credential compromise triggers immediate password reset, MFA reset, and incident review.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18. Segregation of Duties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Conflicting duties are segregated where risk requires it. In a small organisation, full separation may not always be feasible; in such cases compensating controls (peer review, deployment approvals, four-eyes checks) are documented and applied. Examples of segregations operated at Cloudax include: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Code review by a separate person before merge to protected branches.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Deployment approval by a separate person from the change author for production deployments.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Independent access reviews carried out by a person other than the access grantor.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controls: A.5.3 Segregation of duties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19. Policy Breaches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Breaches are managed in accordance with POL-011 Disciplinary Policy and may result in disciplinary action, termination of contract, or legal action where appropriate.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20.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change. Material changes are approved by the Chief Executive Officer and recorded in Annex B.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21.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gives effect to the following ISO/IEC 27001:2022 Annex A controls, as recorded in the Cloudax Statement of Applicability (ISMS-SOA-001 v4.0). The authoritative list of applicable controls and their justification for applicability is the SoA itself.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A.5.3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Segregation of duties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A.5.15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Access control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A.5.16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Identity management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A.5.17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Authentication information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A.7.6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Working in secure areas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A.8.2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Privileged access rights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access restriction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A.8.5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Secure authentication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A.8.18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Use of privileged utility programs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 Document numbering aligned to ISMS-MAP-001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POL-002 Access Control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POL-002 Access Control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2026-04-06T15:01:14Z</dcterms:created>
  <dc:creator>David Stokes</dc:creator>
  <dc:description/>
  <dc:language>en-US</dc:language>
  <cp:lastModifiedBy>David Stokes</cp:lastModifiedBy>
  <dcterms:modified xsi:type="dcterms:W3CDTF">2026-04-06T15:16:14Z</dcterms:modified>
  <cp:revision>1</cp:revision>
  <dc:subject/>
  <dc:title>Cloudax Access Control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