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Change Management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POL-025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Change Management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Categories of Change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Change Approval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Change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Standard / Pre-Approved Changes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Normal Changes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Emergency Changes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Production Changes via CI/CD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Change to Security-Significant Configurations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Change Communication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Post-Implementation Review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Cloudax Ltd. manages changes to its information systems, services, and supporting infrastructure to preserve security, stability, and compliance.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A.8.32 Change management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changes to information systems, services, configurations, and supporting infrastructure within the Cloudax ISMS scope, including changes implemented via code, configuration, manual action, or third-party intervention.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Change: </w:t>
      </w:r>
      <w:r>
        <w:rPr>
          <w:rFonts w:eastAsia="Arial" w:cs="Arial"/>
          <w:color w:val="1A1A1A"/>
          <w:sz w:val="22"/>
          <w:szCs w:val="22"/>
        </w:rPr>
        <w:t>the addition, modification, or removal of an asset, configuration, or service.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Standard change: </w:t>
      </w:r>
      <w:r>
        <w:rPr>
          <w:rFonts w:eastAsia="Arial" w:cs="Arial"/>
          <w:color w:val="1A1A1A"/>
          <w:sz w:val="22"/>
          <w:szCs w:val="22"/>
        </w:rPr>
        <w:t>a pre-approved, low-risk change with a defined and tested procedure.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Normal change: </w:t>
      </w:r>
      <w:r>
        <w:rPr>
          <w:rFonts w:eastAsia="Arial" w:cs="Arial"/>
          <w:color w:val="1A1A1A"/>
          <w:sz w:val="22"/>
          <w:szCs w:val="22"/>
        </w:rPr>
        <w:t>a non-standard change subject to assessment, approval, and scheduling.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Emergency change: </w:t>
      </w:r>
      <w:r>
        <w:rPr>
          <w:rFonts w:eastAsia="Arial" w:cs="Arial"/>
          <w:color w:val="1A1A1A"/>
          <w:sz w:val="22"/>
          <w:szCs w:val="22"/>
        </w:rPr>
        <w:t>a change requiring expedited handling to address an incident or imminent risk.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Every change has an owner.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Every change is recorded.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Every change is reviewed by an appropriate second person before deployment.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Risk-significant changes are assessed and approved at an appropriate level.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Changes are reversible, or have documented mitigations for the risk of failure.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this Policy and the change framework.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approves security-significant changes.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 owners: drive changes through approval, implementation, and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Reviewers / approvers: provide independent review and approval.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Categories of Change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Standard / pre-approved: low-risk, repeatable, with a documented procedure.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Normal: requires assessment, approval, and scheduling.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Emergency: required to respond to an incident or imminent risk; subject to retrospective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Change Approval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Code changes are approved through pull-request review by a separate person and required CI/CD checks.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Infrastructure-as-Code changes are approved in the same way.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architecture changes are approved by the Chief Technology Officer.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Security-significant changes (e.g. authentication, encryption, network boundaries, customer data handling) are reviewed by the Information Security Manager.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Change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 records include the description, rationale, risk assessment, rollback plan, approver, implementer, and outcome.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Standard / Pre-Approved Changes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Standard changes follow a published procedure that has been risk-assessed and approved in advance.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Standard change procedures are reviewed at least annually.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Normal Changes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Normal changes are submitted with description, rationale, impact, and rollback.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Approval is granted by an appropriately authorised role.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deployments occur in defined windows or via continuous deployment with appropriate guardrails.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Emergency Changes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Emergency changes are authorised by the on-call lead in line with PLAN-IRP-001.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Emergency changes are recorded retrospectively and reviewed at the post-incident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Production Changes via CI/CD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changes are deployed through CI/CD pipelines with controlled access (POL-024).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Pipeline guardrails enforce required checks (review, tests, security scans).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Manual production changes outside the pipeline are exceptional, authorised, and documented.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Change to Security-Significant Configurations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Changes to identity providers, MFA configuration, network boundaries, encryption settings, or DLP rules require Information Security Manager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Changes to logging or monitoring that would reduce coverage require Information Security Manager approval.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Change Communication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changes affecting customers are communicated in line with customer contracts and operational procedures.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Internal changes affecting working practices are communicated through the appropriate channels.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Post-Implementation Review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Outcomes of significant changes are reviewed; failures are treated as events under PRO-027.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Lessons learned feed continual improvement.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involved in implementing changes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A.8.32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Change management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POL-025 Change Management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POL-025 Change Management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2026-04-20T10:37:45Z</dcterms:created>
  <dc:creator>David Stokes</dc:creator>
  <dc:description/>
  <dc:language>en-US</dc:language>
  <cp:lastModifiedBy>David Stokes</cp:lastModifiedBy>
  <dcterms:modified xsi:type="dcterms:W3CDTF">2026-04-20T13:54:45Z</dcterms:modified>
  <cp:revision>1</cp:revision>
  <dc:subject/>
  <dc:title>Cloudax Change Management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