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2"/>
                <w:szCs w:val="52"/>
              </w:rPr>
              <w:t>Information Transfer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POL-005</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Information Transfer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Permitted Transfer Channels</w:t>
      </w:r>
    </w:p>
    <w:p>
      <w:pPr>
        <w:pStyle w:val="Normal"/>
        <w:spacing w:before="40" w:after="40"/>
        <w:rPr/>
      </w:pPr>
      <w:r>
        <w:rPr>
          <w:rFonts w:eastAsia="Arial" w:cs="Arial"/>
          <w:color w:val="1A1A1A"/>
          <w:sz w:val="22"/>
          <w:szCs w:val="22"/>
        </w:rPr>
        <w:t>7. Prohibited Transfers</w:t>
      </w:r>
    </w:p>
    <w:p>
      <w:pPr>
        <w:pStyle w:val="Normal"/>
        <w:spacing w:before="40" w:after="40"/>
        <w:rPr/>
      </w:pPr>
      <w:r>
        <w:rPr>
          <w:rFonts w:eastAsia="Arial" w:cs="Arial"/>
          <w:color w:val="1A1A1A"/>
          <w:sz w:val="22"/>
          <w:szCs w:val="22"/>
        </w:rPr>
        <w:t>8. Transfer of Restricted Information</w:t>
      </w:r>
    </w:p>
    <w:p>
      <w:pPr>
        <w:pStyle w:val="Normal"/>
        <w:spacing w:before="40" w:after="40"/>
        <w:rPr/>
      </w:pPr>
      <w:r>
        <w:rPr>
          <w:rFonts w:eastAsia="Arial" w:cs="Arial"/>
          <w:color w:val="1A1A1A"/>
          <w:sz w:val="22"/>
          <w:szCs w:val="22"/>
        </w:rPr>
        <w:t>9. Customer Data Transfer</w:t>
      </w:r>
    </w:p>
    <w:p>
      <w:pPr>
        <w:pStyle w:val="Normal"/>
        <w:spacing w:before="40" w:after="40"/>
        <w:rPr/>
      </w:pPr>
      <w:r>
        <w:rPr>
          <w:rFonts w:eastAsia="Arial" w:cs="Arial"/>
          <w:color w:val="1A1A1A"/>
          <w:sz w:val="22"/>
          <w:szCs w:val="22"/>
        </w:rPr>
        <w:t>10. Physical Transfer of Storage Media</w:t>
      </w:r>
    </w:p>
    <w:p>
      <w:pPr>
        <w:pStyle w:val="Normal"/>
        <w:spacing w:before="40" w:after="40"/>
        <w:rPr/>
      </w:pPr>
      <w:r>
        <w:rPr>
          <w:rFonts w:eastAsia="Arial" w:cs="Arial"/>
          <w:color w:val="1A1A1A"/>
          <w:sz w:val="22"/>
          <w:szCs w:val="22"/>
        </w:rPr>
        <w:t>11. Verbal and In-Person Transfer</w:t>
      </w:r>
    </w:p>
    <w:p>
      <w:pPr>
        <w:pStyle w:val="Normal"/>
        <w:spacing w:before="40" w:after="40"/>
        <w:rPr/>
      </w:pPr>
      <w:r>
        <w:rPr>
          <w:rFonts w:eastAsia="Arial" w:cs="Arial"/>
          <w:color w:val="1A1A1A"/>
          <w:sz w:val="22"/>
          <w:szCs w:val="22"/>
        </w:rPr>
        <w:t>12. International Transfers and Data Residency</w:t>
      </w:r>
    </w:p>
    <w:p>
      <w:pPr>
        <w:pStyle w:val="Normal"/>
        <w:spacing w:before="40" w:after="40"/>
        <w:rPr/>
      </w:pPr>
      <w:r>
        <w:rPr>
          <w:rFonts w:eastAsia="Arial" w:cs="Arial"/>
          <w:color w:val="1A1A1A"/>
          <w:sz w:val="22"/>
          <w:szCs w:val="22"/>
        </w:rPr>
        <w:t>13. Confidentiality Agreements</w:t>
      </w:r>
    </w:p>
    <w:p>
      <w:pPr>
        <w:pStyle w:val="Normal"/>
        <w:spacing w:before="40" w:after="40"/>
        <w:rPr/>
      </w:pPr>
      <w:r>
        <w:rPr>
          <w:rFonts w:eastAsia="Arial" w:cs="Arial"/>
          <w:color w:val="1A1A1A"/>
          <w:sz w:val="22"/>
          <w:szCs w:val="22"/>
        </w:rPr>
        <w:t>14. Logging and Auditability of Transfers</w:t>
      </w:r>
    </w:p>
    <w:p>
      <w:pPr>
        <w:pStyle w:val="Normal"/>
        <w:spacing w:before="40" w:after="40"/>
        <w:rPr/>
      </w:pPr>
      <w:r>
        <w:rPr>
          <w:rFonts w:eastAsia="Arial" w:cs="Arial"/>
          <w:color w:val="1A1A1A"/>
          <w:sz w:val="22"/>
          <w:szCs w:val="22"/>
        </w:rPr>
        <w:t>15. Review and Maintenance</w:t>
      </w:r>
    </w:p>
    <w:p>
      <w:pPr>
        <w:pStyle w:val="Normal"/>
        <w:spacing w:before="40" w:after="40"/>
        <w:rPr/>
      </w:pPr>
      <w:r>
        <w:rPr>
          <w:rFonts w:eastAsia="Arial" w:cs="Arial"/>
          <w:color w:val="1A1A1A"/>
          <w:sz w:val="22"/>
          <w:szCs w:val="22"/>
        </w:rPr>
        <w:t>16.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Information Transfer Policy defines how Cloudax Ltd. transfers information to ensure confidentiality, integrity, and availability are preserved during transfer, and to comply with legal and contractual obligations.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A.5.14 Information transfer</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 the transfer of information by Cloudax personnel and authorised third parties, by any method, including electronic transfer (email, messaging, file sharing, APIs, cloud services), physical transfer (paper, removable media, devices), and verbal transfer (calls, meetings, public spaces).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Transfer: </w:t>
      </w:r>
      <w:r>
        <w:rPr>
          <w:rFonts w:eastAsia="Arial" w:cs="Arial"/>
          <w:color w:val="1A1A1A"/>
          <w:sz w:val="22"/>
          <w:szCs w:val="22"/>
        </w:rPr>
        <w:t>any movement of information from one party, location, system, or container to another, including transmission, sharing, copying, and disclosure.</w:t>
      </w:r>
    </w:p>
    <w:p>
      <w:pPr>
        <w:pStyle w:val="ListParagraph"/>
        <w:numPr>
          <w:ilvl w:val="0"/>
          <w:numId w:val="1"/>
        </w:numPr>
        <w:spacing w:lineRule="exact" w:line="280" w:before="40" w:after="40"/>
        <w:rPr/>
      </w:pPr>
      <w:r>
        <w:rPr>
          <w:rFonts w:eastAsia="Arial" w:cs="Arial"/>
          <w:b/>
          <w:bCs/>
          <w:color w:val="1A1A1A"/>
          <w:sz w:val="22"/>
          <w:szCs w:val="22"/>
        </w:rPr>
        <w:t xml:space="preserve">Internal transfer: </w:t>
      </w:r>
      <w:r>
        <w:rPr>
          <w:rFonts w:eastAsia="Arial" w:cs="Arial"/>
          <w:color w:val="1A1A1A"/>
          <w:sz w:val="22"/>
          <w:szCs w:val="22"/>
        </w:rPr>
        <w:t>transfer between Cloudax personnel or systems within the Cloudax ISMS scope.</w:t>
      </w:r>
    </w:p>
    <w:p>
      <w:pPr>
        <w:pStyle w:val="ListParagraph"/>
        <w:numPr>
          <w:ilvl w:val="0"/>
          <w:numId w:val="1"/>
        </w:numPr>
        <w:spacing w:lineRule="exact" w:line="280" w:before="40" w:after="40"/>
        <w:rPr/>
      </w:pPr>
      <w:r>
        <w:rPr>
          <w:rFonts w:eastAsia="Arial" w:cs="Arial"/>
          <w:b/>
          <w:bCs/>
          <w:color w:val="1A1A1A"/>
          <w:sz w:val="22"/>
          <w:szCs w:val="22"/>
        </w:rPr>
        <w:t xml:space="preserve">External transfer: </w:t>
      </w:r>
      <w:r>
        <w:rPr>
          <w:rFonts w:eastAsia="Arial" w:cs="Arial"/>
          <w:color w:val="1A1A1A"/>
          <w:sz w:val="22"/>
          <w:szCs w:val="22"/>
        </w:rPr>
        <w:t>transfer to a recipient outside the Cloudax ISMS scope, including customers, suppliers, partners, regulators, and the public.</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Transfer is permitted where there is a legitimate business reason and an authorised channel.</w:t>
      </w:r>
    </w:p>
    <w:p>
      <w:pPr>
        <w:pStyle w:val="ListParagraph"/>
        <w:numPr>
          <w:ilvl w:val="0"/>
          <w:numId w:val="1"/>
        </w:numPr>
        <w:spacing w:lineRule="exact" w:line="280" w:before="40" w:after="40"/>
        <w:rPr/>
      </w:pPr>
      <w:r>
        <w:rPr>
          <w:rFonts w:eastAsia="Arial" w:cs="Arial"/>
          <w:color w:val="1A1A1A"/>
          <w:sz w:val="22"/>
          <w:szCs w:val="22"/>
        </w:rPr>
        <w:t>The protection applied to information in transfer is at least equivalent to the protection it receives at rest.</w:t>
      </w:r>
    </w:p>
    <w:p>
      <w:pPr>
        <w:pStyle w:val="ListParagraph"/>
        <w:numPr>
          <w:ilvl w:val="0"/>
          <w:numId w:val="1"/>
        </w:numPr>
        <w:spacing w:lineRule="exact" w:line="280" w:before="40" w:after="40"/>
        <w:rPr/>
      </w:pPr>
      <w:r>
        <w:rPr>
          <w:rFonts w:eastAsia="Arial" w:cs="Arial"/>
          <w:color w:val="1A1A1A"/>
          <w:sz w:val="22"/>
          <w:szCs w:val="22"/>
        </w:rPr>
        <w:t>The recipient is verified before Confidential or Restricted information is sent.</w:t>
      </w:r>
    </w:p>
    <w:p>
      <w:pPr>
        <w:pStyle w:val="ListParagraph"/>
        <w:numPr>
          <w:ilvl w:val="0"/>
          <w:numId w:val="1"/>
        </w:numPr>
        <w:spacing w:lineRule="exact" w:line="280" w:before="40" w:after="40"/>
        <w:rPr/>
      </w:pPr>
      <w:r>
        <w:rPr>
          <w:rFonts w:eastAsia="Arial" w:cs="Arial"/>
          <w:color w:val="1A1A1A"/>
          <w:sz w:val="22"/>
          <w:szCs w:val="22"/>
        </w:rPr>
        <w:t>Transfers of Restricted information are logged.</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Security Manager: owns this Policy; defines and approves transfer channels.</w:t>
      </w:r>
    </w:p>
    <w:p>
      <w:pPr>
        <w:pStyle w:val="ListParagraph"/>
        <w:numPr>
          <w:ilvl w:val="0"/>
          <w:numId w:val="1"/>
        </w:numPr>
        <w:spacing w:lineRule="exact" w:line="280" w:before="40" w:after="40"/>
        <w:rPr/>
      </w:pPr>
      <w:r>
        <w:rPr>
          <w:rFonts w:eastAsia="Arial" w:cs="Arial"/>
          <w:color w:val="1A1A1A"/>
          <w:sz w:val="22"/>
          <w:szCs w:val="22"/>
        </w:rPr>
        <w:t>Information owners: authorise external transfers of information they own.</w:t>
      </w:r>
    </w:p>
    <w:p>
      <w:pPr>
        <w:pStyle w:val="ListParagraph"/>
        <w:numPr>
          <w:ilvl w:val="0"/>
          <w:numId w:val="1"/>
        </w:numPr>
        <w:spacing w:lineRule="exact" w:line="280" w:before="40" w:after="40"/>
        <w:rPr/>
      </w:pPr>
      <w:r>
        <w:rPr>
          <w:rFonts w:eastAsia="Arial" w:cs="Arial"/>
          <w:color w:val="1A1A1A"/>
          <w:sz w:val="22"/>
          <w:szCs w:val="22"/>
        </w:rPr>
        <w:t>All personnel: comply with this Policy; verify recipients before sending.</w:t>
      </w:r>
    </w:p>
    <w:p>
      <w:pPr>
        <w:pStyle w:val="Heading1"/>
        <w:spacing w:before="360" w:after="180"/>
        <w:rPr/>
      </w:pPr>
      <w:r>
        <w:rPr>
          <w:rFonts w:eastAsia="Arial" w:cs="Arial" w:ascii="Arial" w:hAnsi="Arial"/>
          <w:b/>
          <w:bCs/>
          <w:color w:val="0000FF"/>
          <w:sz w:val="36"/>
          <w:szCs w:val="36"/>
        </w:rPr>
        <w:t>6. Permitted Transfer Channels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are the standard approved channels for information transfer at Cloudax:</w:t>
      </w:r>
    </w:p>
    <w:p>
      <w:pPr>
        <w:pStyle w:val="ListParagraph"/>
        <w:numPr>
          <w:ilvl w:val="0"/>
          <w:numId w:val="1"/>
        </w:numPr>
        <w:spacing w:lineRule="exact" w:line="280" w:before="40" w:after="40"/>
        <w:rPr/>
      </w:pPr>
      <w:r>
        <w:rPr>
          <w:rFonts w:eastAsia="Arial" w:cs="Arial"/>
          <w:color w:val="1A1A1A"/>
          <w:sz w:val="22"/>
          <w:szCs w:val="22"/>
        </w:rPr>
        <w:t>Microsoft 365 (Outlook, Teams, SharePoint, OneDrive) for general internal and approved external use.</w:t>
      </w:r>
    </w:p>
    <w:p>
      <w:pPr>
        <w:pStyle w:val="ListParagraph"/>
        <w:numPr>
          <w:ilvl w:val="0"/>
          <w:numId w:val="1"/>
        </w:numPr>
        <w:spacing w:lineRule="exact" w:line="280" w:before="40" w:after="40"/>
        <w:rPr/>
      </w:pPr>
      <w:r>
        <w:rPr>
          <w:rFonts w:eastAsia="Arial" w:cs="Arial"/>
          <w:color w:val="1A1A1A"/>
          <w:sz w:val="22"/>
          <w:szCs w:val="22"/>
        </w:rPr>
        <w:t>Approved customer integrations and APIs for customer data transfer in operational use.</w:t>
      </w:r>
    </w:p>
    <w:p>
      <w:pPr>
        <w:pStyle w:val="ListParagraph"/>
        <w:numPr>
          <w:ilvl w:val="0"/>
          <w:numId w:val="1"/>
        </w:numPr>
        <w:spacing w:lineRule="exact" w:line="280" w:before="40" w:after="40"/>
        <w:rPr/>
      </w:pPr>
      <w:r>
        <w:rPr>
          <w:rFonts w:eastAsia="Arial" w:cs="Arial"/>
          <w:color w:val="1A1A1A"/>
          <w:sz w:val="22"/>
          <w:szCs w:val="22"/>
        </w:rPr>
        <w:t>Approved file-transfer services for ad hoc external transfers, with encryption in transit.</w:t>
      </w:r>
    </w:p>
    <w:p>
      <w:pPr>
        <w:pStyle w:val="ListParagraph"/>
        <w:numPr>
          <w:ilvl w:val="0"/>
          <w:numId w:val="1"/>
        </w:numPr>
        <w:spacing w:lineRule="exact" w:line="280" w:before="40" w:after="40"/>
        <w:rPr/>
      </w:pPr>
      <w:r>
        <w:rPr>
          <w:rFonts w:eastAsia="Arial" w:cs="Arial"/>
          <w:color w:val="1A1A1A"/>
          <w:sz w:val="22"/>
          <w:szCs w:val="22"/>
        </w:rPr>
        <w:t>Approved code repositories for source code and infrastructure-as-code transfer.</w:t>
      </w:r>
    </w:p>
    <w:p>
      <w:pPr>
        <w:pStyle w:val="ListParagraph"/>
        <w:numPr>
          <w:ilvl w:val="0"/>
          <w:numId w:val="1"/>
        </w:numPr>
        <w:spacing w:lineRule="exact" w:line="280" w:before="40" w:after="40"/>
        <w:rPr/>
      </w:pPr>
      <w:r>
        <w:rPr>
          <w:rFonts w:eastAsia="Arial" w:cs="Arial"/>
          <w:color w:val="1A1A1A"/>
          <w:sz w:val="22"/>
          <w:szCs w:val="22"/>
        </w:rPr>
        <w:t>Approved messaging platforms (e.g. Slack, Teams) for non-Restricted communications.</w:t>
      </w:r>
    </w:p>
    <w:p>
      <w:pPr>
        <w:pStyle w:val="Heading1"/>
        <w:spacing w:before="360" w:after="180"/>
        <w:rPr/>
      </w:pPr>
      <w:r>
        <w:rPr>
          <w:rFonts w:eastAsia="Arial" w:cs="Arial" w:ascii="Arial" w:hAnsi="Arial"/>
          <w:b/>
          <w:bCs/>
          <w:color w:val="0000FF"/>
          <w:sz w:val="36"/>
          <w:szCs w:val="36"/>
        </w:rPr>
        <w:t>7. Prohibited Transfers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transfer methods are prohibited for Cloudax information:</w:t>
      </w:r>
    </w:p>
    <w:p>
      <w:pPr>
        <w:pStyle w:val="ListParagraph"/>
        <w:numPr>
          <w:ilvl w:val="0"/>
          <w:numId w:val="1"/>
        </w:numPr>
        <w:spacing w:lineRule="exact" w:line="280" w:before="40" w:after="40"/>
        <w:rPr/>
      </w:pPr>
      <w:r>
        <w:rPr>
          <w:rFonts w:eastAsia="Arial" w:cs="Arial"/>
          <w:color w:val="1A1A1A"/>
          <w:sz w:val="22"/>
          <w:szCs w:val="22"/>
        </w:rPr>
        <w:t>Personal email, personal cloud storage, personal messaging accounts, or personal devices not under Cloudax management.</w:t>
      </w:r>
    </w:p>
    <w:p>
      <w:pPr>
        <w:pStyle w:val="ListParagraph"/>
        <w:numPr>
          <w:ilvl w:val="0"/>
          <w:numId w:val="1"/>
        </w:numPr>
        <w:spacing w:lineRule="exact" w:line="280" w:before="40" w:after="40"/>
        <w:rPr/>
      </w:pPr>
      <w:r>
        <w:rPr>
          <w:rFonts w:eastAsia="Arial" w:cs="Arial"/>
          <w:color w:val="1A1A1A"/>
          <w:sz w:val="22"/>
          <w:szCs w:val="22"/>
        </w:rPr>
        <w:t>Public AI services for Confidential or Restricted information unless explicitly approved (see POL-003 §12).</w:t>
      </w:r>
    </w:p>
    <w:p>
      <w:pPr>
        <w:pStyle w:val="ListParagraph"/>
        <w:numPr>
          <w:ilvl w:val="0"/>
          <w:numId w:val="1"/>
        </w:numPr>
        <w:spacing w:lineRule="exact" w:line="280" w:before="40" w:after="40"/>
        <w:rPr/>
      </w:pPr>
      <w:r>
        <w:rPr>
          <w:rFonts w:eastAsia="Arial" w:cs="Arial"/>
          <w:color w:val="1A1A1A"/>
          <w:sz w:val="22"/>
          <w:szCs w:val="22"/>
        </w:rPr>
        <w:t>Unencrypted removable media for Confidential or Restricted information.</w:t>
      </w:r>
    </w:p>
    <w:p>
      <w:pPr>
        <w:pStyle w:val="ListParagraph"/>
        <w:numPr>
          <w:ilvl w:val="0"/>
          <w:numId w:val="1"/>
        </w:numPr>
        <w:spacing w:lineRule="exact" w:line="280" w:before="40" w:after="40"/>
        <w:rPr/>
      </w:pPr>
      <w:r>
        <w:rPr>
          <w:rFonts w:eastAsia="Arial" w:cs="Arial"/>
          <w:color w:val="1A1A1A"/>
          <w:sz w:val="22"/>
          <w:szCs w:val="22"/>
        </w:rPr>
        <w:t>Public file-transfer services not on the Cloudax approved list.</w:t>
      </w:r>
    </w:p>
    <w:p>
      <w:pPr>
        <w:pStyle w:val="ListParagraph"/>
        <w:numPr>
          <w:ilvl w:val="0"/>
          <w:numId w:val="1"/>
        </w:numPr>
        <w:spacing w:lineRule="exact" w:line="280" w:before="40" w:after="40"/>
        <w:rPr/>
      </w:pPr>
      <w:r>
        <w:rPr>
          <w:rFonts w:eastAsia="Arial" w:cs="Arial"/>
          <w:color w:val="1A1A1A"/>
          <w:sz w:val="22"/>
          <w:szCs w:val="22"/>
        </w:rPr>
        <w:t>Public Wi-Fi or untrusted networks without the Cloudax VPN for Confidential or Restricted information.</w:t>
      </w:r>
    </w:p>
    <w:p>
      <w:pPr>
        <w:pStyle w:val="Heading1"/>
        <w:spacing w:before="360" w:after="180"/>
        <w:rPr/>
      </w:pPr>
      <w:r>
        <w:rPr>
          <w:rFonts w:eastAsia="Arial" w:cs="Arial" w:ascii="Arial" w:hAnsi="Arial"/>
          <w:b/>
          <w:bCs/>
          <w:color w:val="0000FF"/>
          <w:sz w:val="36"/>
          <w:szCs w:val="36"/>
        </w:rPr>
        <w:t>8. Transfer of Restricted Information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Transfer of Restricted information requires explicit authorisation by the information owner and the Information Security Manager.</w:t>
      </w:r>
    </w:p>
    <w:p>
      <w:pPr>
        <w:pStyle w:val="ListParagraph"/>
        <w:numPr>
          <w:ilvl w:val="0"/>
          <w:numId w:val="1"/>
        </w:numPr>
        <w:spacing w:lineRule="exact" w:line="280" w:before="40" w:after="40"/>
        <w:rPr/>
      </w:pPr>
      <w:r>
        <w:rPr>
          <w:rFonts w:eastAsia="Arial" w:cs="Arial"/>
          <w:color w:val="1A1A1A"/>
          <w:sz w:val="22"/>
          <w:szCs w:val="22"/>
        </w:rPr>
        <w:t>Restricted information is encrypted in transit using approved cryptography (POL-023).</w:t>
      </w:r>
    </w:p>
    <w:p>
      <w:pPr>
        <w:pStyle w:val="ListParagraph"/>
        <w:numPr>
          <w:ilvl w:val="0"/>
          <w:numId w:val="1"/>
        </w:numPr>
        <w:spacing w:lineRule="exact" w:line="280" w:before="40" w:after="40"/>
        <w:rPr/>
      </w:pPr>
      <w:r>
        <w:rPr>
          <w:rFonts w:eastAsia="Arial" w:cs="Arial"/>
          <w:color w:val="1A1A1A"/>
          <w:sz w:val="22"/>
          <w:szCs w:val="22"/>
        </w:rPr>
        <w:t>Recipients are verified through out-of-band means before first transfer.</w:t>
      </w:r>
    </w:p>
    <w:p>
      <w:pPr>
        <w:pStyle w:val="ListParagraph"/>
        <w:numPr>
          <w:ilvl w:val="0"/>
          <w:numId w:val="1"/>
        </w:numPr>
        <w:spacing w:lineRule="exact" w:line="280" w:before="40" w:after="40"/>
        <w:rPr/>
      </w:pPr>
      <w:r>
        <w:rPr>
          <w:rFonts w:eastAsia="Arial" w:cs="Arial"/>
          <w:color w:val="1A1A1A"/>
          <w:sz w:val="22"/>
          <w:szCs w:val="22"/>
        </w:rPr>
        <w:t>Transfers are logged including sender, recipient, timestamp, classification, and channel.</w:t>
      </w:r>
    </w:p>
    <w:p>
      <w:pPr>
        <w:pStyle w:val="Heading1"/>
        <w:spacing w:before="360" w:after="180"/>
        <w:rPr/>
      </w:pPr>
      <w:r>
        <w:rPr>
          <w:rFonts w:eastAsia="Arial" w:cs="Arial" w:ascii="Arial" w:hAnsi="Arial"/>
          <w:b/>
          <w:bCs/>
          <w:color w:val="0000FF"/>
          <w:sz w:val="36"/>
          <w:szCs w:val="36"/>
        </w:rPr>
        <w:t>9. Customer Data Transfer</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Customer data — including voice recordings, transcripts, and derived data — is transferred only:</w:t>
      </w:r>
    </w:p>
    <w:p>
      <w:pPr>
        <w:pStyle w:val="ListParagraph"/>
        <w:numPr>
          <w:ilvl w:val="0"/>
          <w:numId w:val="1"/>
        </w:numPr>
        <w:spacing w:lineRule="exact" w:line="280" w:before="40" w:after="40"/>
        <w:rPr/>
      </w:pPr>
      <w:r>
        <w:rPr>
          <w:rFonts w:eastAsia="Arial" w:cs="Arial"/>
          <w:color w:val="1A1A1A"/>
          <w:sz w:val="22"/>
          <w:szCs w:val="22"/>
        </w:rPr>
        <w:t>Through customer-authorised integrations defined in the customer contract or DPA.</w:t>
      </w:r>
    </w:p>
    <w:p>
      <w:pPr>
        <w:pStyle w:val="ListParagraph"/>
        <w:numPr>
          <w:ilvl w:val="0"/>
          <w:numId w:val="1"/>
        </w:numPr>
        <w:spacing w:lineRule="exact" w:line="280" w:before="40" w:after="40"/>
        <w:rPr/>
      </w:pPr>
      <w:r>
        <w:rPr>
          <w:rFonts w:eastAsia="Arial" w:cs="Arial"/>
          <w:color w:val="1A1A1A"/>
          <w:sz w:val="22"/>
          <w:szCs w:val="22"/>
        </w:rPr>
        <w:t>To approved sub-processors listed in the customer DPA (see POL-006).</w:t>
      </w:r>
    </w:p>
    <w:p>
      <w:pPr>
        <w:pStyle w:val="ListParagraph"/>
        <w:numPr>
          <w:ilvl w:val="0"/>
          <w:numId w:val="1"/>
        </w:numPr>
        <w:spacing w:lineRule="exact" w:line="280" w:before="40" w:after="40"/>
        <w:rPr/>
      </w:pPr>
      <w:r>
        <w:rPr>
          <w:rFonts w:eastAsia="Arial" w:cs="Arial"/>
          <w:color w:val="1A1A1A"/>
          <w:sz w:val="22"/>
          <w:szCs w:val="22"/>
        </w:rPr>
        <w:t>Where required by law, with appropriate review by the Privacy Lead before disclosure.</w:t>
      </w:r>
    </w:p>
    <w:p>
      <w:pPr>
        <w:pStyle w:val="Heading1"/>
        <w:spacing w:before="360" w:after="180"/>
        <w:rPr/>
      </w:pPr>
      <w:r>
        <w:rPr>
          <w:rFonts w:eastAsia="Arial" w:cs="Arial" w:ascii="Arial" w:hAnsi="Arial"/>
          <w:b/>
          <w:bCs/>
          <w:color w:val="0000FF"/>
          <w:sz w:val="36"/>
          <w:szCs w:val="36"/>
        </w:rPr>
        <w:t>10. Physical Transfer of Storage Media</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Physical transfer of storage media is governed additionally by POL-013 Removable Media Policy. Where transfer of removable media is necessary:</w:t>
      </w:r>
    </w:p>
    <w:p>
      <w:pPr>
        <w:pStyle w:val="ListParagraph"/>
        <w:numPr>
          <w:ilvl w:val="0"/>
          <w:numId w:val="1"/>
        </w:numPr>
        <w:spacing w:lineRule="exact" w:line="280" w:before="40" w:after="40"/>
        <w:rPr/>
      </w:pPr>
      <w:r>
        <w:rPr>
          <w:rFonts w:eastAsia="Arial" w:cs="Arial"/>
          <w:color w:val="1A1A1A"/>
          <w:sz w:val="22"/>
          <w:szCs w:val="22"/>
        </w:rPr>
        <w:t>Media is encrypted before dispatch.</w:t>
      </w:r>
    </w:p>
    <w:p>
      <w:pPr>
        <w:pStyle w:val="ListParagraph"/>
        <w:numPr>
          <w:ilvl w:val="0"/>
          <w:numId w:val="1"/>
        </w:numPr>
        <w:spacing w:lineRule="exact" w:line="280" w:before="40" w:after="40"/>
        <w:rPr/>
      </w:pPr>
      <w:r>
        <w:rPr>
          <w:rFonts w:eastAsia="Arial" w:cs="Arial"/>
          <w:color w:val="1A1A1A"/>
          <w:sz w:val="22"/>
          <w:szCs w:val="22"/>
        </w:rPr>
        <w:t>Tracked courier or hand-delivery is used; postal services are not used for Restricted information.</w:t>
      </w:r>
    </w:p>
    <w:p>
      <w:pPr>
        <w:pStyle w:val="ListParagraph"/>
        <w:numPr>
          <w:ilvl w:val="0"/>
          <w:numId w:val="1"/>
        </w:numPr>
        <w:spacing w:lineRule="exact" w:line="280" w:before="40" w:after="40"/>
        <w:rPr/>
      </w:pPr>
      <w:r>
        <w:rPr>
          <w:rFonts w:eastAsia="Arial" w:cs="Arial"/>
          <w:color w:val="1A1A1A"/>
          <w:sz w:val="22"/>
          <w:szCs w:val="22"/>
        </w:rPr>
        <w:t>Receipt is confirmed by the recipient.</w:t>
      </w:r>
    </w:p>
    <w:p>
      <w:pPr>
        <w:pStyle w:val="Heading1"/>
        <w:spacing w:before="360" w:after="180"/>
        <w:rPr/>
      </w:pPr>
      <w:r>
        <w:rPr>
          <w:rFonts w:eastAsia="Arial" w:cs="Arial" w:ascii="Arial" w:hAnsi="Arial"/>
          <w:b/>
          <w:bCs/>
          <w:color w:val="0000FF"/>
          <w:sz w:val="36"/>
          <w:szCs w:val="36"/>
        </w:rPr>
        <w:t>11. Verbal and In-Person Transfer</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Confidential and Restricted information must not be discussed where it can be overheard by unauthorised persons (e.g. open desks, public transport, cafes).</w:t>
      </w:r>
    </w:p>
    <w:p>
      <w:pPr>
        <w:pStyle w:val="ListParagraph"/>
        <w:numPr>
          <w:ilvl w:val="0"/>
          <w:numId w:val="1"/>
        </w:numPr>
        <w:spacing w:lineRule="exact" w:line="280" w:before="40" w:after="40"/>
        <w:rPr/>
      </w:pPr>
      <w:r>
        <w:rPr>
          <w:rFonts w:eastAsia="Arial" w:cs="Arial"/>
          <w:color w:val="1A1A1A"/>
          <w:sz w:val="22"/>
          <w:szCs w:val="22"/>
        </w:rPr>
        <w:t>Calls involving Confidential or Restricted information are taken in private booths or rooms.</w:t>
      </w:r>
    </w:p>
    <w:p>
      <w:pPr>
        <w:pStyle w:val="ListParagraph"/>
        <w:numPr>
          <w:ilvl w:val="0"/>
          <w:numId w:val="1"/>
        </w:numPr>
        <w:spacing w:lineRule="exact" w:line="280" w:before="40" w:after="40"/>
        <w:rPr/>
      </w:pPr>
      <w:r>
        <w:rPr>
          <w:rFonts w:eastAsia="Arial" w:cs="Arial"/>
          <w:color w:val="1A1A1A"/>
          <w:sz w:val="22"/>
          <w:szCs w:val="22"/>
        </w:rPr>
        <w:t>Headphones are used for any call involving sensitive matters.</w:t>
      </w:r>
    </w:p>
    <w:p>
      <w:pPr>
        <w:pStyle w:val="Heading1"/>
        <w:spacing w:before="360" w:after="180"/>
        <w:rPr/>
      </w:pPr>
      <w:r>
        <w:rPr>
          <w:rFonts w:eastAsia="Arial" w:cs="Arial" w:ascii="Arial" w:hAnsi="Arial"/>
          <w:b/>
          <w:bCs/>
          <w:color w:val="0000FF"/>
          <w:sz w:val="36"/>
          <w:szCs w:val="36"/>
        </w:rPr>
        <w:t>12. International Transfers and Data Residency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International transfers of personal data are governed by POL-010 Privacy Policy and the customer DPA. Cloudax maintains awareness of data residency requirements imposed by customers and applicable law, and configures cloud services to honour them (POL-007).</w:t>
      </w:r>
    </w:p>
    <w:p>
      <w:pPr>
        <w:pStyle w:val="Heading1"/>
        <w:spacing w:before="360" w:after="180"/>
        <w:rPr/>
      </w:pPr>
      <w:r>
        <w:rPr>
          <w:rFonts w:eastAsia="Arial" w:cs="Arial" w:ascii="Arial" w:hAnsi="Arial"/>
          <w:b/>
          <w:bCs/>
          <w:color w:val="0000FF"/>
          <w:sz w:val="36"/>
          <w:szCs w:val="36"/>
        </w:rPr>
        <w:t>13. Confidentiality Agreements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Confidential and Restricted information is shared externally only under a written confidentiality agreement (NDA) or equivalent contract clause.</w:t>
      </w:r>
    </w:p>
    <w:p>
      <w:pPr>
        <w:pStyle w:val="ListParagraph"/>
        <w:numPr>
          <w:ilvl w:val="0"/>
          <w:numId w:val="1"/>
        </w:numPr>
        <w:spacing w:lineRule="exact" w:line="280" w:before="40" w:after="40"/>
        <w:rPr/>
      </w:pPr>
      <w:r>
        <w:rPr>
          <w:rFonts w:eastAsia="Arial" w:cs="Arial"/>
          <w:color w:val="1A1A1A"/>
          <w:sz w:val="22"/>
          <w:szCs w:val="22"/>
        </w:rPr>
        <w:t>NDA templates are maintained by Cloudax legal advisers and reviewed periodically.</w:t>
      </w:r>
    </w:p>
    <w:p>
      <w:pPr>
        <w:pStyle w:val="Heading1"/>
        <w:spacing w:before="360" w:after="180"/>
        <w:rPr/>
      </w:pPr>
      <w:r>
        <w:rPr>
          <w:rFonts w:eastAsia="Arial" w:cs="Arial" w:ascii="Arial" w:hAnsi="Arial"/>
          <w:b/>
          <w:bCs/>
          <w:color w:val="0000FF"/>
          <w:sz w:val="36"/>
          <w:szCs w:val="36"/>
        </w:rPr>
        <w:t>14. Logging and Auditability of Transfers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Transfers of Restricted information are logged.</w:t>
      </w:r>
    </w:p>
    <w:p>
      <w:pPr>
        <w:pStyle w:val="ListParagraph"/>
        <w:numPr>
          <w:ilvl w:val="0"/>
          <w:numId w:val="1"/>
        </w:numPr>
        <w:spacing w:lineRule="exact" w:line="280" w:before="40" w:after="40"/>
        <w:rPr/>
      </w:pPr>
      <w:r>
        <w:rPr>
          <w:rFonts w:eastAsia="Arial" w:cs="Arial"/>
          <w:color w:val="1A1A1A"/>
          <w:sz w:val="22"/>
          <w:szCs w:val="22"/>
        </w:rPr>
        <w:t>Email, file-sharing, and approved messaging platforms are configured to log transfer metadata in line with POL-019 Logging Policy.</w:t>
      </w:r>
    </w:p>
    <w:p>
      <w:pPr>
        <w:pStyle w:val="ListParagraph"/>
        <w:numPr>
          <w:ilvl w:val="0"/>
          <w:numId w:val="1"/>
        </w:numPr>
        <w:spacing w:lineRule="exact" w:line="280" w:before="40" w:after="40"/>
        <w:rPr/>
      </w:pPr>
      <w:r>
        <w:rPr>
          <w:rFonts w:eastAsia="Arial" w:cs="Arial"/>
          <w:color w:val="1A1A1A"/>
          <w:sz w:val="22"/>
          <w:szCs w:val="22"/>
        </w:rPr>
        <w:t>Data leakage prevention controls (POL-017) detect and alert on anomalous external transfers.</w:t>
      </w:r>
    </w:p>
    <w:p>
      <w:pPr>
        <w:pStyle w:val="Heading1"/>
        <w:spacing w:before="360" w:after="180"/>
        <w:rPr/>
      </w:pPr>
      <w:r>
        <w:rPr>
          <w:rFonts w:eastAsia="Arial" w:cs="Arial" w:ascii="Arial" w:hAnsi="Arial"/>
          <w:b/>
          <w:bCs/>
          <w:color w:val="0000FF"/>
          <w:sz w:val="36"/>
          <w:szCs w:val="36"/>
        </w:rPr>
        <w:t>15.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and on material change.</w:t>
      </w:r>
    </w:p>
    <w:p>
      <w:pPr>
        <w:pStyle w:val="Heading1"/>
        <w:spacing w:before="360" w:after="180"/>
        <w:rPr/>
      </w:pPr>
      <w:r>
        <w:rPr>
          <w:rFonts w:eastAsia="Arial" w:cs="Arial" w:ascii="Arial" w:hAnsi="Arial"/>
          <w:b/>
          <w:bCs/>
          <w:color w:val="0000FF"/>
          <w:sz w:val="36"/>
          <w:szCs w:val="36"/>
        </w:rPr>
        <w:t>16.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this Policy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gives effect to the following ISO/IEC 27001:2022 Annex A controls, as recorded in the Cloudax Statement of Applicability (ISMS-SOA-001 v4.0). The authoritative list of applicable controls and their justification for applicability is the SoA itself.</w:t>
      </w:r>
    </w:p>
    <w:tbl>
      <w:tblPr>
        <w:tblW w:w="9026" w:type="dxa"/>
        <w:jc w:val="start"/>
        <w:tblInd w:w="0" w:type="dxa"/>
        <w:tblLayout w:type="fixed"/>
        <w:tblCellMar>
          <w:top w:w="100" w:type="dxa"/>
          <w:start w:w="160" w:type="dxa"/>
          <w:bottom w:w="100" w:type="dxa"/>
          <w:end w:w="16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A.5.14</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transfer</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 Document numbering aligned to ISMS-MAP-001 v1.0.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POL-005 Information Transfer Policy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POL-005 Information Transfer Policy  •  Internal  </w:t>
      <w:tab/>
      <w:t>v1.0  •  April 2026</w:t>
      <w:tab/>
      <w:t xml:space="preserve">Page </w:t>
    </w:r>
    <w:r>
      <w:rPr/>
      <w:fldChar w:fldCharType="begin"/>
    </w:r>
    <w:r>
      <w:rPr/>
      <w:instrText xml:space="preserve"> PAGE </w:instrText>
    </w:r>
    <w:r>
      <w:rPr/>
      <w:fldChar w:fldCharType="separate"/>
    </w:r>
    <w:r>
      <w:rPr/>
      <w:t>8</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2026-04-09T13:37:58Z</dcterms:created>
  <dc:creator>David Stokes</dc:creator>
  <dc:description/>
  <dc:language>en-US</dc:language>
  <cp:lastModifiedBy>David Stokes</cp:lastModifiedBy>
  <dcterms:modified xsi:type="dcterms:W3CDTF">2026-04-09T15:47:58Z</dcterms:modified>
  <cp:revision>1</cp:revision>
  <dc:subject/>
  <dc:title>Cloudax Information Transfer Policy</dc:title>
</cp:coreProperties>
</file>

<file path=docProps/custom.xml><?xml version="1.0" encoding="utf-8"?>
<Properties xmlns="http://schemas.openxmlformats.org/officeDocument/2006/custom-properties" xmlns:vt="http://schemas.openxmlformats.org/officeDocument/2006/docPropsVTypes"/>
</file>