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ISMS Roles and RACI</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ISMS-RACI-001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ISMS Roles and RACI</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RACI Convention</w:t>
      </w:r>
    </w:p>
    <w:p>
      <w:pPr>
        <w:pStyle w:val="Normal"/>
        <w:spacing w:before="40" w:after="40"/>
        <w:rPr/>
      </w:pPr>
      <w:r>
        <w:rPr>
          <w:rFonts w:eastAsia="Arial" w:cs="Arial"/>
          <w:color w:val="1A1A1A"/>
          <w:sz w:val="22"/>
          <w:szCs w:val="22"/>
        </w:rPr>
        <w:t>5. ISMS Roles at Cloudax</w:t>
      </w:r>
    </w:p>
    <w:p>
      <w:pPr>
        <w:pStyle w:val="Normal"/>
        <w:spacing w:before="40" w:after="40"/>
        <w:rPr/>
      </w:pPr>
      <w:r>
        <w:rPr>
          <w:rFonts w:eastAsia="Arial" w:cs="Arial"/>
          <w:color w:val="1A1A1A"/>
          <w:sz w:val="22"/>
          <w:szCs w:val="22"/>
        </w:rPr>
        <w:t>6. Working with a Small Team</w:t>
      </w:r>
    </w:p>
    <w:p>
      <w:pPr>
        <w:pStyle w:val="Normal"/>
        <w:spacing w:before="40" w:after="40"/>
        <w:rPr/>
      </w:pPr>
      <w:r>
        <w:rPr>
          <w:rFonts w:eastAsia="Arial" w:cs="Arial"/>
          <w:color w:val="1A1A1A"/>
          <w:sz w:val="22"/>
          <w:szCs w:val="22"/>
        </w:rPr>
        <w:t>7. Segregation of Duties</w:t>
      </w:r>
    </w:p>
    <w:p>
      <w:pPr>
        <w:pStyle w:val="Normal"/>
        <w:spacing w:before="40" w:after="40"/>
        <w:rPr/>
      </w:pPr>
      <w:r>
        <w:rPr>
          <w:rFonts w:eastAsia="Arial" w:cs="Arial"/>
          <w:color w:val="1A1A1A"/>
          <w:sz w:val="22"/>
          <w:szCs w:val="22"/>
        </w:rPr>
        <w:t>8. RACI Matrices</w:t>
      </w:r>
    </w:p>
    <w:p>
      <w:pPr>
        <w:pStyle w:val="Normal"/>
        <w:spacing w:before="40" w:after="40"/>
        <w:rPr/>
      </w:pPr>
      <w:r>
        <w:rPr>
          <w:rFonts w:eastAsia="Arial" w:cs="Arial"/>
          <w:color w:val="1A1A1A"/>
          <w:sz w:val="22"/>
          <w:szCs w:val="22"/>
        </w:rPr>
        <w:t xml:space="preserve">   </w:t>
      </w:r>
      <w:r>
        <w:rPr>
          <w:rFonts w:eastAsia="Arial" w:cs="Arial"/>
          <w:color w:val="1A1A1A"/>
          <w:sz w:val="22"/>
          <w:szCs w:val="22"/>
        </w:rPr>
        <w:t>8.1 ISMS Governance and Maintenance</w:t>
      </w:r>
    </w:p>
    <w:p>
      <w:pPr>
        <w:pStyle w:val="Normal"/>
        <w:spacing w:before="40" w:after="40"/>
        <w:rPr/>
      </w:pPr>
      <w:r>
        <w:rPr>
          <w:rFonts w:eastAsia="Arial" w:cs="Arial"/>
          <w:color w:val="1A1A1A"/>
          <w:sz w:val="22"/>
          <w:szCs w:val="22"/>
        </w:rPr>
        <w:t xml:space="preserve">   </w:t>
      </w:r>
      <w:r>
        <w:rPr>
          <w:rFonts w:eastAsia="Arial" w:cs="Arial"/>
          <w:color w:val="1A1A1A"/>
          <w:sz w:val="22"/>
          <w:szCs w:val="22"/>
        </w:rPr>
        <w:t>8.2 Risk and Treatment</w:t>
      </w:r>
    </w:p>
    <w:p>
      <w:pPr>
        <w:pStyle w:val="Normal"/>
        <w:spacing w:before="40" w:after="40"/>
        <w:rPr/>
      </w:pPr>
      <w:r>
        <w:rPr>
          <w:rFonts w:eastAsia="Arial" w:cs="Arial"/>
          <w:color w:val="1A1A1A"/>
          <w:sz w:val="22"/>
          <w:szCs w:val="22"/>
        </w:rPr>
        <w:t xml:space="preserve">   </w:t>
      </w:r>
      <w:r>
        <w:rPr>
          <w:rFonts w:eastAsia="Arial" w:cs="Arial"/>
          <w:color w:val="1A1A1A"/>
          <w:sz w:val="22"/>
          <w:szCs w:val="22"/>
        </w:rPr>
        <w:t>8.3 Annex A Controls — by Domain</w:t>
      </w:r>
    </w:p>
    <w:p>
      <w:pPr>
        <w:pStyle w:val="Normal"/>
        <w:spacing w:before="40" w:after="40"/>
        <w:rPr/>
      </w:pPr>
      <w:r>
        <w:rPr>
          <w:rFonts w:eastAsia="Arial" w:cs="Arial"/>
          <w:color w:val="1A1A1A"/>
          <w:sz w:val="22"/>
          <w:szCs w:val="22"/>
        </w:rPr>
        <w:t xml:space="preserve">   </w:t>
      </w:r>
      <w:r>
        <w:rPr>
          <w:rFonts w:eastAsia="Arial" w:cs="Arial"/>
          <w:color w:val="1A1A1A"/>
          <w:sz w:val="22"/>
          <w:szCs w:val="22"/>
        </w:rPr>
        <w:t>8.4 Incident, Continuity, and Recovery</w:t>
      </w:r>
    </w:p>
    <w:p>
      <w:pPr>
        <w:pStyle w:val="Normal"/>
        <w:spacing w:before="40" w:after="40"/>
        <w:rPr/>
      </w:pPr>
      <w:r>
        <w:rPr>
          <w:rFonts w:eastAsia="Arial" w:cs="Arial"/>
          <w:color w:val="1A1A1A"/>
          <w:sz w:val="22"/>
          <w:szCs w:val="22"/>
        </w:rPr>
        <w:t xml:space="preserve">   </w:t>
      </w:r>
      <w:r>
        <w:rPr>
          <w:rFonts w:eastAsia="Arial" w:cs="Arial"/>
          <w:color w:val="1A1A1A"/>
          <w:sz w:val="22"/>
          <w:szCs w:val="22"/>
        </w:rPr>
        <w:t>8.5 Compliance and Audit</w:t>
      </w:r>
    </w:p>
    <w:p>
      <w:pPr>
        <w:pStyle w:val="Normal"/>
        <w:spacing w:before="40" w:after="40"/>
        <w:rPr/>
      </w:pPr>
      <w:r>
        <w:rPr>
          <w:rFonts w:eastAsia="Arial" w:cs="Arial"/>
          <w:color w:val="1A1A1A"/>
          <w:sz w:val="22"/>
          <w:szCs w:val="22"/>
        </w:rPr>
        <w:t>9. Authority Levels</w:t>
      </w:r>
    </w:p>
    <w:p>
      <w:pPr>
        <w:pStyle w:val="Normal"/>
        <w:spacing w:before="40" w:after="40"/>
        <w:rPr/>
      </w:pPr>
      <w:r>
        <w:rPr>
          <w:rFonts w:eastAsia="Arial" w:cs="Arial"/>
          <w:color w:val="1A1A1A"/>
          <w:sz w:val="22"/>
          <w:szCs w:val="22"/>
        </w:rPr>
        <w:t>10. Maintenance</w:t>
      </w:r>
    </w:p>
    <w:p>
      <w:pPr>
        <w:pStyle w:val="Normal"/>
        <w:spacing w:before="40" w:after="40"/>
        <w:rPr/>
      </w:pPr>
      <w:r>
        <w:rPr>
          <w:rFonts w:eastAsia="Arial" w:cs="Arial"/>
          <w:color w:val="1A1A1A"/>
          <w:sz w:val="22"/>
          <w:szCs w:val="22"/>
        </w:rPr>
        <w:t>11.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defines roles, responsibilities, and authorities within the Cloudax Information Security Management System using a RACI convention. It supports the Information Security Policy (POL-001) and gives effect to A.5.2 Information security roles and responsibilities and Cl. 5.3 Organizational roles, responsibilities and authorities.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controls: A.5.2 Information security roles and responsibilities; A.5.4 Management responsibilities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covers the full scope of the Cloudax ISMS as defined in ISMS-SCOPE-001.</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RACI: </w:t>
      </w:r>
      <w:r>
        <w:rPr>
          <w:rFonts w:eastAsia="Arial" w:cs="Arial"/>
          <w:color w:val="1A1A1A"/>
          <w:sz w:val="22"/>
          <w:szCs w:val="22"/>
        </w:rPr>
        <w:t>Responsible, Accountable, Consulted, Informed.</w:t>
      </w:r>
    </w:p>
    <w:p>
      <w:pPr>
        <w:pStyle w:val="ListParagraph"/>
        <w:numPr>
          <w:ilvl w:val="0"/>
          <w:numId w:val="1"/>
        </w:numPr>
        <w:spacing w:lineRule="exact" w:line="280" w:before="40" w:after="40"/>
        <w:rPr/>
      </w:pPr>
      <w:r>
        <w:rPr>
          <w:rFonts w:eastAsia="Arial" w:cs="Arial"/>
          <w:b/>
          <w:bCs/>
          <w:color w:val="1A1A1A"/>
          <w:sz w:val="22"/>
          <w:szCs w:val="22"/>
        </w:rPr>
        <w:t xml:space="preserve">Responsible (R): </w:t>
      </w:r>
      <w:r>
        <w:rPr>
          <w:rFonts w:eastAsia="Arial" w:cs="Arial"/>
          <w:color w:val="1A1A1A"/>
          <w:sz w:val="22"/>
          <w:szCs w:val="22"/>
        </w:rPr>
        <w:t>the person or role who performs the work.</w:t>
      </w:r>
    </w:p>
    <w:p>
      <w:pPr>
        <w:pStyle w:val="ListParagraph"/>
        <w:numPr>
          <w:ilvl w:val="0"/>
          <w:numId w:val="1"/>
        </w:numPr>
        <w:spacing w:lineRule="exact" w:line="280" w:before="40" w:after="40"/>
        <w:rPr/>
      </w:pPr>
      <w:r>
        <w:rPr>
          <w:rFonts w:eastAsia="Arial" w:cs="Arial"/>
          <w:b/>
          <w:bCs/>
          <w:color w:val="1A1A1A"/>
          <w:sz w:val="22"/>
          <w:szCs w:val="22"/>
        </w:rPr>
        <w:t xml:space="preserve">Accountable (A): </w:t>
      </w:r>
      <w:r>
        <w:rPr>
          <w:rFonts w:eastAsia="Arial" w:cs="Arial"/>
          <w:color w:val="1A1A1A"/>
          <w:sz w:val="22"/>
          <w:szCs w:val="22"/>
        </w:rPr>
        <w:t>the person or role ultimately answerable for the work; only one A per activity.</w:t>
      </w:r>
    </w:p>
    <w:p>
      <w:pPr>
        <w:pStyle w:val="ListParagraph"/>
        <w:numPr>
          <w:ilvl w:val="0"/>
          <w:numId w:val="1"/>
        </w:numPr>
        <w:spacing w:lineRule="exact" w:line="280" w:before="40" w:after="40"/>
        <w:rPr/>
      </w:pPr>
      <w:r>
        <w:rPr>
          <w:rFonts w:eastAsia="Arial" w:cs="Arial"/>
          <w:b/>
          <w:bCs/>
          <w:color w:val="1A1A1A"/>
          <w:sz w:val="22"/>
          <w:szCs w:val="22"/>
        </w:rPr>
        <w:t xml:space="preserve">Consulted (C): </w:t>
      </w:r>
      <w:r>
        <w:rPr>
          <w:rFonts w:eastAsia="Arial" w:cs="Arial"/>
          <w:color w:val="1A1A1A"/>
          <w:sz w:val="22"/>
          <w:szCs w:val="22"/>
        </w:rPr>
        <w:t>two-way communication required before the activity is performed or completed.</w:t>
      </w:r>
    </w:p>
    <w:p>
      <w:pPr>
        <w:pStyle w:val="ListParagraph"/>
        <w:numPr>
          <w:ilvl w:val="0"/>
          <w:numId w:val="1"/>
        </w:numPr>
        <w:spacing w:lineRule="exact" w:line="280" w:before="40" w:after="40"/>
        <w:rPr/>
      </w:pPr>
      <w:r>
        <w:rPr>
          <w:rFonts w:eastAsia="Arial" w:cs="Arial"/>
          <w:b/>
          <w:bCs/>
          <w:color w:val="1A1A1A"/>
          <w:sz w:val="22"/>
          <w:szCs w:val="22"/>
        </w:rPr>
        <w:t xml:space="preserve">Informed (I): </w:t>
      </w:r>
      <w:r>
        <w:rPr>
          <w:rFonts w:eastAsia="Arial" w:cs="Arial"/>
          <w:color w:val="1A1A1A"/>
          <w:sz w:val="22"/>
          <w:szCs w:val="22"/>
        </w:rPr>
        <w:t>one-way communication after the activity is performed or completed.</w:t>
      </w:r>
    </w:p>
    <w:p>
      <w:pPr>
        <w:pStyle w:val="Heading1"/>
        <w:spacing w:before="360" w:after="180"/>
        <w:rPr/>
      </w:pPr>
      <w:r>
        <w:rPr>
          <w:rFonts w:eastAsia="Arial" w:cs="Arial" w:ascii="Arial" w:hAnsi="Arial"/>
          <w:b/>
          <w:bCs/>
          <w:color w:val="0000FF"/>
          <w:sz w:val="36"/>
          <w:szCs w:val="36"/>
        </w:rPr>
        <w:t>4. RACI Convention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activity in the matrices below has exactly one Accountable (A).</w:t>
      </w:r>
    </w:p>
    <w:p>
      <w:pPr>
        <w:pStyle w:val="ListParagraph"/>
        <w:numPr>
          <w:ilvl w:val="0"/>
          <w:numId w:val="1"/>
        </w:numPr>
        <w:spacing w:lineRule="exact" w:line="280" w:before="40" w:after="40"/>
        <w:rPr/>
      </w:pPr>
      <w:r>
        <w:rPr>
          <w:rFonts w:eastAsia="Arial" w:cs="Arial"/>
          <w:color w:val="1A1A1A"/>
          <w:sz w:val="22"/>
          <w:szCs w:val="22"/>
        </w:rPr>
        <w:t>Multiple Responsible (R) are permitted where work is genuinely shared.</w:t>
      </w:r>
    </w:p>
    <w:p>
      <w:pPr>
        <w:pStyle w:val="ListParagraph"/>
        <w:numPr>
          <w:ilvl w:val="0"/>
          <w:numId w:val="1"/>
        </w:numPr>
        <w:spacing w:lineRule="exact" w:line="280" w:before="40" w:after="40"/>
        <w:rPr/>
      </w:pPr>
      <w:r>
        <w:rPr>
          <w:rFonts w:eastAsia="Arial" w:cs="Arial"/>
          <w:color w:val="1A1A1A"/>
          <w:sz w:val="22"/>
          <w:szCs w:val="22"/>
        </w:rPr>
        <w:t>A role may be both R and A for the same activity.</w:t>
      </w:r>
    </w:p>
    <w:p>
      <w:pPr>
        <w:pStyle w:val="ListParagraph"/>
        <w:numPr>
          <w:ilvl w:val="0"/>
          <w:numId w:val="1"/>
        </w:numPr>
        <w:spacing w:lineRule="exact" w:line="280" w:before="40" w:after="40"/>
        <w:rPr/>
      </w:pPr>
      <w:r>
        <w:rPr>
          <w:rFonts w:eastAsia="Arial" w:cs="Arial"/>
          <w:color w:val="1A1A1A"/>
          <w:sz w:val="22"/>
          <w:szCs w:val="22"/>
        </w:rPr>
        <w:t>Empty cells indicate the role has no assigned RACI for that activity.</w:t>
      </w:r>
    </w:p>
    <w:p>
      <w:pPr>
        <w:pStyle w:val="Heading1"/>
        <w:spacing w:before="360" w:after="180"/>
        <w:rPr/>
      </w:pPr>
      <w:r>
        <w:rPr>
          <w:rFonts w:eastAsia="Arial" w:cs="Arial" w:ascii="Arial" w:hAnsi="Arial"/>
          <w:b/>
          <w:bCs/>
          <w:color w:val="0000FF"/>
          <w:sz w:val="36"/>
          <w:szCs w:val="36"/>
        </w:rPr>
        <w:t>5. ISMS Roles at Cloudax</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principal roles relevant to the Cloudax ISMS are summarised below. Note that several roles are combined in single individuals at Cloudax’s current size; this document records role accountabilities, not headcount.</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ROLE</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PRINCIPAL ACCOUNTABILITIES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Chief Executive Officer (CEO)</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Ultimate accountability for the ISMS. Approves POL-001, ISMS-SOA-001, ISMS-OBJ-001, and all top-level ISMS documents. Accepts Critical residual risk.</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Chief Technology Officer (CTO)</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Owns the technical implementation of controls in the Cloudax platform. Owns PLAN-DRP-001, secure development (POL-024), configuration (POL-015), network (POL-022).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Information Security Manager (ISM)</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Day-to-day ownership of the ISMS, the policy framework, risk management, supplier security, audit, incident response, and management review preparation.</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Privacy Lead</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Compliance with UK GDPR and the DPA 2018. Owns POL-010, REG-ROPA-001, REG-DPIA-001, and the Privacy aspects of incident response.</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Engineering Lead(s)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Within engineering, accountability for the SDLC, code review, deployment, and runbooks. Often combined with the CTO role at Cloudax.</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Customer-facing Lead(s)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Accountability for customer-facing operations, including customer notification during incidents and the handling of customer support requests involving customer data.</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Line Managers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Ensure team members understand and comply with the ISMS; complete required training; report concerns; participate in JML processes.</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All personnel</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Comply with policies; complete training; report events and weaknesses; safeguard credentials and customer data.</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Internal Auditor (PROG-AUDIT-001)</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Independent audit of the ISMS in accordance with the audit programme. Where in-house resource is insufficient, an external party may be engaged.</w:t>
            </w:r>
          </w:p>
        </w:tc>
      </w:tr>
    </w:tbl>
    <w:p>
      <w:pPr>
        <w:pStyle w:val="Heading1"/>
        <w:spacing w:before="360" w:after="180"/>
        <w:rPr/>
      </w:pPr>
      <w:r>
        <w:rPr>
          <w:rFonts w:eastAsia="Arial" w:cs="Arial" w:ascii="Arial" w:hAnsi="Arial"/>
          <w:b/>
          <w:bCs/>
          <w:color w:val="0000FF"/>
          <w:sz w:val="36"/>
          <w:szCs w:val="36"/>
        </w:rPr>
        <w:t>6. Working with a Small Team</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with a small team where ISMS roles are typically combined in single individuals. To preserve effective separation:</w:t>
      </w:r>
    </w:p>
    <w:p>
      <w:pPr>
        <w:pStyle w:val="ListParagraph"/>
        <w:numPr>
          <w:ilvl w:val="0"/>
          <w:numId w:val="1"/>
        </w:numPr>
        <w:spacing w:lineRule="exact" w:line="280" w:before="40" w:after="40"/>
        <w:rPr/>
      </w:pPr>
      <w:r>
        <w:rPr>
          <w:rFonts w:eastAsia="Arial" w:cs="Arial"/>
          <w:color w:val="1A1A1A"/>
          <w:sz w:val="22"/>
          <w:szCs w:val="22"/>
        </w:rPr>
        <w:t>The CEO retains ultimate accountability for the ISMS but does not hold day-to-day operational ISMS responsibility.</w:t>
      </w:r>
    </w:p>
    <w:p>
      <w:pPr>
        <w:pStyle w:val="ListParagraph"/>
        <w:numPr>
          <w:ilvl w:val="0"/>
          <w:numId w:val="1"/>
        </w:numPr>
        <w:spacing w:lineRule="exact" w:line="280" w:before="40" w:after="40"/>
        <w:rPr/>
      </w:pPr>
      <w:r>
        <w:rPr>
          <w:rFonts w:eastAsia="Arial" w:cs="Arial"/>
          <w:color w:val="1A1A1A"/>
          <w:sz w:val="22"/>
          <w:szCs w:val="22"/>
        </w:rPr>
        <w:t>The Information Security Manager and the Chief Technology Officer are distinct roles, even where one person performs both functions, and acts in the relevant capacity for each activity.</w:t>
      </w:r>
    </w:p>
    <w:p>
      <w:pPr>
        <w:pStyle w:val="ListParagraph"/>
        <w:numPr>
          <w:ilvl w:val="0"/>
          <w:numId w:val="1"/>
        </w:numPr>
        <w:spacing w:lineRule="exact" w:line="280" w:before="40" w:after="40"/>
        <w:rPr/>
      </w:pPr>
      <w:r>
        <w:rPr>
          <w:rFonts w:eastAsia="Arial" w:cs="Arial"/>
          <w:color w:val="1A1A1A"/>
          <w:sz w:val="22"/>
          <w:szCs w:val="22"/>
        </w:rPr>
        <w:t>Where two-person review is required (e.g. code review, change approval, access grants), it is performed by a person other than the originator regardless of which roles each holds.</w:t>
      </w:r>
    </w:p>
    <w:p>
      <w:pPr>
        <w:pStyle w:val="ListParagraph"/>
        <w:numPr>
          <w:ilvl w:val="0"/>
          <w:numId w:val="1"/>
        </w:numPr>
        <w:spacing w:lineRule="exact" w:line="280" w:before="40" w:after="40"/>
        <w:rPr/>
      </w:pPr>
      <w:r>
        <w:rPr>
          <w:rFonts w:eastAsia="Arial" w:cs="Arial"/>
          <w:color w:val="1A1A1A"/>
          <w:sz w:val="22"/>
          <w:szCs w:val="22"/>
        </w:rPr>
        <w:t>Where independence is required (e.g. internal audit), an external party is engaged where in-house separation is not feasible.</w:t>
      </w:r>
    </w:p>
    <w:p>
      <w:pPr>
        <w:pStyle w:val="Heading1"/>
        <w:spacing w:before="360" w:after="180"/>
        <w:rPr/>
      </w:pPr>
      <w:r>
        <w:rPr>
          <w:rFonts w:eastAsia="Arial" w:cs="Arial" w:ascii="Arial" w:hAnsi="Arial"/>
          <w:b/>
          <w:bCs/>
          <w:color w:val="0000FF"/>
          <w:sz w:val="36"/>
          <w:szCs w:val="36"/>
        </w:rPr>
        <w:t>7. Segregation of Duties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Segregation of duties is operated under POL-002 Access Control Policy §18. Examples include:</w:t>
      </w:r>
    </w:p>
    <w:p>
      <w:pPr>
        <w:pStyle w:val="ListParagraph"/>
        <w:numPr>
          <w:ilvl w:val="0"/>
          <w:numId w:val="1"/>
        </w:numPr>
        <w:spacing w:lineRule="exact" w:line="280" w:before="40" w:after="40"/>
        <w:rPr/>
      </w:pPr>
      <w:r>
        <w:rPr>
          <w:rFonts w:eastAsia="Arial" w:cs="Arial"/>
          <w:color w:val="1A1A1A"/>
          <w:sz w:val="22"/>
          <w:szCs w:val="22"/>
        </w:rPr>
        <w:t>Code review by a person other than the author before merge to protected branches.</w:t>
      </w:r>
    </w:p>
    <w:p>
      <w:pPr>
        <w:pStyle w:val="ListParagraph"/>
        <w:numPr>
          <w:ilvl w:val="0"/>
          <w:numId w:val="1"/>
        </w:numPr>
        <w:spacing w:lineRule="exact" w:line="280" w:before="40" w:after="40"/>
        <w:rPr/>
      </w:pPr>
      <w:r>
        <w:rPr>
          <w:rFonts w:eastAsia="Arial" w:cs="Arial"/>
          <w:color w:val="1A1A1A"/>
          <w:sz w:val="22"/>
          <w:szCs w:val="22"/>
        </w:rPr>
        <w:t>Production deployment authorisation separate from code authorship.</w:t>
      </w:r>
    </w:p>
    <w:p>
      <w:pPr>
        <w:pStyle w:val="ListParagraph"/>
        <w:numPr>
          <w:ilvl w:val="0"/>
          <w:numId w:val="1"/>
        </w:numPr>
        <w:spacing w:lineRule="exact" w:line="280" w:before="40" w:after="40"/>
        <w:rPr/>
      </w:pPr>
      <w:r>
        <w:rPr>
          <w:rFonts w:eastAsia="Arial" w:cs="Arial"/>
          <w:color w:val="1A1A1A"/>
          <w:sz w:val="22"/>
          <w:szCs w:val="22"/>
        </w:rPr>
        <w:t>Access reviews carried out by a person other than the access grantor.</w:t>
      </w:r>
    </w:p>
    <w:p>
      <w:pPr>
        <w:pStyle w:val="ListParagraph"/>
        <w:numPr>
          <w:ilvl w:val="0"/>
          <w:numId w:val="1"/>
        </w:numPr>
        <w:spacing w:lineRule="exact" w:line="280" w:before="40" w:after="40"/>
        <w:rPr/>
      </w:pPr>
      <w:r>
        <w:rPr>
          <w:rFonts w:eastAsia="Arial" w:cs="Arial"/>
          <w:color w:val="1A1A1A"/>
          <w:sz w:val="22"/>
          <w:szCs w:val="22"/>
        </w:rPr>
        <w:t>Disciplinary investigation by an investigator other than the line manager where conflict of interest exists.</w:t>
      </w:r>
    </w:p>
    <w:p>
      <w:pPr>
        <w:pStyle w:val="Heading1"/>
        <w:spacing w:before="360" w:after="180"/>
        <w:rPr/>
      </w:pPr>
      <w:r>
        <w:rPr>
          <w:rFonts w:eastAsia="Arial" w:cs="Arial" w:ascii="Arial" w:hAnsi="Arial"/>
          <w:b/>
          <w:bCs/>
          <w:color w:val="0000FF"/>
          <w:sz w:val="36"/>
          <w:szCs w:val="36"/>
        </w:rPr>
        <w:t>8. RACI Matrices</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8.1 ISMS Governance and Maintenance</w:t>
      </w:r>
    </w:p>
    <w:p>
      <w:pPr>
        <w:pStyle w:val="Normal"/>
        <w:spacing w:before="60" w:after="60"/>
        <w:rPr/>
      </w:pPr>
      <w:r>
        <w:rPr/>
      </w:r>
    </w:p>
    <w:tbl>
      <w:tblPr>
        <w:tblW w:w="8026" w:type="dxa"/>
        <w:jc w:val="start"/>
        <w:tblInd w:w="0" w:type="dxa"/>
        <w:tblLayout w:type="fixed"/>
        <w:tblCellMar>
          <w:top w:w="100" w:type="dxa"/>
          <w:start w:w="140" w:type="dxa"/>
          <w:bottom w:w="100" w:type="dxa"/>
          <w:end w:w="140" w:type="dxa"/>
        </w:tblCellMar>
      </w:tblPr>
      <w:tblGrid>
        <w:gridCol w:w="3000"/>
        <w:gridCol w:w="699"/>
        <w:gridCol w:w="700"/>
        <w:gridCol w:w="700"/>
        <w:gridCol w:w="1000"/>
        <w:gridCol w:w="800"/>
        <w:gridCol w:w="1126"/>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7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ISM</w:t>
            </w:r>
          </w:p>
        </w:tc>
        <w:tc>
          <w:tcPr>
            <w:tcW w:w="1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PRIVACY LEAD</w:t>
            </w:r>
          </w:p>
        </w:tc>
        <w:tc>
          <w:tcPr>
            <w:tcW w:w="8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LINE MGR</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PERSONNEL</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Approve POL-001 and material policy changes</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ISMS-SOA-001</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Approve ISMS-OBJ-001 and the annual objectives</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ISMS-SCOPE-001</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Maintain the policy framework</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Maintain ISMS-MAP-001 / document register</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Resource the ISMS</w:t>
            </w:r>
          </w:p>
        </w:tc>
        <w:tc>
          <w:tcPr>
            <w:tcW w:w="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Communicate the ISMS to personnel</w:t>
            </w:r>
          </w:p>
        </w:tc>
        <w:tc>
          <w:tcPr>
            <w:tcW w:w="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7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8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bl>
    <w:p>
      <w:pPr>
        <w:pStyle w:val="Heading2"/>
        <w:spacing w:before="280" w:after="140"/>
        <w:rPr/>
      </w:pPr>
      <w:r>
        <w:rPr>
          <w:rFonts w:eastAsia="Arial" w:cs="Arial" w:ascii="Arial" w:hAnsi="Arial"/>
          <w:b/>
          <w:bCs/>
          <w:color w:val="0000FF"/>
          <w:sz w:val="28"/>
          <w:szCs w:val="28"/>
        </w:rPr>
        <w:t>8.2 Risk and Treatment</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00"/>
        <w:gridCol w:w="1000"/>
        <w:gridCol w:w="999"/>
        <w:gridCol w:w="1301"/>
        <w:gridCol w:w="1225"/>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ISM</w:t>
            </w:r>
          </w:p>
        </w:tc>
        <w:tc>
          <w:tcPr>
            <w:tcW w:w="13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PRIVACY LEAD</w:t>
            </w:r>
          </w:p>
        </w:tc>
        <w:tc>
          <w:tcPr>
            <w:tcW w:w="12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RISK OWNER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Set risk acceptance criteria (ISMS-RA-001)</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2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Maintain Risk Register (REG-RISK-001)</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2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Identify and analyse risks</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2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risk treatment</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C/A (Critical)</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 (High)</w:t>
            </w:r>
          </w:p>
        </w:tc>
        <w:tc>
          <w:tcPr>
            <w:tcW w:w="1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2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 (Mod / Low)</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Accept residual risk (Critical)</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2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Accept residual risk (High)</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3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2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Maintain ISMS-RTP-001</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3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2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bl>
    <w:p>
      <w:pPr>
        <w:pStyle w:val="Heading2"/>
        <w:spacing w:before="280" w:after="140"/>
        <w:rPr/>
      </w:pPr>
      <w:r>
        <w:rPr>
          <w:rFonts w:eastAsia="Arial" w:cs="Arial" w:ascii="Arial" w:hAnsi="Arial"/>
          <w:b/>
          <w:bCs/>
          <w:color w:val="0000FF"/>
          <w:sz w:val="28"/>
          <w:szCs w:val="28"/>
        </w:rPr>
        <w:t>8.3 Annex A Controls — by Domain</w:t>
      </w:r>
    </w:p>
    <w:p>
      <w:pPr>
        <w:pStyle w:val="Normal"/>
        <w:spacing w:lineRule="exact" w:line="300" w:before="80" w:after="120"/>
        <w:rPr/>
      </w:pPr>
      <w:r>
        <w:rPr>
          <w:rFonts w:eastAsia="Arial" w:cs="Arial"/>
          <w:color w:val="1A1A1A"/>
          <w:sz w:val="22"/>
          <w:szCs w:val="22"/>
        </w:rPr>
        <w:t>This is a high-level view; detailed control ownership is per-policy.</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500"/>
        <w:gridCol w:w="40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DOMAIN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ACCOUNTABLE</w:t>
            </w:r>
          </w:p>
        </w:tc>
        <w:tc>
          <w:tcPr>
            <w:tcW w:w="40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PRINCIPAL OWNER(S)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 Organisational controls (general)</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 (with Privacy Lead for A.5.34)</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 Supplier security (A.5.19–A.5.23)</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ISM</w:t>
            </w:r>
          </w:p>
        </w:tc>
        <w:tc>
          <w:tcPr>
            <w:tcW w:w="4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ISM with CTO for cloud / platform supplier technicalities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 Incident management (A.5.24–A.5.28)</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 (PLAN-IRP-001)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 Continuity (A.5.29–A.5.30)</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CEO</w:t>
            </w:r>
          </w:p>
        </w:tc>
        <w:tc>
          <w:tcPr>
            <w:tcW w:w="4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ISM (PLAN-BCP-001), CTO (PLAN-DRP-001)</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 Compliance (A.5.31–A.5.37)</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 with Privacy Lead for A.5.34</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A.6 People controls</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ISM</w:t>
            </w:r>
          </w:p>
        </w:tc>
        <w:tc>
          <w:tcPr>
            <w:tcW w:w="4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ISM with line managers and HR support</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A.7 Physical controls</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w:t>
            </w:r>
          </w:p>
        </w:tc>
        <w:tc>
          <w:tcPr>
            <w:tcW w:w="40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ISM (workspace operator dependency)</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A.8 Technological controls</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CTO</w:t>
            </w:r>
          </w:p>
        </w:tc>
        <w:tc>
          <w:tcPr>
            <w:tcW w:w="40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CTO with ISM oversight</w:t>
            </w:r>
          </w:p>
        </w:tc>
      </w:tr>
    </w:tbl>
    <w:p>
      <w:pPr>
        <w:pStyle w:val="Heading2"/>
        <w:spacing w:before="280" w:after="140"/>
        <w:rPr/>
      </w:pPr>
      <w:r>
        <w:rPr>
          <w:rFonts w:eastAsia="Arial" w:cs="Arial" w:ascii="Arial" w:hAnsi="Arial"/>
          <w:b/>
          <w:bCs/>
          <w:color w:val="0000FF"/>
          <w:sz w:val="28"/>
          <w:szCs w:val="28"/>
        </w:rPr>
        <w:t>8.4 Incident, Continuity, and Recovery</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ISM</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PRIVACY LEAD</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ON-CALL</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Activate PLAN-IRP-001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Major incident decision-making</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External / customer notification (incidents)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ICO notification (personal data breach)</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Activate PLAN-BCP-001</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Activate PLAN-DRP-001 / failover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Post-incident review</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r>
    </w:tbl>
    <w:p>
      <w:pPr>
        <w:pStyle w:val="Heading2"/>
        <w:spacing w:before="280" w:after="140"/>
        <w:rPr/>
      </w:pPr>
      <w:r>
        <w:rPr>
          <w:rFonts w:eastAsia="Arial" w:cs="Arial" w:ascii="Arial" w:hAnsi="Arial"/>
          <w:b/>
          <w:bCs/>
          <w:color w:val="0000FF"/>
          <w:sz w:val="28"/>
          <w:szCs w:val="28"/>
        </w:rPr>
        <w:t>8.5 Compliance and Audit</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1099"/>
        <w:gridCol w:w="1100"/>
        <w:gridCol w:w="1101"/>
        <w:gridCol w:w="1099"/>
        <w:gridCol w:w="1126"/>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CEO</w:t>
            </w:r>
          </w:p>
        </w:tc>
        <w:tc>
          <w:tcPr>
            <w:tcW w:w="11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CTO</w:t>
            </w:r>
          </w:p>
        </w:tc>
        <w:tc>
          <w:tcPr>
            <w:tcW w:w="11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ISM</w:t>
            </w:r>
          </w:p>
        </w:tc>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PRIVACY LEAD</w:t>
            </w:r>
          </w:p>
        </w:tc>
        <w:tc>
          <w:tcPr>
            <w:tcW w:w="11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INTERNAL AUDITOR</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Maintain PROG-COMP-001 (compliance monitoring)</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Maintain PROG-AUDIT-001 (audit programme)</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Conduct internal audits</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A/R</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Address audit findings (REG-CAR-001)</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Conduct management review (Cl. 9.3)</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1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w:t>
            </w:r>
          </w:p>
        </w:tc>
        <w:tc>
          <w:tcPr>
            <w:tcW w:w="11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Sign off SoA / Annual review</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t>
            </w:r>
          </w:p>
        </w:tc>
        <w:tc>
          <w:tcPr>
            <w:tcW w:w="11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R</w:t>
            </w:r>
          </w:p>
        </w:tc>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w:t>
            </w:r>
          </w:p>
        </w:tc>
        <w:tc>
          <w:tcPr>
            <w:tcW w:w="11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w:t>
            </w:r>
          </w:p>
        </w:tc>
      </w:tr>
    </w:tbl>
    <w:p>
      <w:pPr>
        <w:pStyle w:val="Heading1"/>
        <w:spacing w:before="360" w:after="180"/>
        <w:rPr/>
      </w:pPr>
      <w:r>
        <w:rPr>
          <w:rFonts w:eastAsia="Arial" w:cs="Arial" w:ascii="Arial" w:hAnsi="Arial"/>
          <w:b/>
          <w:bCs/>
          <w:color w:val="0000FF"/>
          <w:sz w:val="36"/>
          <w:szCs w:val="36"/>
        </w:rPr>
        <w:t>9. Authority Levels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Authority for material ISMS decisions is summarised below:</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4500"/>
        <w:gridCol w:w="4525"/>
      </w:tblGrid>
      <w:tr>
        <w:trPr>
          <w:tblHeader w:val="true"/>
        </w:trPr>
        <w:tc>
          <w:tcPr>
            <w:tcW w:w="4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DECISION</w:t>
            </w:r>
          </w:p>
        </w:tc>
        <w:tc>
          <w:tcPr>
            <w:tcW w:w="45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AUTHORITY</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Approve POL-001, ISMS-SCOPE-001, ISMS-SOA-001, ISMS-OBJ-001, RACI</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Executive Officer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subordinate policies (POL-002 to POL-025) and procedures</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Chief Executive Officer</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Accept Critical residual risk</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Executive Officer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Accept High residual risk</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Accept Moderate residual risk</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Risk owner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Authorise activation of PLAN-IRP-001 / PLAN-BCP-001</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 (or CTO/CEO in absence)</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Authorise platform failover under PLAN-DRP-001</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Technology Officer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Approve material change to identity / network / encryption configurations</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ISM consulted; CTO or designate authorises</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Approve new Tier 1 / Tier 2 supplier engagement</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r>
      <w:tr>
        <w:trPr/>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Authorise customer / regulator notification on a major incident</w:t>
            </w:r>
          </w:p>
        </w:tc>
        <w:tc>
          <w:tcPr>
            <w:tcW w:w="45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Chief Executive Officer</w:t>
            </w:r>
          </w:p>
        </w:tc>
      </w:tr>
      <w:tr>
        <w:trPr/>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Sign off internal audit reports and corrective actions</w:t>
            </w:r>
          </w:p>
        </w:tc>
        <w:tc>
          <w:tcPr>
            <w:tcW w:w="45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r>
    </w:tbl>
    <w:p>
      <w:pPr>
        <w:pStyle w:val="Heading1"/>
        <w:spacing w:before="360" w:after="180"/>
        <w:rPr/>
      </w:pPr>
      <w:r>
        <w:rPr>
          <w:rFonts w:eastAsia="Arial" w:cs="Arial" w:ascii="Arial" w:hAnsi="Arial"/>
          <w:b/>
          <w:bCs/>
          <w:color w:val="0000FF"/>
          <w:sz w:val="36"/>
          <w:szCs w:val="36"/>
        </w:rPr>
        <w:t>10.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is reviewed at least annually and on any material change to the Cloudax operating model, the ISMS, or the workforce. Material changes are approved by the Chief Executive Officer and recorded in Annex B.</w:t>
      </w:r>
    </w:p>
    <w:p>
      <w:pPr>
        <w:pStyle w:val="Heading1"/>
        <w:spacing w:before="360" w:after="180"/>
        <w:rPr/>
      </w:pPr>
      <w:r>
        <w:rPr>
          <w:rFonts w:eastAsia="Arial" w:cs="Arial" w:ascii="Arial" w:hAnsi="Arial"/>
          <w:b/>
          <w:bCs/>
          <w:color w:val="0000FF"/>
          <w:sz w:val="36"/>
          <w:szCs w:val="36"/>
        </w:rPr>
        <w:t>11.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document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roles and responsibilities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A.5.4</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Management responsibilities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A.5.3</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Segregation of duties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ISMS-RACI-001 ISMS Roles and RACI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ISMS-RACI-001 ISMS Roles and RACI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2026-04-17T10:16:09Z</dcterms:created>
  <dc:creator>David Stokes</dc:creator>
  <dc:description/>
  <dc:language>en-US</dc:language>
  <cp:lastModifiedBy>David Stokes</cp:lastModifiedBy>
  <dcterms:modified xsi:type="dcterms:W3CDTF">2026-04-17T11:34:09Z</dcterms:modified>
  <cp:revision>1</cp:revision>
  <dc:subject/>
  <dc:title>Cloudax ISMS Roles and RACI</dc:title>
</cp:coreProperties>
</file>

<file path=docProps/custom.xml><?xml version="1.0" encoding="utf-8"?>
<Properties xmlns="http://schemas.openxmlformats.org/officeDocument/2006/custom-properties" xmlns:vt="http://schemas.openxmlformats.org/officeDocument/2006/docPropsVTypes"/>
</file>