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26" w:type="dxa"/>
        <w:jc w:val="start"/>
        <w:tblInd w:w="0" w:type="dxa"/>
        <w:tblLayout w:type="fixed"/>
        <w:tblCellMar>
          <w:top w:w="700" w:type="dxa"/>
          <w:start w:w="600" w:type="dxa"/>
          <w:bottom w:w="700" w:type="dxa"/>
          <w:end w:w="600" w:type="dxa"/>
        </w:tblCellMar>
      </w:tblPr>
      <w:tblGrid>
        <w:gridCol w:w="9026"/>
      </w:tblGrid>
      <w:tr>
        <w:trPr>
          <w:trHeight w:val="3800" w:hRule="atLeast"/>
        </w:trPr>
        <w:tc>
          <w:tcPr>
            <w:tcW w:w="9026" w:type="dxa"/>
            <w:tcBorders/>
            <w:shd w:fill="0000FF" w:val="clear"/>
          </w:tcPr>
          <w:p>
            <w:pPr>
              <w:pStyle w:val="Normal"/>
              <w:spacing w:before="0" w:after="300"/>
              <w:jc w:val="center"/>
              <w:rPr/>
            </w:pPr>
            <w:r>
              <w:rPr/>
              <w:drawing>
                <wp:inline distT="0" distB="0" distL="0" distR="0">
                  <wp:extent cx="1428750" cy="108585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1428750" cy="1085850"/>
                          </a:xfrm>
                          <a:prstGeom prst="rect">
                            <a:avLst/>
                          </a:prstGeom>
                        </pic:spPr>
                      </pic:pic>
                    </a:graphicData>
                  </a:graphic>
                </wp:inline>
              </w:drawing>
            </w:r>
          </w:p>
          <w:p>
            <w:pPr>
              <w:pStyle w:val="Normal"/>
              <w:spacing w:before="0" w:after="180"/>
              <w:jc w:val="center"/>
              <w:rPr/>
            </w:pPr>
            <w:r>
              <w:rPr>
                <w:rFonts w:eastAsia="Arial" w:cs="Arial"/>
                <w:b/>
                <w:bCs/>
                <w:color w:val="FFFFFF"/>
                <w:sz w:val="44"/>
                <w:szCs w:val="44"/>
              </w:rPr>
              <w:t>Breach Notification Procedure</w:t>
            </w:r>
          </w:p>
          <w:p>
            <w:pPr>
              <w:pStyle w:val="Normal"/>
              <w:spacing w:before="0" w:after="40"/>
              <w:jc w:val="center"/>
              <w:rPr/>
            </w:pPr>
            <w:r>
              <w:rPr>
                <w:rFonts w:eastAsia="Arial" w:cs="Arial"/>
                <w:color w:val="FFFFFF"/>
                <w:sz w:val="22"/>
                <w:szCs w:val="22"/>
              </w:rPr>
              <w:t>Information Security Management System</w:t>
            </w:r>
          </w:p>
          <w:p>
            <w:pPr>
              <w:pStyle w:val="Normal"/>
              <w:spacing w:before="0" w:after="0"/>
              <w:jc w:val="center"/>
              <w:rPr/>
            </w:pPr>
            <w:r>
              <w:rPr>
                <w:rFonts w:eastAsia="Arial" w:cs="Arial"/>
                <w:i/>
                <w:iCs/>
                <w:color w:val="FFFFFF"/>
                <w:sz w:val="22"/>
                <w:szCs w:val="22"/>
              </w:rPr>
              <w:t>Conversational AI. Always connected.</w:t>
            </w:r>
          </w:p>
        </w:tc>
      </w:tr>
    </w:tbl>
    <w:p>
      <w:pPr>
        <w:pStyle w:val="Normal"/>
        <w:spacing w:before="60" w:after="60"/>
        <w:rPr/>
      </w:pPr>
      <w:r>
        <w:rPr/>
      </w:r>
    </w:p>
    <w:tbl>
      <w:tblPr>
        <w:tblW w:w="9026" w:type="dxa"/>
        <w:jc w:val="start"/>
        <w:tblInd w:w="0" w:type="dxa"/>
        <w:tblLayout w:type="fixed"/>
        <w:tblCellMar>
          <w:top w:w="140" w:type="dxa"/>
          <w:start w:w="200" w:type="dxa"/>
          <w:bottom w:w="140" w:type="dxa"/>
          <w:end w:w="200" w:type="dxa"/>
        </w:tblCellMar>
      </w:tblPr>
      <w:tblGrid>
        <w:gridCol w:w="4513"/>
        <w:gridCol w:w="4512"/>
      </w:tblGrid>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DOCUMENT ID</w:t>
            </w:r>
          </w:p>
          <w:p>
            <w:pPr>
              <w:pStyle w:val="Normal"/>
              <w:spacing w:before="0" w:after="0"/>
              <w:rPr/>
            </w:pPr>
            <w:r>
              <w:rPr>
                <w:rFonts w:eastAsia="Arial" w:cs="Arial"/>
                <w:color w:val="1A1A1A"/>
                <w:sz w:val="22"/>
                <w:szCs w:val="22"/>
              </w:rPr>
              <w:t>PRO-024</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VERSION</w:t>
            </w:r>
          </w:p>
          <w:p>
            <w:pPr>
              <w:pStyle w:val="Normal"/>
              <w:spacing w:before="0" w:after="0"/>
              <w:rPr/>
            </w:pPr>
            <w:r>
              <w:rPr>
                <w:rFonts w:eastAsia="Arial" w:cs="Arial"/>
                <w:color w:val="1A1A1A"/>
                <w:sz w:val="22"/>
                <w:szCs w:val="22"/>
              </w:rPr>
              <w:t>1.0</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DOCUMENT TITLE</w:t>
            </w:r>
          </w:p>
          <w:p>
            <w:pPr>
              <w:pStyle w:val="Normal"/>
              <w:spacing w:before="0" w:after="0"/>
              <w:rPr/>
            </w:pPr>
            <w:r>
              <w:rPr>
                <w:rFonts w:eastAsia="Arial" w:cs="Arial"/>
                <w:color w:val="1A1A1A"/>
                <w:sz w:val="22"/>
                <w:szCs w:val="22"/>
              </w:rPr>
              <w:t>Breach Notification Procedure</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STATUS</w:t>
            </w:r>
          </w:p>
          <w:p>
            <w:pPr>
              <w:pStyle w:val="Normal"/>
              <w:spacing w:before="0" w:after="0"/>
              <w:rPr/>
            </w:pPr>
            <w:r>
              <w:rPr>
                <w:rFonts w:eastAsia="Arial" w:cs="Arial"/>
                <w:color w:val="1A1A1A"/>
                <w:sz w:val="22"/>
                <w:szCs w:val="22"/>
              </w:rPr>
              <w:t>Approved</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OWNER</w:t>
            </w:r>
          </w:p>
          <w:p>
            <w:pPr>
              <w:pStyle w:val="Normal"/>
              <w:spacing w:before="0" w:after="0"/>
              <w:rPr/>
            </w:pPr>
            <w:r>
              <w:rPr>
                <w:rFonts w:eastAsia="Arial" w:cs="Arial"/>
                <w:color w:val="1A1A1A"/>
                <w:sz w:val="22"/>
                <w:szCs w:val="22"/>
              </w:rPr>
              <w:t>Information Security Manager</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APPROVER</w:t>
            </w:r>
          </w:p>
          <w:p>
            <w:pPr>
              <w:pStyle w:val="Normal"/>
              <w:spacing w:before="0" w:after="0"/>
              <w:rPr/>
            </w:pPr>
            <w:r>
              <w:rPr>
                <w:rFonts w:eastAsia="Arial" w:cs="Arial"/>
                <w:color w:val="1A1A1A"/>
                <w:sz w:val="22"/>
                <w:szCs w:val="22"/>
              </w:rPr>
              <w:t>Chief Executive Officer</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ISSUE DATE</w:t>
            </w:r>
          </w:p>
          <w:p>
            <w:pPr>
              <w:pStyle w:val="Normal"/>
              <w:spacing w:before="0" w:after="0"/>
              <w:rPr/>
            </w:pPr>
            <w:r>
              <w:rPr>
                <w:rFonts w:eastAsia="Arial" w:cs="Arial"/>
                <w:color w:val="1A1A1A"/>
                <w:sz w:val="22"/>
                <w:szCs w:val="22"/>
              </w:rPr>
              <w:t>April 2026</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EFFECTIVE FROM</w:t>
            </w:r>
          </w:p>
          <w:p>
            <w:pPr>
              <w:pStyle w:val="Normal"/>
              <w:spacing w:before="0" w:after="0"/>
              <w:rPr/>
            </w:pPr>
            <w:r>
              <w:rPr>
                <w:rFonts w:eastAsia="Arial" w:cs="Arial"/>
                <w:color w:val="1A1A1A"/>
                <w:sz w:val="22"/>
                <w:szCs w:val="22"/>
              </w:rPr>
              <w:t>April 2026</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NEXT REVIEW</w:t>
            </w:r>
          </w:p>
          <w:p>
            <w:pPr>
              <w:pStyle w:val="Normal"/>
              <w:spacing w:before="0" w:after="0"/>
              <w:rPr/>
            </w:pPr>
            <w:r>
              <w:rPr>
                <w:rFonts w:eastAsia="Arial" w:cs="Arial"/>
                <w:color w:val="1A1A1A"/>
                <w:sz w:val="22"/>
                <w:szCs w:val="22"/>
              </w:rPr>
              <w:t>April 2027</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REVIEW CYCLE</w:t>
            </w:r>
          </w:p>
          <w:p>
            <w:pPr>
              <w:pStyle w:val="Normal"/>
              <w:spacing w:before="0" w:after="0"/>
              <w:rPr/>
            </w:pPr>
            <w:r>
              <w:rPr>
                <w:rFonts w:eastAsia="Arial" w:cs="Arial"/>
                <w:color w:val="1A1A1A"/>
                <w:sz w:val="22"/>
                <w:szCs w:val="22"/>
              </w:rPr>
              <w:t>Annual or on material change</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CLASSIFICATION</w:t>
            </w:r>
          </w:p>
          <w:p>
            <w:pPr>
              <w:pStyle w:val="Normal"/>
              <w:spacing w:before="0" w:after="0"/>
              <w:rPr/>
            </w:pPr>
            <w:r>
              <w:rPr>
                <w:rFonts w:eastAsia="Arial" w:cs="Arial"/>
                <w:color w:val="1A1A1A"/>
                <w:sz w:val="22"/>
                <w:szCs w:val="22"/>
              </w:rPr>
              <w:t>Internal</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DISTRIBUTION</w:t>
            </w:r>
          </w:p>
          <w:p>
            <w:pPr>
              <w:pStyle w:val="Normal"/>
              <w:spacing w:before="0" w:after="0"/>
              <w:rPr/>
            </w:pPr>
            <w:r>
              <w:rPr>
                <w:rFonts w:eastAsia="Arial" w:cs="Arial"/>
                <w:color w:val="1A1A1A"/>
                <w:sz w:val="22"/>
                <w:szCs w:val="22"/>
              </w:rPr>
              <w:t>All personnel; third parties on request</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SoA REFERENCE</w:t>
            </w:r>
          </w:p>
          <w:p>
            <w:pPr>
              <w:pStyle w:val="Normal"/>
              <w:spacing w:before="0" w:after="0"/>
              <w:rPr/>
            </w:pPr>
            <w:r>
              <w:rPr>
                <w:rFonts w:eastAsia="Arial" w:cs="Arial"/>
                <w:color w:val="1A1A1A"/>
                <w:sz w:val="22"/>
                <w:szCs w:val="22"/>
              </w:rPr>
              <w:t>ISMS-SOA-001 v4.0</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ISMS MAP</w:t>
            </w:r>
          </w:p>
          <w:p>
            <w:pPr>
              <w:pStyle w:val="Normal"/>
              <w:spacing w:before="0" w:after="0"/>
              <w:rPr/>
            </w:pPr>
            <w:r>
              <w:rPr>
                <w:rFonts w:eastAsia="Arial" w:cs="Arial"/>
                <w:color w:val="1A1A1A"/>
                <w:sz w:val="22"/>
                <w:szCs w:val="22"/>
              </w:rPr>
              <w:t>ISMS-MAP-001 v1.0</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Contents</w:t>
      </w:r>
    </w:p>
    <w:p>
      <w:pPr>
        <w:pStyle w:val="Normal"/>
        <w:pBdr>
          <w:bottom w:val="single" w:sz="12" w:space="1" w:color="0000FF"/>
        </w:pBdr>
        <w:spacing w:before="0" w:after="200"/>
        <w:rPr/>
      </w:pPr>
      <w:r>
        <w:rPr/>
      </w:r>
    </w:p>
    <w:p>
      <w:pPr>
        <w:pStyle w:val="Normal"/>
        <w:spacing w:before="40" w:after="40"/>
        <w:rPr/>
      </w:pPr>
      <w:r>
        <w:rPr>
          <w:rFonts w:eastAsia="Arial" w:cs="Arial"/>
          <w:color w:val="1A1A1A"/>
          <w:sz w:val="22"/>
          <w:szCs w:val="22"/>
        </w:rPr>
        <w:t>1. Purpose</w:t>
      </w:r>
    </w:p>
    <w:p>
      <w:pPr>
        <w:pStyle w:val="Normal"/>
        <w:spacing w:before="40" w:after="40"/>
        <w:rPr/>
      </w:pPr>
      <w:r>
        <w:rPr>
          <w:rFonts w:eastAsia="Arial" w:cs="Arial"/>
          <w:color w:val="1A1A1A"/>
          <w:sz w:val="22"/>
          <w:szCs w:val="22"/>
        </w:rPr>
        <w:t>2. Scope</w:t>
      </w:r>
    </w:p>
    <w:p>
      <w:pPr>
        <w:pStyle w:val="Normal"/>
        <w:spacing w:before="40" w:after="40"/>
        <w:rPr/>
      </w:pPr>
      <w:r>
        <w:rPr>
          <w:rFonts w:eastAsia="Arial" w:cs="Arial"/>
          <w:color w:val="1A1A1A"/>
          <w:sz w:val="22"/>
          <w:szCs w:val="22"/>
        </w:rPr>
        <w:t>3. Definitions</w:t>
      </w:r>
    </w:p>
    <w:p>
      <w:pPr>
        <w:pStyle w:val="Normal"/>
        <w:spacing w:before="40" w:after="40"/>
        <w:rPr/>
      </w:pPr>
      <w:r>
        <w:rPr>
          <w:rFonts w:eastAsia="Arial" w:cs="Arial"/>
          <w:color w:val="1A1A1A"/>
          <w:sz w:val="22"/>
          <w:szCs w:val="22"/>
        </w:rPr>
        <w:t>4. Roles and Responsibilities</w:t>
      </w:r>
    </w:p>
    <w:p>
      <w:pPr>
        <w:pStyle w:val="Normal"/>
        <w:spacing w:before="40" w:after="40"/>
        <w:rPr/>
      </w:pPr>
      <w:r>
        <w:rPr>
          <w:rFonts w:eastAsia="Arial" w:cs="Arial"/>
          <w:color w:val="1A1A1A"/>
          <w:sz w:val="22"/>
          <w:szCs w:val="22"/>
        </w:rPr>
        <w:t>5. The 72-Hour Clock and Why it Matters</w:t>
      </w:r>
    </w:p>
    <w:p>
      <w:pPr>
        <w:pStyle w:val="Normal"/>
        <w:spacing w:before="40" w:after="40"/>
        <w:rPr/>
      </w:pPr>
      <w:r>
        <w:rPr>
          <w:rFonts w:eastAsia="Arial" w:cs="Arial"/>
          <w:color w:val="1A1A1A"/>
          <w:sz w:val="22"/>
          <w:szCs w:val="22"/>
        </w:rPr>
        <w:t>6. Identifying a Personal Data Breach</w:t>
      </w:r>
    </w:p>
    <w:p>
      <w:pPr>
        <w:pStyle w:val="Normal"/>
        <w:spacing w:before="40" w:after="40"/>
        <w:rPr/>
      </w:pPr>
      <w:r>
        <w:rPr>
          <w:rFonts w:eastAsia="Arial" w:cs="Arial"/>
          <w:color w:val="1A1A1A"/>
          <w:sz w:val="22"/>
          <w:szCs w:val="22"/>
        </w:rPr>
        <w:t>7. Initial Assessment</w:t>
      </w:r>
    </w:p>
    <w:p>
      <w:pPr>
        <w:pStyle w:val="Normal"/>
        <w:spacing w:before="40" w:after="40"/>
        <w:rPr/>
      </w:pPr>
      <w:r>
        <w:rPr>
          <w:rFonts w:eastAsia="Arial" w:cs="Arial"/>
          <w:color w:val="1A1A1A"/>
          <w:sz w:val="22"/>
          <w:szCs w:val="22"/>
        </w:rPr>
        <w:t>8. The Risk Test (Risk to Data Subjects)</w:t>
      </w:r>
    </w:p>
    <w:p>
      <w:pPr>
        <w:pStyle w:val="Normal"/>
        <w:spacing w:before="40" w:after="40"/>
        <w:rPr/>
      </w:pPr>
      <w:r>
        <w:rPr>
          <w:rFonts w:eastAsia="Arial" w:cs="Arial"/>
          <w:color w:val="1A1A1A"/>
          <w:sz w:val="22"/>
          <w:szCs w:val="22"/>
        </w:rPr>
        <w:t>9. Cloudax as Controller — Notification Path</w:t>
      </w:r>
    </w:p>
    <w:p>
      <w:pPr>
        <w:pStyle w:val="Normal"/>
        <w:spacing w:before="40" w:after="40"/>
        <w:rPr/>
      </w:pPr>
      <w:r>
        <w:rPr>
          <w:rFonts w:eastAsia="Arial" w:cs="Arial"/>
          <w:color w:val="1A1A1A"/>
          <w:sz w:val="22"/>
          <w:szCs w:val="22"/>
        </w:rPr>
        <w:t xml:space="preserve">   </w:t>
      </w:r>
      <w:r>
        <w:rPr>
          <w:rFonts w:eastAsia="Arial" w:cs="Arial"/>
          <w:color w:val="1A1A1A"/>
          <w:sz w:val="22"/>
          <w:szCs w:val="22"/>
        </w:rPr>
        <w:t>9.1 ICO Notification</w:t>
      </w:r>
    </w:p>
    <w:p>
      <w:pPr>
        <w:pStyle w:val="Normal"/>
        <w:spacing w:before="40" w:after="40"/>
        <w:rPr/>
      </w:pPr>
      <w:r>
        <w:rPr>
          <w:rFonts w:eastAsia="Arial" w:cs="Arial"/>
          <w:color w:val="1A1A1A"/>
          <w:sz w:val="22"/>
          <w:szCs w:val="22"/>
        </w:rPr>
        <w:t xml:space="preserve">   </w:t>
      </w:r>
      <w:r>
        <w:rPr>
          <w:rFonts w:eastAsia="Arial" w:cs="Arial"/>
          <w:color w:val="1A1A1A"/>
          <w:sz w:val="22"/>
          <w:szCs w:val="22"/>
        </w:rPr>
        <w:t>9.2 Notification to Affected Data Subjects</w:t>
      </w:r>
    </w:p>
    <w:p>
      <w:pPr>
        <w:pStyle w:val="Normal"/>
        <w:spacing w:before="40" w:after="40"/>
        <w:rPr/>
      </w:pPr>
      <w:r>
        <w:rPr>
          <w:rFonts w:eastAsia="Arial" w:cs="Arial"/>
          <w:color w:val="1A1A1A"/>
          <w:sz w:val="22"/>
          <w:szCs w:val="22"/>
        </w:rPr>
        <w:t>10. Cloudax as Processor — Notification Path</w:t>
      </w:r>
    </w:p>
    <w:p>
      <w:pPr>
        <w:pStyle w:val="Normal"/>
        <w:spacing w:before="40" w:after="40"/>
        <w:rPr/>
      </w:pPr>
      <w:r>
        <w:rPr>
          <w:rFonts w:eastAsia="Arial" w:cs="Arial"/>
          <w:color w:val="1A1A1A"/>
          <w:sz w:val="22"/>
          <w:szCs w:val="22"/>
        </w:rPr>
        <w:t>11. Customer Contractual Notification</w:t>
      </w:r>
    </w:p>
    <w:p>
      <w:pPr>
        <w:pStyle w:val="Normal"/>
        <w:spacing w:before="40" w:after="40"/>
        <w:rPr/>
      </w:pPr>
      <w:r>
        <w:rPr>
          <w:rFonts w:eastAsia="Arial" w:cs="Arial"/>
          <w:color w:val="1A1A1A"/>
          <w:sz w:val="22"/>
          <w:szCs w:val="22"/>
        </w:rPr>
        <w:t>12. Other Notifications</w:t>
      </w:r>
    </w:p>
    <w:p>
      <w:pPr>
        <w:pStyle w:val="Normal"/>
        <w:spacing w:before="40" w:after="40"/>
        <w:rPr/>
      </w:pPr>
      <w:r>
        <w:rPr>
          <w:rFonts w:eastAsia="Arial" w:cs="Arial"/>
          <w:color w:val="1A1A1A"/>
          <w:sz w:val="22"/>
          <w:szCs w:val="22"/>
        </w:rPr>
        <w:t>13. Communication Templates</w:t>
      </w:r>
    </w:p>
    <w:p>
      <w:pPr>
        <w:pStyle w:val="Normal"/>
        <w:spacing w:before="40" w:after="40"/>
        <w:rPr/>
      </w:pPr>
      <w:r>
        <w:rPr>
          <w:rFonts w:eastAsia="Arial" w:cs="Arial"/>
          <w:color w:val="1A1A1A"/>
          <w:sz w:val="22"/>
          <w:szCs w:val="22"/>
        </w:rPr>
        <w:t>14. Records and Retention</w:t>
      </w:r>
    </w:p>
    <w:p>
      <w:pPr>
        <w:pStyle w:val="Normal"/>
        <w:spacing w:before="40" w:after="40"/>
        <w:rPr/>
      </w:pPr>
      <w:r>
        <w:rPr>
          <w:rFonts w:eastAsia="Arial" w:cs="Arial"/>
          <w:color w:val="1A1A1A"/>
          <w:sz w:val="22"/>
          <w:szCs w:val="22"/>
        </w:rPr>
        <w:t>15. Coordination with Incident Response</w:t>
      </w:r>
    </w:p>
    <w:p>
      <w:pPr>
        <w:pStyle w:val="Normal"/>
        <w:spacing w:before="40" w:after="40"/>
        <w:rPr/>
      </w:pPr>
      <w:r>
        <w:rPr>
          <w:rFonts w:eastAsia="Arial" w:cs="Arial"/>
          <w:color w:val="1A1A1A"/>
          <w:sz w:val="22"/>
          <w:szCs w:val="22"/>
        </w:rPr>
        <w:t>16. Compliance Monitoring</w:t>
      </w:r>
    </w:p>
    <w:p>
      <w:pPr>
        <w:pStyle w:val="Normal"/>
        <w:spacing w:before="40" w:after="40"/>
        <w:rPr/>
      </w:pPr>
      <w:r>
        <w:rPr>
          <w:rFonts w:eastAsia="Arial" w:cs="Arial"/>
          <w:color w:val="1A1A1A"/>
          <w:sz w:val="22"/>
          <w:szCs w:val="22"/>
        </w:rPr>
        <w:t>17. Maintenance</w:t>
      </w:r>
    </w:p>
    <w:p>
      <w:pPr>
        <w:pStyle w:val="Normal"/>
        <w:spacing w:before="40" w:after="40"/>
        <w:rPr/>
      </w:pPr>
      <w:r>
        <w:rPr>
          <w:rFonts w:eastAsia="Arial" w:cs="Arial"/>
          <w:color w:val="1A1A1A"/>
          <w:sz w:val="22"/>
          <w:szCs w:val="22"/>
        </w:rPr>
        <w:t>18. Acknowledgement</w:t>
      </w:r>
    </w:p>
    <w:p>
      <w:pPr>
        <w:pStyle w:val="Normal"/>
        <w:spacing w:before="40" w:after="40"/>
        <w:rPr/>
      </w:pPr>
      <w:r>
        <w:rPr>
          <w:rFonts w:eastAsia="Arial" w:cs="Arial"/>
          <w:color w:val="1A1A1A"/>
          <w:sz w:val="22"/>
          <w:szCs w:val="22"/>
        </w:rPr>
        <w:t>Annex A — Annex A Controls Addressed</w:t>
      </w:r>
    </w:p>
    <w:p>
      <w:pPr>
        <w:pStyle w:val="Normal"/>
        <w:spacing w:before="40" w:after="40"/>
        <w:rPr/>
      </w:pPr>
      <w:r>
        <w:rPr>
          <w:rFonts w:eastAsia="Arial" w:cs="Arial"/>
          <w:color w:val="1A1A1A"/>
          <w:sz w:val="22"/>
          <w:szCs w:val="22"/>
        </w:rPr>
        <w:t>Annex B — Version History</w:t>
      </w:r>
    </w:p>
    <w:p>
      <w:pPr>
        <w:pStyle w:val="Normal"/>
        <w:rPr/>
      </w:pPr>
      <w:r>
        <w:rPr/>
      </w:r>
      <w:r>
        <w:br w:type="page"/>
      </w:r>
    </w:p>
    <w:p>
      <w:pPr>
        <w:pStyle w:val="Heading1"/>
        <w:spacing w:before="0" w:after="180"/>
        <w:rPr/>
      </w:pPr>
      <w:r>
        <w:rPr>
          <w:rFonts w:eastAsia="Arial" w:cs="Arial" w:ascii="Arial" w:hAnsi="Arial"/>
          <w:b/>
          <w:bCs/>
          <w:color w:val="0000FF"/>
          <w:sz w:val="36"/>
          <w:szCs w:val="36"/>
        </w:rPr>
        <w:t>1. Purpose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Procedure defines how Cloudax Ltd. assesses and notifies personal data breaches in accordance with Articles 33 and 34 of the UK GDPR. It supports POL-010 Privacy Policy and PLAN-IRP-001 Incident Response Plan.</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Linked controls: A.5.5 Contact with authorities; A.5.34 Privacy and protection of PII; Articles 33 and 34 UK GDPR</w:t>
      </w:r>
    </w:p>
    <w:p>
      <w:pPr>
        <w:pStyle w:val="Heading1"/>
        <w:spacing w:before="360" w:after="180"/>
        <w:rPr/>
      </w:pPr>
      <w:r>
        <w:rPr>
          <w:rFonts w:eastAsia="Arial" w:cs="Arial" w:ascii="Arial" w:hAnsi="Arial"/>
          <w:b/>
          <w:bCs/>
          <w:color w:val="0000FF"/>
          <w:sz w:val="36"/>
          <w:szCs w:val="36"/>
        </w:rPr>
        <w:t>2. Scope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Procedure applies to all personal data breaches affecting personal data processed by Cloudax in any role under the UK GDPR.</w:t>
      </w:r>
    </w:p>
    <w:p>
      <w:pPr>
        <w:pStyle w:val="Heading1"/>
        <w:spacing w:before="360" w:after="180"/>
        <w:rPr/>
      </w:pPr>
      <w:r>
        <w:rPr>
          <w:rFonts w:eastAsia="Arial" w:cs="Arial" w:ascii="Arial" w:hAnsi="Arial"/>
          <w:b/>
          <w:bCs/>
          <w:color w:val="0000FF"/>
          <w:sz w:val="36"/>
          <w:szCs w:val="36"/>
        </w:rPr>
        <w:t>3. Definitions</w:t>
      </w:r>
    </w:p>
    <w:p>
      <w:pPr>
        <w:pStyle w:val="Normal"/>
        <w:pBdr>
          <w:bottom w:val="single" w:sz="12" w:space="1" w:color="0000FF"/>
        </w:pBdr>
        <w:spacing w:before="0" w:after="200"/>
        <w:rPr/>
      </w:pPr>
      <w:r>
        <w:rPr/>
      </w:r>
    </w:p>
    <w:p>
      <w:pPr>
        <w:pStyle w:val="ListParagraph"/>
        <w:numPr>
          <w:ilvl w:val="0"/>
          <w:numId w:val="3"/>
        </w:numPr>
        <w:spacing w:lineRule="exact" w:line="280" w:before="40" w:after="40"/>
        <w:rPr/>
      </w:pPr>
      <w:r>
        <w:rPr>
          <w:rFonts w:eastAsia="Arial" w:cs="Arial"/>
          <w:b/>
          <w:bCs/>
          <w:color w:val="1A1A1A"/>
          <w:sz w:val="22"/>
          <w:szCs w:val="22"/>
        </w:rPr>
        <w:t xml:space="preserve">Personal data breach: </w:t>
      </w:r>
      <w:r>
        <w:rPr>
          <w:rFonts w:eastAsia="Arial" w:cs="Arial"/>
          <w:color w:val="1A1A1A"/>
          <w:sz w:val="22"/>
          <w:szCs w:val="22"/>
        </w:rPr>
        <w:t>a breach of security leading to the accidental or unlawful destruction, loss, alteration, unauthorised disclosure of, or access to, personal data transmitted, stored, or otherwise processed.</w:t>
      </w:r>
    </w:p>
    <w:p>
      <w:pPr>
        <w:pStyle w:val="ListParagraph"/>
        <w:numPr>
          <w:ilvl w:val="0"/>
          <w:numId w:val="1"/>
        </w:numPr>
        <w:spacing w:lineRule="exact" w:line="280" w:before="40" w:after="40"/>
        <w:rPr/>
      </w:pPr>
      <w:r>
        <w:rPr>
          <w:rFonts w:eastAsia="Arial" w:cs="Arial"/>
          <w:b/>
          <w:bCs/>
          <w:color w:val="1A1A1A"/>
          <w:sz w:val="22"/>
          <w:szCs w:val="22"/>
        </w:rPr>
        <w:t xml:space="preserve">Confidentiality breach: </w:t>
      </w:r>
      <w:r>
        <w:rPr>
          <w:rFonts w:eastAsia="Arial" w:cs="Arial"/>
          <w:color w:val="1A1A1A"/>
          <w:sz w:val="22"/>
          <w:szCs w:val="22"/>
        </w:rPr>
        <w:t>unauthorised or accidental disclosure of, or access to, personal data.</w:t>
      </w:r>
    </w:p>
    <w:p>
      <w:pPr>
        <w:pStyle w:val="ListParagraph"/>
        <w:numPr>
          <w:ilvl w:val="0"/>
          <w:numId w:val="1"/>
        </w:numPr>
        <w:spacing w:lineRule="exact" w:line="280" w:before="40" w:after="40"/>
        <w:rPr/>
      </w:pPr>
      <w:r>
        <w:rPr>
          <w:rFonts w:eastAsia="Arial" w:cs="Arial"/>
          <w:b/>
          <w:bCs/>
          <w:color w:val="1A1A1A"/>
          <w:sz w:val="22"/>
          <w:szCs w:val="22"/>
        </w:rPr>
        <w:t xml:space="preserve">Integrity breach: </w:t>
      </w:r>
      <w:r>
        <w:rPr>
          <w:rFonts w:eastAsia="Arial" w:cs="Arial"/>
          <w:color w:val="1A1A1A"/>
          <w:sz w:val="22"/>
          <w:szCs w:val="22"/>
        </w:rPr>
        <w:t>unauthorised or accidental alteration of personal data.</w:t>
      </w:r>
    </w:p>
    <w:p>
      <w:pPr>
        <w:pStyle w:val="ListParagraph"/>
        <w:numPr>
          <w:ilvl w:val="0"/>
          <w:numId w:val="1"/>
        </w:numPr>
        <w:spacing w:lineRule="exact" w:line="280" w:before="40" w:after="40"/>
        <w:rPr/>
      </w:pPr>
      <w:r>
        <w:rPr>
          <w:rFonts w:eastAsia="Arial" w:cs="Arial"/>
          <w:b/>
          <w:bCs/>
          <w:color w:val="1A1A1A"/>
          <w:sz w:val="22"/>
          <w:szCs w:val="22"/>
        </w:rPr>
        <w:t xml:space="preserve">Availability breach: </w:t>
      </w:r>
      <w:r>
        <w:rPr>
          <w:rFonts w:eastAsia="Arial" w:cs="Arial"/>
          <w:color w:val="1A1A1A"/>
          <w:sz w:val="22"/>
          <w:szCs w:val="22"/>
        </w:rPr>
        <w:t>accidental or unauthorised loss of access to, or destruction of, personal data.</w:t>
      </w:r>
    </w:p>
    <w:p>
      <w:pPr>
        <w:pStyle w:val="Heading1"/>
        <w:spacing w:before="360" w:after="180"/>
        <w:rPr/>
      </w:pPr>
      <w:r>
        <w:rPr>
          <w:rFonts w:eastAsia="Arial" w:cs="Arial" w:ascii="Arial" w:hAnsi="Arial"/>
          <w:b/>
          <w:bCs/>
          <w:color w:val="0000FF"/>
          <w:sz w:val="36"/>
          <w:szCs w:val="36"/>
        </w:rPr>
        <w:t>4. Roles and Responsibilities</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Privacy Lead: owns this Procedure; leads breach assessment and ICO engagement; signs off notifications.</w:t>
      </w:r>
    </w:p>
    <w:p>
      <w:pPr>
        <w:pStyle w:val="ListParagraph"/>
        <w:numPr>
          <w:ilvl w:val="0"/>
          <w:numId w:val="1"/>
        </w:numPr>
        <w:spacing w:lineRule="exact" w:line="280" w:before="40" w:after="40"/>
        <w:rPr/>
      </w:pPr>
      <w:r>
        <w:rPr>
          <w:rFonts w:eastAsia="Arial" w:cs="Arial"/>
          <w:color w:val="1A1A1A"/>
          <w:sz w:val="22"/>
          <w:szCs w:val="22"/>
        </w:rPr>
        <w:t>Information Security Manager: incident response coordination under PLAN-IRP-001; provides forensic evidence.</w:t>
      </w:r>
    </w:p>
    <w:p>
      <w:pPr>
        <w:pStyle w:val="ListParagraph"/>
        <w:numPr>
          <w:ilvl w:val="0"/>
          <w:numId w:val="1"/>
        </w:numPr>
        <w:spacing w:lineRule="exact" w:line="280" w:before="40" w:after="40"/>
        <w:rPr/>
      </w:pPr>
      <w:r>
        <w:rPr>
          <w:rFonts w:eastAsia="Arial" w:cs="Arial"/>
          <w:color w:val="1A1A1A"/>
          <w:sz w:val="22"/>
          <w:szCs w:val="22"/>
        </w:rPr>
        <w:t>Chief Executive Officer: approves customer-facing communications and any settlement-relevant decisions.</w:t>
      </w:r>
    </w:p>
    <w:p>
      <w:pPr>
        <w:pStyle w:val="ListParagraph"/>
        <w:numPr>
          <w:ilvl w:val="0"/>
          <w:numId w:val="1"/>
        </w:numPr>
        <w:spacing w:lineRule="exact" w:line="280" w:before="40" w:after="40"/>
        <w:rPr/>
      </w:pPr>
      <w:r>
        <w:rPr>
          <w:rFonts w:eastAsia="Arial" w:cs="Arial"/>
          <w:color w:val="1A1A1A"/>
          <w:sz w:val="22"/>
          <w:szCs w:val="22"/>
        </w:rPr>
        <w:t>Customer-facing leads: coordinate customer notification where Cloudax acts as processor.</w:t>
      </w:r>
    </w:p>
    <w:p>
      <w:pPr>
        <w:pStyle w:val="ListParagraph"/>
        <w:numPr>
          <w:ilvl w:val="0"/>
          <w:numId w:val="1"/>
        </w:numPr>
        <w:spacing w:lineRule="exact" w:line="280" w:before="40" w:after="40"/>
        <w:rPr/>
      </w:pPr>
      <w:r>
        <w:rPr>
          <w:rFonts w:eastAsia="Arial" w:cs="Arial"/>
          <w:color w:val="1A1A1A"/>
          <w:sz w:val="22"/>
          <w:szCs w:val="22"/>
        </w:rPr>
        <w:t>All personnel: report any suspected personal data breach immediately under PRO-027.</w:t>
      </w:r>
    </w:p>
    <w:p>
      <w:pPr>
        <w:pStyle w:val="Heading1"/>
        <w:spacing w:before="360" w:after="180"/>
        <w:rPr/>
      </w:pPr>
      <w:r>
        <w:rPr>
          <w:rFonts w:eastAsia="Arial" w:cs="Arial" w:ascii="Arial" w:hAnsi="Arial"/>
          <w:b/>
          <w:bCs/>
          <w:color w:val="0000FF"/>
          <w:sz w:val="36"/>
          <w:szCs w:val="36"/>
        </w:rPr>
        <w:t>5. The 72-Hour Clock and Why it Matters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Article 33 UK GDPR requires a controller to notify the ICO of a notifiable breach ‘without undue delay and, where feasible, not later than 72 hours after having become aware of it’.</w:t>
      </w:r>
    </w:p>
    <w:p>
      <w:pPr>
        <w:pStyle w:val="Normal"/>
        <w:spacing w:lineRule="exact" w:line="300" w:before="80" w:after="120"/>
        <w:rPr/>
      </w:pPr>
      <w:r>
        <w:rPr>
          <w:rFonts w:eastAsia="Arial" w:cs="Arial"/>
          <w:color w:val="1A1A1A"/>
          <w:sz w:val="22"/>
          <w:szCs w:val="22"/>
        </w:rPr>
        <w:t>‘</w:t>
      </w:r>
      <w:r>
        <w:rPr>
          <w:rFonts w:eastAsia="Arial" w:cs="Arial"/>
          <w:color w:val="1A1A1A"/>
          <w:sz w:val="22"/>
          <w:szCs w:val="22"/>
        </w:rPr>
        <w:t>Becoming aware’ begins when the controller has a reasonable degree of certainty that a security incident has occurred which has led to personal data being compromised. Initial investigation forming part of ‘awareness’ should itself be without undue delay.</w:t>
      </w:r>
    </w:p>
    <w:p>
      <w:pPr>
        <w:pStyle w:val="Normal"/>
        <w:spacing w:lineRule="exact" w:line="300" w:before="80" w:after="120"/>
        <w:rPr/>
      </w:pPr>
      <w:r>
        <w:rPr>
          <w:rFonts w:eastAsia="Arial" w:cs="Arial"/>
          <w:color w:val="1A1A1A"/>
          <w:sz w:val="22"/>
          <w:szCs w:val="22"/>
        </w:rPr>
        <w:t>Where Cloudax is processor, the obligation is to notify the controller (the customer) without undue delay after becoming aware. Customer DPAs commonly impose explicit timeframes (e.g. ‘within 24 hours’); these contractual timeframes apply in addition.</w:t>
      </w:r>
    </w:p>
    <w:p>
      <w:pPr>
        <w:pStyle w:val="Heading1"/>
        <w:spacing w:before="360" w:after="180"/>
        <w:rPr/>
      </w:pPr>
      <w:r>
        <w:rPr>
          <w:rFonts w:eastAsia="Arial" w:cs="Arial" w:ascii="Arial" w:hAnsi="Arial"/>
          <w:b/>
          <w:bCs/>
          <w:color w:val="0000FF"/>
          <w:sz w:val="36"/>
          <w:szCs w:val="36"/>
        </w:rPr>
        <w:t>6. Identifying a Personal Data Breach</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Examples of personal data breach include:</w:t>
      </w:r>
    </w:p>
    <w:p>
      <w:pPr>
        <w:pStyle w:val="ListParagraph"/>
        <w:numPr>
          <w:ilvl w:val="0"/>
          <w:numId w:val="1"/>
        </w:numPr>
        <w:spacing w:lineRule="exact" w:line="280" w:before="40" w:after="40"/>
        <w:rPr/>
      </w:pPr>
      <w:r>
        <w:rPr>
          <w:rFonts w:eastAsia="Arial" w:cs="Arial"/>
          <w:color w:val="1A1A1A"/>
          <w:sz w:val="22"/>
          <w:szCs w:val="22"/>
        </w:rPr>
        <w:t>Loss or theft of a device, paper record, or storage medium containing personal data.</w:t>
      </w:r>
    </w:p>
    <w:p>
      <w:pPr>
        <w:pStyle w:val="ListParagraph"/>
        <w:numPr>
          <w:ilvl w:val="0"/>
          <w:numId w:val="1"/>
        </w:numPr>
        <w:spacing w:lineRule="exact" w:line="280" w:before="40" w:after="40"/>
        <w:rPr/>
      </w:pPr>
      <w:r>
        <w:rPr>
          <w:rFonts w:eastAsia="Arial" w:cs="Arial"/>
          <w:color w:val="1A1A1A"/>
          <w:sz w:val="22"/>
          <w:szCs w:val="22"/>
        </w:rPr>
        <w:t>Unauthorised access to personal data through compromised credentials or vulnerable systems.</w:t>
      </w:r>
    </w:p>
    <w:p>
      <w:pPr>
        <w:pStyle w:val="ListParagraph"/>
        <w:numPr>
          <w:ilvl w:val="0"/>
          <w:numId w:val="1"/>
        </w:numPr>
        <w:spacing w:lineRule="exact" w:line="280" w:before="40" w:after="40"/>
        <w:rPr/>
      </w:pPr>
      <w:r>
        <w:rPr>
          <w:rFonts w:eastAsia="Arial" w:cs="Arial"/>
          <w:color w:val="1A1A1A"/>
          <w:sz w:val="22"/>
          <w:szCs w:val="22"/>
        </w:rPr>
        <w:t>Misdirected emails, files, or messages containing personal data.</w:t>
      </w:r>
    </w:p>
    <w:p>
      <w:pPr>
        <w:pStyle w:val="ListParagraph"/>
        <w:numPr>
          <w:ilvl w:val="0"/>
          <w:numId w:val="1"/>
        </w:numPr>
        <w:spacing w:lineRule="exact" w:line="280" w:before="40" w:after="40"/>
        <w:rPr/>
      </w:pPr>
      <w:r>
        <w:rPr>
          <w:rFonts w:eastAsia="Arial" w:cs="Arial"/>
          <w:color w:val="1A1A1A"/>
          <w:sz w:val="22"/>
          <w:szCs w:val="22"/>
        </w:rPr>
        <w:t>Disclosure of personal data to a wrong recipient.</w:t>
      </w:r>
    </w:p>
    <w:p>
      <w:pPr>
        <w:pStyle w:val="ListParagraph"/>
        <w:numPr>
          <w:ilvl w:val="0"/>
          <w:numId w:val="1"/>
        </w:numPr>
        <w:spacing w:lineRule="exact" w:line="280" w:before="40" w:after="40"/>
        <w:rPr/>
      </w:pPr>
      <w:r>
        <w:rPr>
          <w:rFonts w:eastAsia="Arial" w:cs="Arial"/>
          <w:color w:val="1A1A1A"/>
          <w:sz w:val="22"/>
          <w:szCs w:val="22"/>
        </w:rPr>
        <w:t>Unauthorised modification or deletion of personal data.</w:t>
      </w:r>
    </w:p>
    <w:p>
      <w:pPr>
        <w:pStyle w:val="ListParagraph"/>
        <w:numPr>
          <w:ilvl w:val="0"/>
          <w:numId w:val="1"/>
        </w:numPr>
        <w:spacing w:lineRule="exact" w:line="280" w:before="40" w:after="40"/>
        <w:rPr/>
      </w:pPr>
      <w:r>
        <w:rPr>
          <w:rFonts w:eastAsia="Arial" w:cs="Arial"/>
          <w:color w:val="1A1A1A"/>
          <w:sz w:val="22"/>
          <w:szCs w:val="22"/>
        </w:rPr>
        <w:t>Loss of access to personal data (e.g. ransomware where personal data was encrypted).</w:t>
      </w:r>
    </w:p>
    <w:p>
      <w:pPr>
        <w:pStyle w:val="ListParagraph"/>
        <w:numPr>
          <w:ilvl w:val="0"/>
          <w:numId w:val="1"/>
        </w:numPr>
        <w:spacing w:lineRule="exact" w:line="280" w:before="40" w:after="40"/>
        <w:rPr/>
      </w:pPr>
      <w:r>
        <w:rPr>
          <w:rFonts w:eastAsia="Arial" w:cs="Arial"/>
          <w:color w:val="1A1A1A"/>
          <w:sz w:val="22"/>
          <w:szCs w:val="22"/>
        </w:rPr>
        <w:t>Disclosure resulting from social engineering.</w:t>
      </w:r>
    </w:p>
    <w:p>
      <w:pPr>
        <w:pStyle w:val="Normal"/>
        <w:spacing w:lineRule="exact" w:line="300" w:before="80" w:after="120"/>
        <w:rPr/>
      </w:pPr>
      <w:r>
        <w:rPr>
          <w:rFonts w:eastAsia="Arial" w:cs="Arial"/>
          <w:color w:val="1A1A1A"/>
          <w:sz w:val="22"/>
          <w:szCs w:val="22"/>
        </w:rPr>
        <w:t>Reports are received through PRO-027 Event Reporting Procedure or  monitoring.</w:t>
      </w:r>
    </w:p>
    <w:p>
      <w:pPr>
        <w:pStyle w:val="Heading1"/>
        <w:spacing w:before="360" w:after="180"/>
        <w:rPr/>
      </w:pPr>
      <w:r>
        <w:rPr>
          <w:rFonts w:eastAsia="Arial" w:cs="Arial" w:ascii="Arial" w:hAnsi="Arial"/>
          <w:b/>
          <w:bCs/>
          <w:color w:val="0000FF"/>
          <w:sz w:val="36"/>
          <w:szCs w:val="36"/>
        </w:rPr>
        <w:t>7. Initial Assessment</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On receipt of a suspected breach, the Privacy Lead and Information Security Manager perform an initial assessment to confirm:</w:t>
      </w:r>
    </w:p>
    <w:p>
      <w:pPr>
        <w:pStyle w:val="ListParagraph"/>
        <w:numPr>
          <w:ilvl w:val="0"/>
          <w:numId w:val="1"/>
        </w:numPr>
        <w:spacing w:lineRule="exact" w:line="280" w:before="40" w:after="40"/>
        <w:rPr/>
      </w:pPr>
      <w:r>
        <w:rPr>
          <w:rFonts w:eastAsia="Arial" w:cs="Arial"/>
          <w:color w:val="1A1A1A"/>
          <w:sz w:val="22"/>
          <w:szCs w:val="22"/>
        </w:rPr>
        <w:t>Whether a personal data breach has occurred.</w:t>
      </w:r>
    </w:p>
    <w:p>
      <w:pPr>
        <w:pStyle w:val="ListParagraph"/>
        <w:numPr>
          <w:ilvl w:val="0"/>
          <w:numId w:val="1"/>
        </w:numPr>
        <w:spacing w:lineRule="exact" w:line="280" w:before="40" w:after="40"/>
        <w:rPr/>
      </w:pPr>
      <w:r>
        <w:rPr>
          <w:rFonts w:eastAsia="Arial" w:cs="Arial"/>
          <w:color w:val="1A1A1A"/>
          <w:sz w:val="22"/>
          <w:szCs w:val="22"/>
        </w:rPr>
        <w:t>The categories and approximate volume of personal data and data subjects affected.</w:t>
      </w:r>
    </w:p>
    <w:p>
      <w:pPr>
        <w:pStyle w:val="ListParagraph"/>
        <w:numPr>
          <w:ilvl w:val="0"/>
          <w:numId w:val="1"/>
        </w:numPr>
        <w:spacing w:lineRule="exact" w:line="280" w:before="40" w:after="40"/>
        <w:rPr/>
      </w:pPr>
      <w:r>
        <w:rPr>
          <w:rFonts w:eastAsia="Arial" w:cs="Arial"/>
          <w:color w:val="1A1A1A"/>
          <w:sz w:val="22"/>
          <w:szCs w:val="22"/>
        </w:rPr>
        <w:t>Whether Cloudax is acting as controller or processor.</w:t>
      </w:r>
    </w:p>
    <w:p>
      <w:pPr>
        <w:pStyle w:val="ListParagraph"/>
        <w:numPr>
          <w:ilvl w:val="0"/>
          <w:numId w:val="1"/>
        </w:numPr>
        <w:spacing w:lineRule="exact" w:line="280" w:before="40" w:after="40"/>
        <w:rPr/>
      </w:pPr>
      <w:r>
        <w:rPr>
          <w:rFonts w:eastAsia="Arial" w:cs="Arial"/>
          <w:color w:val="1A1A1A"/>
          <w:sz w:val="22"/>
          <w:szCs w:val="22"/>
        </w:rPr>
        <w:t>The likely cause and contributing factors.</w:t>
      </w:r>
    </w:p>
    <w:p>
      <w:pPr>
        <w:pStyle w:val="ListParagraph"/>
        <w:numPr>
          <w:ilvl w:val="0"/>
          <w:numId w:val="1"/>
        </w:numPr>
        <w:spacing w:lineRule="exact" w:line="280" w:before="40" w:after="40"/>
        <w:rPr/>
      </w:pPr>
      <w:r>
        <w:rPr>
          <w:rFonts w:eastAsia="Arial" w:cs="Arial"/>
          <w:color w:val="1A1A1A"/>
          <w:sz w:val="22"/>
          <w:szCs w:val="22"/>
        </w:rPr>
        <w:t>Whether containment is required and what is the technical position.</w:t>
      </w:r>
    </w:p>
    <w:p>
      <w:pPr>
        <w:pStyle w:val="Normal"/>
        <w:spacing w:lineRule="exact" w:line="300" w:before="80" w:after="120"/>
        <w:rPr/>
      </w:pPr>
      <w:r>
        <w:rPr>
          <w:rFonts w:eastAsia="Arial" w:cs="Arial"/>
          <w:color w:val="1A1A1A"/>
          <w:sz w:val="22"/>
          <w:szCs w:val="22"/>
        </w:rPr>
        <w:t>The clock for ICO notification (where applicable) starts at the point Cloudax has reasonable certainty a breach has occurred.</w:t>
      </w:r>
    </w:p>
    <w:p>
      <w:pPr>
        <w:pStyle w:val="Heading1"/>
        <w:spacing w:before="360" w:after="180"/>
        <w:rPr/>
      </w:pPr>
      <w:r>
        <w:rPr>
          <w:rFonts w:eastAsia="Arial" w:cs="Arial" w:ascii="Arial" w:hAnsi="Arial"/>
          <w:b/>
          <w:bCs/>
          <w:color w:val="0000FF"/>
          <w:sz w:val="36"/>
          <w:szCs w:val="36"/>
        </w:rPr>
        <w:t>8. The Risk Test (Risk to Data Subjects)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Under Article 33, ICO notification is not required if the breach is unlikely to result in a risk to the rights and freedoms of natural persons. The Privacy Lead applies a structured risk test, considering:</w:t>
      </w:r>
    </w:p>
    <w:p>
      <w:pPr>
        <w:pStyle w:val="ListParagraph"/>
        <w:numPr>
          <w:ilvl w:val="0"/>
          <w:numId w:val="1"/>
        </w:numPr>
        <w:spacing w:lineRule="exact" w:line="280" w:before="40" w:after="40"/>
        <w:rPr/>
      </w:pPr>
      <w:r>
        <w:rPr>
          <w:rFonts w:eastAsia="Arial" w:cs="Arial"/>
          <w:color w:val="1A1A1A"/>
          <w:sz w:val="22"/>
          <w:szCs w:val="22"/>
        </w:rPr>
        <w:t>Type of breach (confidentiality, integrity, availability).</w:t>
      </w:r>
    </w:p>
    <w:p>
      <w:pPr>
        <w:pStyle w:val="ListParagraph"/>
        <w:numPr>
          <w:ilvl w:val="0"/>
          <w:numId w:val="1"/>
        </w:numPr>
        <w:spacing w:lineRule="exact" w:line="280" w:before="40" w:after="40"/>
        <w:rPr/>
      </w:pPr>
      <w:r>
        <w:rPr>
          <w:rFonts w:eastAsia="Arial" w:cs="Arial"/>
          <w:color w:val="1A1A1A"/>
          <w:sz w:val="22"/>
          <w:szCs w:val="22"/>
        </w:rPr>
        <w:t>Nature, sensitivity, and volume of personal data.</w:t>
      </w:r>
    </w:p>
    <w:p>
      <w:pPr>
        <w:pStyle w:val="ListParagraph"/>
        <w:numPr>
          <w:ilvl w:val="0"/>
          <w:numId w:val="1"/>
        </w:numPr>
        <w:spacing w:lineRule="exact" w:line="280" w:before="40" w:after="40"/>
        <w:rPr/>
      </w:pPr>
      <w:r>
        <w:rPr>
          <w:rFonts w:eastAsia="Arial" w:cs="Arial"/>
          <w:color w:val="1A1A1A"/>
          <w:sz w:val="22"/>
          <w:szCs w:val="22"/>
        </w:rPr>
        <w:t>Ease of identifying individuals from the data.</w:t>
      </w:r>
    </w:p>
    <w:p>
      <w:pPr>
        <w:pStyle w:val="ListParagraph"/>
        <w:numPr>
          <w:ilvl w:val="0"/>
          <w:numId w:val="1"/>
        </w:numPr>
        <w:spacing w:lineRule="exact" w:line="280" w:before="40" w:after="40"/>
        <w:rPr/>
      </w:pPr>
      <w:r>
        <w:rPr>
          <w:rFonts w:eastAsia="Arial" w:cs="Arial"/>
          <w:color w:val="1A1A1A"/>
          <w:sz w:val="22"/>
          <w:szCs w:val="22"/>
        </w:rPr>
        <w:t>Severity of potential consequences — financial loss, identity theft, fraud, loss of confidentiality, discrimination, damage to reputation, distress.</w:t>
      </w:r>
    </w:p>
    <w:p>
      <w:pPr>
        <w:pStyle w:val="ListParagraph"/>
        <w:numPr>
          <w:ilvl w:val="0"/>
          <w:numId w:val="1"/>
        </w:numPr>
        <w:spacing w:lineRule="exact" w:line="280" w:before="40" w:after="40"/>
        <w:rPr/>
      </w:pPr>
      <w:r>
        <w:rPr>
          <w:rFonts w:eastAsia="Arial" w:cs="Arial"/>
          <w:color w:val="1A1A1A"/>
          <w:sz w:val="22"/>
          <w:szCs w:val="22"/>
        </w:rPr>
        <w:t>Special characteristics of individuals (e.g. children, vulnerable people).</w:t>
      </w:r>
    </w:p>
    <w:p>
      <w:pPr>
        <w:pStyle w:val="ListParagraph"/>
        <w:numPr>
          <w:ilvl w:val="0"/>
          <w:numId w:val="1"/>
        </w:numPr>
        <w:spacing w:lineRule="exact" w:line="280" w:before="40" w:after="40"/>
        <w:rPr/>
      </w:pPr>
      <w:r>
        <w:rPr>
          <w:rFonts w:eastAsia="Arial" w:cs="Arial"/>
          <w:color w:val="1A1A1A"/>
          <w:sz w:val="22"/>
          <w:szCs w:val="22"/>
        </w:rPr>
        <w:t>Number of individuals affected.</w:t>
      </w:r>
    </w:p>
    <w:p>
      <w:pPr>
        <w:pStyle w:val="ListParagraph"/>
        <w:numPr>
          <w:ilvl w:val="0"/>
          <w:numId w:val="1"/>
        </w:numPr>
        <w:spacing w:lineRule="exact" w:line="280" w:before="40" w:after="40"/>
        <w:rPr/>
      </w:pPr>
      <w:r>
        <w:rPr>
          <w:rFonts w:eastAsia="Arial" w:cs="Arial"/>
          <w:color w:val="1A1A1A"/>
          <w:sz w:val="22"/>
          <w:szCs w:val="22"/>
        </w:rPr>
        <w:t>Mitigating factors (e.g. data was strongly encrypted, recipient is a trusted party, retrieval is feasible).</w:t>
      </w:r>
    </w:p>
    <w:p>
      <w:pPr>
        <w:pStyle w:val="Normal"/>
        <w:spacing w:lineRule="exact" w:line="300" w:before="80" w:after="120"/>
        <w:rPr/>
      </w:pPr>
      <w:r>
        <w:rPr>
          <w:rFonts w:eastAsia="Arial" w:cs="Arial"/>
          <w:color w:val="1A1A1A"/>
          <w:sz w:val="22"/>
          <w:szCs w:val="22"/>
        </w:rPr>
        <w:t>Article 34 (notification to data subjects) requires a higher threshold — ‘likely to result in a high risk’. The Privacy Lead documents the assessment and the reasons for the conclusion.</w:t>
      </w:r>
    </w:p>
    <w:p>
      <w:pPr>
        <w:pStyle w:val="Heading1"/>
        <w:spacing w:before="360" w:after="180"/>
        <w:rPr/>
      </w:pPr>
      <w:r>
        <w:rPr>
          <w:rFonts w:eastAsia="Arial" w:cs="Arial" w:ascii="Arial" w:hAnsi="Arial"/>
          <w:b/>
          <w:bCs/>
          <w:color w:val="0000FF"/>
          <w:sz w:val="36"/>
          <w:szCs w:val="36"/>
        </w:rPr>
        <w:t>9. Cloudax as Controller — Notification Path</w:t>
      </w:r>
    </w:p>
    <w:p>
      <w:pPr>
        <w:pStyle w:val="Normal"/>
        <w:pBdr>
          <w:bottom w:val="single" w:sz="12" w:space="1" w:color="0000FF"/>
        </w:pBdr>
        <w:spacing w:before="0" w:after="200"/>
        <w:rPr/>
      </w:pPr>
      <w:r>
        <w:rPr/>
      </w:r>
    </w:p>
    <w:p>
      <w:pPr>
        <w:pStyle w:val="Heading2"/>
        <w:spacing w:before="280" w:after="140"/>
        <w:rPr/>
      </w:pPr>
      <w:r>
        <w:rPr>
          <w:rFonts w:eastAsia="Arial" w:cs="Arial" w:ascii="Arial" w:hAnsi="Arial"/>
          <w:b/>
          <w:bCs/>
          <w:color w:val="0000FF"/>
          <w:sz w:val="28"/>
          <w:szCs w:val="28"/>
        </w:rPr>
        <w:t>9.1 ICO Notification</w:t>
      </w:r>
    </w:p>
    <w:p>
      <w:pPr>
        <w:pStyle w:val="ListParagraph"/>
        <w:numPr>
          <w:ilvl w:val="0"/>
          <w:numId w:val="1"/>
        </w:numPr>
        <w:spacing w:lineRule="exact" w:line="280" w:before="40" w:after="40"/>
        <w:rPr/>
      </w:pPr>
      <w:r>
        <w:rPr>
          <w:rFonts w:eastAsia="Arial" w:cs="Arial"/>
          <w:color w:val="1A1A1A"/>
          <w:sz w:val="22"/>
          <w:szCs w:val="22"/>
        </w:rPr>
        <w:t>Where the breach is notifiable, the Privacy Lead submits the notification through the ICO’s online portal within 72 hours of becoming aware, or as soon as reasonably feasible thereafter with reasons for any delay.</w:t>
      </w:r>
    </w:p>
    <w:p>
      <w:pPr>
        <w:pStyle w:val="ListParagraph"/>
        <w:numPr>
          <w:ilvl w:val="0"/>
          <w:numId w:val="1"/>
        </w:numPr>
        <w:spacing w:lineRule="exact" w:line="280" w:before="40" w:after="40"/>
        <w:rPr/>
      </w:pPr>
      <w:r>
        <w:rPr>
          <w:rFonts w:eastAsia="Arial" w:cs="Arial"/>
          <w:color w:val="1A1A1A"/>
          <w:sz w:val="22"/>
          <w:szCs w:val="22"/>
        </w:rPr>
        <w:t>Where the full information is not available within 72 hours, the notification is made in phases as further information becomes available.</w:t>
      </w:r>
    </w:p>
    <w:p>
      <w:pPr>
        <w:pStyle w:val="ListParagraph"/>
        <w:numPr>
          <w:ilvl w:val="0"/>
          <w:numId w:val="1"/>
        </w:numPr>
        <w:spacing w:lineRule="exact" w:line="280" w:before="40" w:after="40"/>
        <w:rPr/>
      </w:pPr>
      <w:r>
        <w:rPr>
          <w:rFonts w:eastAsia="Arial" w:cs="Arial"/>
          <w:color w:val="1A1A1A"/>
          <w:sz w:val="22"/>
          <w:szCs w:val="22"/>
        </w:rPr>
        <w:t>The notification includes the information required by Article 33(3): nature, categories and approximate numbers, name and contact details of the Privacy Lead, likely consequences, measures taken or proposed.</w:t>
      </w:r>
    </w:p>
    <w:p>
      <w:pPr>
        <w:pStyle w:val="ListParagraph"/>
        <w:numPr>
          <w:ilvl w:val="0"/>
          <w:numId w:val="1"/>
        </w:numPr>
        <w:spacing w:lineRule="exact" w:line="280" w:before="40" w:after="40"/>
        <w:rPr/>
      </w:pPr>
      <w:r>
        <w:rPr>
          <w:rFonts w:eastAsia="Arial" w:cs="Arial"/>
          <w:color w:val="1A1A1A"/>
          <w:sz w:val="22"/>
          <w:szCs w:val="22"/>
        </w:rPr>
        <w:t>Submission is recorded in the Cloudax breach log; the ICO reference is captured.</w:t>
      </w:r>
    </w:p>
    <w:p>
      <w:pPr>
        <w:pStyle w:val="Heading2"/>
        <w:spacing w:before="280" w:after="140"/>
        <w:rPr/>
      </w:pPr>
      <w:r>
        <w:rPr>
          <w:rFonts w:eastAsia="Arial" w:cs="Arial" w:ascii="Arial" w:hAnsi="Arial"/>
          <w:b/>
          <w:bCs/>
          <w:color w:val="0000FF"/>
          <w:sz w:val="28"/>
          <w:szCs w:val="28"/>
        </w:rPr>
        <w:t>9.2 Notification to Affected Data Subjects</w:t>
      </w:r>
    </w:p>
    <w:p>
      <w:pPr>
        <w:pStyle w:val="ListParagraph"/>
        <w:numPr>
          <w:ilvl w:val="0"/>
          <w:numId w:val="1"/>
        </w:numPr>
        <w:spacing w:lineRule="exact" w:line="280" w:before="40" w:after="40"/>
        <w:rPr/>
      </w:pPr>
      <w:r>
        <w:rPr>
          <w:rFonts w:eastAsia="Arial" w:cs="Arial"/>
          <w:color w:val="1A1A1A"/>
          <w:sz w:val="22"/>
          <w:szCs w:val="22"/>
        </w:rPr>
        <w:t>Where the breach is likely to result in a high risk, affected data subjects are notified without undue delay.</w:t>
      </w:r>
    </w:p>
    <w:p>
      <w:pPr>
        <w:pStyle w:val="ListParagraph"/>
        <w:numPr>
          <w:ilvl w:val="0"/>
          <w:numId w:val="1"/>
        </w:numPr>
        <w:spacing w:lineRule="exact" w:line="280" w:before="40" w:after="40"/>
        <w:rPr/>
      </w:pPr>
      <w:r>
        <w:rPr>
          <w:rFonts w:eastAsia="Arial" w:cs="Arial"/>
          <w:color w:val="1A1A1A"/>
          <w:sz w:val="22"/>
          <w:szCs w:val="22"/>
        </w:rPr>
        <w:t>Notifications are written in clear, plain language, and include: the nature of the breach, name and contact of the Privacy Lead, likely consequences, measures taken, advice on protective steps.</w:t>
      </w:r>
    </w:p>
    <w:p>
      <w:pPr>
        <w:pStyle w:val="ListParagraph"/>
        <w:numPr>
          <w:ilvl w:val="0"/>
          <w:numId w:val="1"/>
        </w:numPr>
        <w:spacing w:lineRule="exact" w:line="280" w:before="40" w:after="40"/>
        <w:rPr/>
      </w:pPr>
      <w:r>
        <w:rPr>
          <w:rFonts w:eastAsia="Arial" w:cs="Arial"/>
          <w:color w:val="1A1A1A"/>
          <w:sz w:val="22"/>
          <w:szCs w:val="22"/>
        </w:rPr>
        <w:t>Where direct notification would involve disproportionate effort, alternative methods (e.g. public communication) may be used — with ICO guidance considered.</w:t>
      </w:r>
    </w:p>
    <w:p>
      <w:pPr>
        <w:pStyle w:val="ListParagraph"/>
        <w:numPr>
          <w:ilvl w:val="0"/>
          <w:numId w:val="1"/>
        </w:numPr>
        <w:spacing w:lineRule="exact" w:line="280" w:before="40" w:after="40"/>
        <w:rPr/>
      </w:pPr>
      <w:r>
        <w:rPr>
          <w:rFonts w:eastAsia="Arial" w:cs="Arial"/>
          <w:color w:val="1A1A1A"/>
          <w:sz w:val="22"/>
          <w:szCs w:val="22"/>
        </w:rPr>
        <w:t>Where one of the exemptions in Article 34(3) applies, individual notification may not be required — the rationale is documented.</w:t>
      </w:r>
    </w:p>
    <w:p>
      <w:pPr>
        <w:pStyle w:val="Heading1"/>
        <w:spacing w:before="360" w:after="180"/>
        <w:rPr/>
      </w:pPr>
      <w:r>
        <w:rPr>
          <w:rFonts w:eastAsia="Arial" w:cs="Arial" w:ascii="Arial" w:hAnsi="Arial"/>
          <w:b/>
          <w:bCs/>
          <w:color w:val="0000FF"/>
          <w:sz w:val="36"/>
          <w:szCs w:val="36"/>
        </w:rPr>
        <w:t>10. Cloudax as Processor — Notification Path</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Where Cloudax is processor, Cloudax notifies the controller (the customer) without undue delay after becoming aware.</w:t>
      </w:r>
    </w:p>
    <w:p>
      <w:pPr>
        <w:pStyle w:val="ListParagraph"/>
        <w:numPr>
          <w:ilvl w:val="0"/>
          <w:numId w:val="1"/>
        </w:numPr>
        <w:spacing w:lineRule="exact" w:line="280" w:before="40" w:after="40"/>
        <w:rPr/>
      </w:pPr>
      <w:r>
        <w:rPr>
          <w:rFonts w:eastAsia="Arial" w:cs="Arial"/>
          <w:color w:val="1A1A1A"/>
          <w:sz w:val="22"/>
          <w:szCs w:val="22"/>
        </w:rPr>
        <w:t>Notification is in accordance with the customer DPA, which typically specifies channel, timeframe, and content.</w:t>
      </w:r>
    </w:p>
    <w:p>
      <w:pPr>
        <w:pStyle w:val="ListParagraph"/>
        <w:numPr>
          <w:ilvl w:val="0"/>
          <w:numId w:val="1"/>
        </w:numPr>
        <w:spacing w:lineRule="exact" w:line="280" w:before="40" w:after="40"/>
        <w:rPr/>
      </w:pPr>
      <w:r>
        <w:rPr>
          <w:rFonts w:eastAsia="Arial" w:cs="Arial"/>
          <w:color w:val="1A1A1A"/>
          <w:sz w:val="22"/>
          <w:szCs w:val="22"/>
        </w:rPr>
        <w:t>Cloudax provides the controller with the information required to enable the controller to notify the ICO and data subjects.</w:t>
      </w:r>
    </w:p>
    <w:p>
      <w:pPr>
        <w:pStyle w:val="ListParagraph"/>
        <w:numPr>
          <w:ilvl w:val="0"/>
          <w:numId w:val="1"/>
        </w:numPr>
        <w:spacing w:lineRule="exact" w:line="280" w:before="40" w:after="40"/>
        <w:rPr/>
      </w:pPr>
      <w:r>
        <w:rPr>
          <w:rFonts w:eastAsia="Arial" w:cs="Arial"/>
          <w:color w:val="1A1A1A"/>
          <w:sz w:val="22"/>
          <w:szCs w:val="22"/>
        </w:rPr>
        <w:t>Cloudax cooperates with the controller’s further response.</w:t>
      </w:r>
    </w:p>
    <w:p>
      <w:pPr>
        <w:pStyle w:val="ListParagraph"/>
        <w:numPr>
          <w:ilvl w:val="0"/>
          <w:numId w:val="1"/>
        </w:numPr>
        <w:spacing w:lineRule="exact" w:line="280" w:before="40" w:after="40"/>
        <w:rPr/>
      </w:pPr>
      <w:r>
        <w:rPr>
          <w:rFonts w:eastAsia="Arial" w:cs="Arial"/>
          <w:color w:val="1A1A1A"/>
          <w:sz w:val="22"/>
          <w:szCs w:val="22"/>
        </w:rPr>
        <w:t>Cloudax does not notify the ICO directly when acting as processor unless the controller asks Cloudax to do so on its behalf.</w:t>
      </w:r>
    </w:p>
    <w:p>
      <w:pPr>
        <w:pStyle w:val="Heading1"/>
        <w:spacing w:before="360" w:after="180"/>
        <w:rPr/>
      </w:pPr>
      <w:r>
        <w:rPr>
          <w:rFonts w:eastAsia="Arial" w:cs="Arial" w:ascii="Arial" w:hAnsi="Arial"/>
          <w:b/>
          <w:bCs/>
          <w:color w:val="0000FF"/>
          <w:sz w:val="36"/>
          <w:szCs w:val="36"/>
        </w:rPr>
        <w:t>11. Customer Contractual Notification</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In addition to data protection notifications, customer contracts may require notification of security incidents (whether or not personal data is involved).</w:t>
      </w:r>
    </w:p>
    <w:p>
      <w:pPr>
        <w:pStyle w:val="ListParagraph"/>
        <w:numPr>
          <w:ilvl w:val="0"/>
          <w:numId w:val="1"/>
        </w:numPr>
        <w:spacing w:lineRule="exact" w:line="280" w:before="40" w:after="40"/>
        <w:rPr/>
      </w:pPr>
      <w:r>
        <w:rPr>
          <w:rFonts w:eastAsia="Arial" w:cs="Arial"/>
          <w:color w:val="1A1A1A"/>
          <w:sz w:val="22"/>
          <w:szCs w:val="22"/>
        </w:rPr>
        <w:t>The customer-facing lead and Privacy Lead coordinate to ensure all contractual notifications are made.</w:t>
      </w:r>
    </w:p>
    <w:p>
      <w:pPr>
        <w:pStyle w:val="ListParagraph"/>
        <w:numPr>
          <w:ilvl w:val="0"/>
          <w:numId w:val="1"/>
        </w:numPr>
        <w:spacing w:lineRule="exact" w:line="280" w:before="40" w:after="40"/>
        <w:rPr/>
      </w:pPr>
      <w:r>
        <w:rPr>
          <w:rFonts w:eastAsia="Arial" w:cs="Arial"/>
          <w:color w:val="1A1A1A"/>
          <w:sz w:val="22"/>
          <w:szCs w:val="22"/>
        </w:rPr>
        <w:t>Notifications are sent through the channel specified in the contract; default is email to the customer’s designated security or privacy contact.</w:t>
      </w:r>
    </w:p>
    <w:p>
      <w:pPr>
        <w:pStyle w:val="Heading1"/>
        <w:spacing w:before="360" w:after="180"/>
        <w:rPr/>
      </w:pPr>
      <w:r>
        <w:rPr>
          <w:rFonts w:eastAsia="Arial" w:cs="Arial" w:ascii="Arial" w:hAnsi="Arial"/>
          <w:b/>
          <w:bCs/>
          <w:color w:val="0000FF"/>
          <w:sz w:val="36"/>
          <w:szCs w:val="36"/>
        </w:rPr>
        <w:t>12. Other Notifications</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NCSC — where the incident has cyber-security significance beyond the data protection dimension.</w:t>
      </w:r>
    </w:p>
    <w:p>
      <w:pPr>
        <w:pStyle w:val="ListParagraph"/>
        <w:numPr>
          <w:ilvl w:val="0"/>
          <w:numId w:val="1"/>
        </w:numPr>
        <w:spacing w:lineRule="exact" w:line="280" w:before="40" w:after="40"/>
        <w:rPr/>
      </w:pPr>
      <w:r>
        <w:rPr>
          <w:rFonts w:eastAsia="Arial" w:cs="Arial"/>
          <w:color w:val="1A1A1A"/>
          <w:sz w:val="22"/>
          <w:szCs w:val="22"/>
        </w:rPr>
        <w:t>Law enforcement — where the breach involves criminal conduct.</w:t>
      </w:r>
    </w:p>
    <w:p>
      <w:pPr>
        <w:pStyle w:val="ListParagraph"/>
        <w:numPr>
          <w:ilvl w:val="0"/>
          <w:numId w:val="1"/>
        </w:numPr>
        <w:spacing w:lineRule="exact" w:line="280" w:before="40" w:after="40"/>
        <w:rPr/>
      </w:pPr>
      <w:r>
        <w:rPr>
          <w:rFonts w:eastAsia="Arial" w:cs="Arial"/>
          <w:color w:val="1A1A1A"/>
          <w:sz w:val="22"/>
          <w:szCs w:val="22"/>
        </w:rPr>
        <w:t>Insurer — in line with cyber insurance policy notification clauses.</w:t>
      </w:r>
    </w:p>
    <w:p>
      <w:pPr>
        <w:pStyle w:val="ListParagraph"/>
        <w:numPr>
          <w:ilvl w:val="0"/>
          <w:numId w:val="1"/>
        </w:numPr>
        <w:spacing w:lineRule="exact" w:line="280" w:before="40" w:after="40"/>
        <w:rPr/>
      </w:pPr>
      <w:r>
        <w:rPr>
          <w:rFonts w:eastAsia="Arial" w:cs="Arial"/>
          <w:color w:val="1A1A1A"/>
          <w:sz w:val="22"/>
          <w:szCs w:val="22"/>
        </w:rPr>
        <w:t>Other regulators — where Cloudax customers operate in regulated sectors (e.g. financial services), additional notifications may be triggered through customer notification.</w:t>
      </w:r>
    </w:p>
    <w:p>
      <w:pPr>
        <w:pStyle w:val="Heading1"/>
        <w:spacing w:before="360" w:after="180"/>
        <w:rPr/>
      </w:pPr>
      <w:r>
        <w:rPr>
          <w:rFonts w:eastAsia="Arial" w:cs="Arial" w:ascii="Arial" w:hAnsi="Arial"/>
          <w:b/>
          <w:bCs/>
          <w:color w:val="0000FF"/>
          <w:sz w:val="36"/>
          <w:szCs w:val="36"/>
        </w:rPr>
        <w:t>13. Communication Templates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The Privacy Lead maintains templates for the following, located in the ISMS document repository:</w:t>
      </w:r>
    </w:p>
    <w:p>
      <w:pPr>
        <w:pStyle w:val="ListParagraph"/>
        <w:numPr>
          <w:ilvl w:val="0"/>
          <w:numId w:val="1"/>
        </w:numPr>
        <w:spacing w:lineRule="exact" w:line="280" w:before="40" w:after="40"/>
        <w:rPr/>
      </w:pPr>
      <w:r>
        <w:rPr>
          <w:rFonts w:eastAsia="Arial" w:cs="Arial"/>
          <w:color w:val="1A1A1A"/>
          <w:sz w:val="22"/>
          <w:szCs w:val="22"/>
        </w:rPr>
        <w:t>ICO breach notification (covering Article 33(3) requirements).</w:t>
      </w:r>
    </w:p>
    <w:p>
      <w:pPr>
        <w:pStyle w:val="ListParagraph"/>
        <w:numPr>
          <w:ilvl w:val="0"/>
          <w:numId w:val="1"/>
        </w:numPr>
        <w:spacing w:lineRule="exact" w:line="280" w:before="40" w:after="40"/>
        <w:rPr/>
      </w:pPr>
      <w:r>
        <w:rPr>
          <w:rFonts w:eastAsia="Arial" w:cs="Arial"/>
          <w:color w:val="1A1A1A"/>
          <w:sz w:val="22"/>
          <w:szCs w:val="22"/>
        </w:rPr>
        <w:t>Data subject notification.</w:t>
      </w:r>
    </w:p>
    <w:p>
      <w:pPr>
        <w:pStyle w:val="ListParagraph"/>
        <w:numPr>
          <w:ilvl w:val="0"/>
          <w:numId w:val="1"/>
        </w:numPr>
        <w:spacing w:lineRule="exact" w:line="280" w:before="40" w:after="40"/>
        <w:rPr/>
      </w:pPr>
      <w:r>
        <w:rPr>
          <w:rFonts w:eastAsia="Arial" w:cs="Arial"/>
          <w:color w:val="1A1A1A"/>
          <w:sz w:val="22"/>
          <w:szCs w:val="22"/>
        </w:rPr>
        <w:t>Customer notification (Cloudax as processor).</w:t>
      </w:r>
    </w:p>
    <w:p>
      <w:pPr>
        <w:pStyle w:val="ListParagraph"/>
        <w:numPr>
          <w:ilvl w:val="0"/>
          <w:numId w:val="1"/>
        </w:numPr>
        <w:spacing w:lineRule="exact" w:line="280" w:before="40" w:after="40"/>
        <w:rPr/>
      </w:pPr>
      <w:r>
        <w:rPr>
          <w:rFonts w:eastAsia="Arial" w:cs="Arial"/>
          <w:color w:val="1A1A1A"/>
          <w:sz w:val="22"/>
          <w:szCs w:val="22"/>
        </w:rPr>
        <w:t>Internal status updates during a breach.</w:t>
      </w:r>
    </w:p>
    <w:p>
      <w:pPr>
        <w:pStyle w:val="Normal"/>
        <w:spacing w:lineRule="exact" w:line="300" w:before="80" w:after="120"/>
        <w:rPr/>
      </w:pPr>
      <w:r>
        <w:rPr>
          <w:rFonts w:eastAsia="Arial" w:cs="Arial"/>
          <w:color w:val="1A1A1A"/>
          <w:sz w:val="22"/>
          <w:szCs w:val="22"/>
        </w:rPr>
        <w:t>Templates are reviewed annually and updated where ICO guidance or regulatory expectations change.</w:t>
      </w:r>
    </w:p>
    <w:p>
      <w:pPr>
        <w:pStyle w:val="Heading1"/>
        <w:spacing w:before="360" w:after="180"/>
        <w:rPr/>
      </w:pPr>
      <w:r>
        <w:rPr>
          <w:rFonts w:eastAsia="Arial" w:cs="Arial" w:ascii="Arial" w:hAnsi="Arial"/>
          <w:b/>
          <w:bCs/>
          <w:color w:val="0000FF"/>
          <w:sz w:val="36"/>
          <w:szCs w:val="36"/>
        </w:rPr>
        <w:t>14. Records and Retention</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All personal data breaches — whether or not notifiable — are recorded in the Cloudax breach log, in line with Article 33(5).</w:t>
      </w:r>
    </w:p>
    <w:p>
      <w:pPr>
        <w:pStyle w:val="ListParagraph"/>
        <w:numPr>
          <w:ilvl w:val="0"/>
          <w:numId w:val="1"/>
        </w:numPr>
        <w:spacing w:lineRule="exact" w:line="280" w:before="40" w:after="40"/>
        <w:rPr/>
      </w:pPr>
      <w:r>
        <w:rPr>
          <w:rFonts w:eastAsia="Arial" w:cs="Arial"/>
          <w:color w:val="1A1A1A"/>
          <w:sz w:val="22"/>
          <w:szCs w:val="22"/>
        </w:rPr>
        <w:t>The record includes: facts of the breach, its effects, remedial action taken, the assessment of risk, and the conclusion on notification.</w:t>
      </w:r>
    </w:p>
    <w:p>
      <w:pPr>
        <w:pStyle w:val="ListParagraph"/>
        <w:numPr>
          <w:ilvl w:val="0"/>
          <w:numId w:val="1"/>
        </w:numPr>
        <w:spacing w:lineRule="exact" w:line="280" w:before="40" w:after="40"/>
        <w:rPr/>
      </w:pPr>
      <w:r>
        <w:rPr>
          <w:rFonts w:eastAsia="Arial" w:cs="Arial"/>
          <w:color w:val="1A1A1A"/>
          <w:sz w:val="22"/>
          <w:szCs w:val="22"/>
        </w:rPr>
        <w:t>Records are retained per POL-009 — minimum 6 years from breach closure.</w:t>
      </w:r>
    </w:p>
    <w:p>
      <w:pPr>
        <w:pStyle w:val="ListParagraph"/>
        <w:numPr>
          <w:ilvl w:val="0"/>
          <w:numId w:val="1"/>
        </w:numPr>
        <w:spacing w:lineRule="exact" w:line="280" w:before="40" w:after="40"/>
        <w:rPr/>
      </w:pPr>
      <w:r>
        <w:rPr>
          <w:rFonts w:eastAsia="Arial" w:cs="Arial"/>
          <w:color w:val="1A1A1A"/>
          <w:sz w:val="22"/>
          <w:szCs w:val="22"/>
        </w:rPr>
        <w:t>Records are made available to the ICO on request.</w:t>
      </w:r>
    </w:p>
    <w:p>
      <w:pPr>
        <w:pStyle w:val="Heading1"/>
        <w:spacing w:before="360" w:after="180"/>
        <w:rPr/>
      </w:pPr>
      <w:r>
        <w:rPr>
          <w:rFonts w:eastAsia="Arial" w:cs="Arial" w:ascii="Arial" w:hAnsi="Arial"/>
          <w:b/>
          <w:bCs/>
          <w:color w:val="0000FF"/>
          <w:sz w:val="36"/>
          <w:szCs w:val="36"/>
        </w:rPr>
        <w:t>15. Coordination with Incident Response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Procedure operates alongside PLAN-IRP-001 Incident Response Plan. The technical incident response and the data protection notification path are managed in parallel:</w:t>
      </w:r>
    </w:p>
    <w:p>
      <w:pPr>
        <w:pStyle w:val="ListParagraph"/>
        <w:numPr>
          <w:ilvl w:val="0"/>
          <w:numId w:val="1"/>
        </w:numPr>
        <w:spacing w:lineRule="exact" w:line="280" w:before="40" w:after="40"/>
        <w:rPr/>
      </w:pPr>
      <w:r>
        <w:rPr>
          <w:rFonts w:eastAsia="Arial" w:cs="Arial"/>
          <w:color w:val="1A1A1A"/>
          <w:sz w:val="22"/>
          <w:szCs w:val="22"/>
        </w:rPr>
        <w:t>PLAN-IRP-001 leads on containment, eradication, recovery, technical communications.</w:t>
      </w:r>
    </w:p>
    <w:p>
      <w:pPr>
        <w:pStyle w:val="ListParagraph"/>
        <w:numPr>
          <w:ilvl w:val="0"/>
          <w:numId w:val="1"/>
        </w:numPr>
        <w:spacing w:lineRule="exact" w:line="280" w:before="40" w:after="40"/>
        <w:rPr/>
      </w:pPr>
      <w:r>
        <w:rPr>
          <w:rFonts w:eastAsia="Arial" w:cs="Arial"/>
          <w:color w:val="1A1A1A"/>
          <w:sz w:val="22"/>
          <w:szCs w:val="22"/>
        </w:rPr>
        <w:t>PRO-024 leads on regulatory and data-subject notification timeframes and content.</w:t>
      </w:r>
    </w:p>
    <w:p>
      <w:pPr>
        <w:pStyle w:val="ListParagraph"/>
        <w:numPr>
          <w:ilvl w:val="0"/>
          <w:numId w:val="1"/>
        </w:numPr>
        <w:spacing w:lineRule="exact" w:line="280" w:before="40" w:after="40"/>
        <w:rPr/>
      </w:pPr>
      <w:r>
        <w:rPr>
          <w:rFonts w:eastAsia="Arial" w:cs="Arial"/>
          <w:color w:val="1A1A1A"/>
          <w:sz w:val="22"/>
          <w:szCs w:val="22"/>
        </w:rPr>
        <w:t>The Information Security Manager and Privacy Lead coordinate decisions; the Chief Executive Officer is informed for material breaches.</w:t>
      </w:r>
    </w:p>
    <w:p>
      <w:pPr>
        <w:pStyle w:val="Heading1"/>
        <w:spacing w:before="360" w:after="180"/>
        <w:rPr/>
      </w:pPr>
      <w:r>
        <w:rPr>
          <w:rFonts w:eastAsia="Arial" w:cs="Arial" w:ascii="Arial" w:hAnsi="Arial"/>
          <w:b/>
          <w:bCs/>
          <w:color w:val="0000FF"/>
          <w:sz w:val="36"/>
          <w:szCs w:val="36"/>
        </w:rPr>
        <w:t>16. Compliance Monitoring</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Time-to-detect, time-to-assess, and time-to-notify metrics are tracked.</w:t>
      </w:r>
    </w:p>
    <w:p>
      <w:pPr>
        <w:pStyle w:val="ListParagraph"/>
        <w:numPr>
          <w:ilvl w:val="0"/>
          <w:numId w:val="1"/>
        </w:numPr>
        <w:spacing w:lineRule="exact" w:line="280" w:before="40" w:after="40"/>
        <w:rPr/>
      </w:pPr>
      <w:r>
        <w:rPr>
          <w:rFonts w:eastAsia="Arial" w:cs="Arial"/>
          <w:color w:val="1A1A1A"/>
          <w:sz w:val="22"/>
          <w:szCs w:val="22"/>
        </w:rPr>
        <w:t>Rehearsals of the breach process form part of the annual incident response tabletop.</w:t>
      </w:r>
    </w:p>
    <w:p>
      <w:pPr>
        <w:pStyle w:val="Heading1"/>
        <w:spacing w:before="360" w:after="180"/>
        <w:rPr/>
      </w:pPr>
      <w:r>
        <w:rPr>
          <w:rFonts w:eastAsia="Arial" w:cs="Arial" w:ascii="Arial" w:hAnsi="Arial"/>
          <w:b/>
          <w:bCs/>
          <w:color w:val="0000FF"/>
          <w:sz w:val="36"/>
          <w:szCs w:val="36"/>
        </w:rPr>
        <w:t>17. Maintenance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Procedure is reviewed at least annually and on material change to ICO guidance or to the Cloudax operating model. Changes are approved by the Privacy Lead with the Information Security Manager and recorded in Annex B.</w:t>
      </w:r>
    </w:p>
    <w:p>
      <w:pPr>
        <w:pStyle w:val="Heading1"/>
        <w:spacing w:before="360" w:after="180"/>
        <w:rPr/>
      </w:pPr>
      <w:r>
        <w:rPr>
          <w:rFonts w:eastAsia="Arial" w:cs="Arial" w:ascii="Arial" w:hAnsi="Arial"/>
          <w:b/>
          <w:bCs/>
          <w:color w:val="0000FF"/>
          <w:sz w:val="36"/>
          <w:szCs w:val="36"/>
        </w:rPr>
        <w:t>18. Acknowledgement</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All personnel involved in incident response and customer-facing roles are required to acknowledge this Procedure on commencement, on material change, and on request.</w:t>
      </w:r>
    </w:p>
    <w:p>
      <w:pPr>
        <w:pStyle w:val="Normal"/>
        <w:spacing w:before="60" w:after="60"/>
        <w:rPr/>
      </w:pPr>
      <w:r>
        <w:rPr/>
      </w:r>
    </w:p>
    <w:tbl>
      <w:tblPr>
        <w:tblW w:w="9026" w:type="dxa"/>
        <w:jc w:val="start"/>
        <w:tblInd w:w="0" w:type="dxa"/>
        <w:tblLayout w:type="fixed"/>
        <w:tblCellMar>
          <w:top w:w="600" w:type="dxa"/>
          <w:start w:w="0" w:type="dxa"/>
          <w:bottom w:w="40" w:type="dxa"/>
          <w:end w:w="0" w:type="dxa"/>
        </w:tblCellMar>
      </w:tblPr>
      <w:tblGrid>
        <w:gridCol w:w="4513"/>
        <w:gridCol w:w="4512"/>
      </w:tblGrid>
      <w:tr>
        <w:trPr/>
        <w:tc>
          <w:tcPr>
            <w:tcW w:w="4513" w:type="dxa"/>
            <w:tcBorders/>
          </w:tcPr>
          <w:p>
            <w:pPr>
              <w:pStyle w:val="Normal"/>
              <w:rPr/>
            </w:pPr>
            <w:r>
              <w:rPr/>
            </w:r>
          </w:p>
        </w:tc>
        <w:tc>
          <w:tcPr>
            <w:tcW w:w="4512" w:type="dxa"/>
            <w:tcBorders/>
          </w:tcPr>
          <w:p>
            <w:pPr>
              <w:pStyle w:val="Normal"/>
              <w:rPr/>
            </w:pPr>
            <w:r>
              <w:rPr/>
            </w:r>
          </w:p>
        </w:tc>
      </w:tr>
      <w:tr>
        <w:trPr/>
        <w:tc>
          <w:tcPr>
            <w:tcW w:w="4513"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NAME</w:t>
            </w:r>
          </w:p>
        </w:tc>
        <w:tc>
          <w:tcPr>
            <w:tcW w:w="4512"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SIGNATURE</w:t>
            </w:r>
          </w:p>
        </w:tc>
      </w:tr>
      <w:tr>
        <w:trPr/>
        <w:tc>
          <w:tcPr>
            <w:tcW w:w="4513" w:type="dxa"/>
            <w:tcBorders/>
          </w:tcPr>
          <w:p>
            <w:pPr>
              <w:pStyle w:val="Normal"/>
              <w:rPr/>
            </w:pPr>
            <w:r>
              <w:rPr/>
            </w:r>
          </w:p>
        </w:tc>
        <w:tc>
          <w:tcPr>
            <w:tcW w:w="4512" w:type="dxa"/>
            <w:tcBorders/>
          </w:tcPr>
          <w:p>
            <w:pPr>
              <w:pStyle w:val="Normal"/>
              <w:rPr/>
            </w:pPr>
            <w:r>
              <w:rPr/>
            </w:r>
          </w:p>
        </w:tc>
      </w:tr>
      <w:tr>
        <w:trPr/>
        <w:tc>
          <w:tcPr>
            <w:tcW w:w="4513"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ROLE</w:t>
            </w:r>
          </w:p>
        </w:tc>
        <w:tc>
          <w:tcPr>
            <w:tcW w:w="4512"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DATE</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Annex A — Annex A Controls Addressed</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document gives effect to the following ISO/IEC 27001:2022 Annex A controls, as recorded in the Cloudax Statement of Applicability (ISMS-SOA-001 v4.0).</w:t>
      </w:r>
    </w:p>
    <w:tbl>
      <w:tblPr>
        <w:tblW w:w="9026" w:type="dxa"/>
        <w:jc w:val="start"/>
        <w:tblInd w:w="0" w:type="dxa"/>
        <w:tblLayout w:type="fixed"/>
        <w:tblCellMar>
          <w:top w:w="100" w:type="dxa"/>
          <w:start w:w="140" w:type="dxa"/>
          <w:bottom w:w="100" w:type="dxa"/>
          <w:end w:w="140" w:type="dxa"/>
        </w:tblCellMar>
      </w:tblPr>
      <w:tblGrid>
        <w:gridCol w:w="1699"/>
        <w:gridCol w:w="7326"/>
      </w:tblGrid>
      <w:tr>
        <w:trPr>
          <w:tblHeader w:val="true"/>
        </w:trPr>
        <w:tc>
          <w:tcPr>
            <w:tcW w:w="16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ANNEX A REF</w:t>
            </w:r>
          </w:p>
        </w:tc>
        <w:tc>
          <w:tcPr>
            <w:tcW w:w="7326"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CONTROL TITLE</w:t>
            </w:r>
          </w:p>
        </w:tc>
      </w:tr>
      <w:tr>
        <w:trPr/>
        <w:tc>
          <w:tcPr>
            <w:tcW w:w="16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A.5.5</w:t>
            </w:r>
          </w:p>
        </w:tc>
        <w:tc>
          <w:tcPr>
            <w:tcW w:w="73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Contact with authorities</w:t>
            </w:r>
          </w:p>
        </w:tc>
      </w:tr>
      <w:tr>
        <w:trPr/>
        <w:tc>
          <w:tcPr>
            <w:tcW w:w="16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A.5.34</w:t>
            </w:r>
          </w:p>
        </w:tc>
        <w:tc>
          <w:tcPr>
            <w:tcW w:w="7326"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Privacy and protection of PII</w:t>
            </w:r>
          </w:p>
        </w:tc>
      </w:tr>
      <w:tr>
        <w:trPr/>
        <w:tc>
          <w:tcPr>
            <w:tcW w:w="16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A.5.24</w:t>
            </w:r>
          </w:p>
        </w:tc>
        <w:tc>
          <w:tcPr>
            <w:tcW w:w="73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Information security incident management planning and preparation</w:t>
            </w:r>
          </w:p>
        </w:tc>
      </w:tr>
      <w:tr>
        <w:trPr/>
        <w:tc>
          <w:tcPr>
            <w:tcW w:w="16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A.5.26</w:t>
            </w:r>
          </w:p>
        </w:tc>
        <w:tc>
          <w:tcPr>
            <w:tcW w:w="7326"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Response to information security incidents</w:t>
            </w:r>
          </w:p>
        </w:tc>
      </w:tr>
      <w:tr>
        <w:trPr/>
        <w:tc>
          <w:tcPr>
            <w:tcW w:w="16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A.5.28</w:t>
            </w:r>
          </w:p>
        </w:tc>
        <w:tc>
          <w:tcPr>
            <w:tcW w:w="73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Collection of evidence</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Annex B — Version History</w:t>
      </w:r>
    </w:p>
    <w:p>
      <w:pPr>
        <w:pStyle w:val="Normal"/>
        <w:pBdr>
          <w:bottom w:val="single" w:sz="12" w:space="1" w:color="0000FF"/>
        </w:pBdr>
        <w:spacing w:before="0" w:after="200"/>
        <w:rPr/>
      </w:pPr>
      <w:r>
        <w:rPr/>
      </w:r>
    </w:p>
    <w:tbl>
      <w:tblPr>
        <w:tblW w:w="9026" w:type="dxa"/>
        <w:jc w:val="start"/>
        <w:tblInd w:w="0" w:type="dxa"/>
        <w:tblLayout w:type="fixed"/>
        <w:tblCellMar>
          <w:top w:w="120" w:type="dxa"/>
          <w:start w:w="160" w:type="dxa"/>
          <w:bottom w:w="120" w:type="dxa"/>
          <w:end w:w="160" w:type="dxa"/>
        </w:tblCellMar>
      </w:tblPr>
      <w:tblGrid>
        <w:gridCol w:w="1299"/>
        <w:gridCol w:w="1500"/>
        <w:gridCol w:w="2201"/>
        <w:gridCol w:w="4025"/>
      </w:tblGrid>
      <w:tr>
        <w:trPr>
          <w:tblHeader w:val="true"/>
        </w:trPr>
        <w:tc>
          <w:tcPr>
            <w:tcW w:w="12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VERSION</w:t>
            </w:r>
          </w:p>
        </w:tc>
        <w:tc>
          <w:tcPr>
            <w:tcW w:w="1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DATE</w:t>
            </w:r>
          </w:p>
        </w:tc>
        <w:tc>
          <w:tcPr>
            <w:tcW w:w="22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AUTHOR</w:t>
            </w:r>
          </w:p>
        </w:tc>
        <w:tc>
          <w:tcPr>
            <w:tcW w:w="4025"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SUMMARY OF CHANGES</w:t>
            </w:r>
          </w:p>
        </w:tc>
      </w:tr>
      <w:tr>
        <w:trPr/>
        <w:tc>
          <w:tcPr>
            <w:tcW w:w="1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1.0</w:t>
            </w:r>
          </w:p>
        </w:tc>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April 2026</w:t>
            </w:r>
          </w:p>
        </w:tc>
        <w:tc>
          <w:tcPr>
            <w:tcW w:w="22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Information Security Manager</w:t>
            </w:r>
          </w:p>
        </w:tc>
        <w:tc>
          <w:tcPr>
            <w:tcW w:w="4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Initial issue. Aligned to ISO/IEC 27001:2022 and Cloudax Statement of Applicability v4.0.</w:t>
            </w:r>
          </w:p>
        </w:tc>
      </w:tr>
    </w:tbl>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0000FF"/>
      </w:pBdr>
      <w:tabs>
        <w:tab w:val="clear" w:pos="720"/>
        <w:tab w:val="center" w:pos="4513" w:leader="none"/>
        <w:tab w:val="right" w:pos="9026" w:leader="none"/>
      </w:tabs>
      <w:spacing w:before="0" w:after="0"/>
      <w:rPr/>
    </w:pPr>
    <w:r>
      <w:rPr>
        <w:rFonts w:eastAsia="Arial" w:cs="Arial"/>
        <w:color w:val="1A1A1A"/>
        <w:sz w:val="18"/>
        <w:szCs w:val="18"/>
      </w:rPr>
      <w:t xml:space="preserve">PRO-024 Breach Notification Procedure  •  Internal  </w:t>
      <w:tab/>
      <w:t>v1.0  •  April 2026</w:t>
      <w:tab/>
      <w:t xml:space="preserve">Page </w:t>
    </w:r>
    <w:r>
      <w:rPr/>
      <w:fldChar w:fldCharType="begin"/>
    </w:r>
    <w:r>
      <w:rPr/>
      <w:instrText xml:space="preserve"> PAGE </w:instrText>
    </w:r>
    <w:r>
      <w:rPr/>
      <w:fldChar w:fldCharType="separate"/>
    </w:r>
    <w:r>
      <w:rPr/>
      <w:t>10</w:t>
    </w:r>
    <w:r>
      <w:rPr/>
      <w:fldChar w:fldCharType="end"/>
    </w:r>
    <w:r>
      <w:rPr>
        <w:rFonts w:eastAsia="Arial" w:cs="Arial"/>
        <w:color w:val="1A1A1A"/>
        <w:sz w:val="18"/>
        <w:szCs w:val="18"/>
      </w:rPr>
      <w:t xml:space="preserve"> of </w:t>
    </w:r>
    <w:r>
      <w:rPr/>
      <w:fldChar w:fldCharType="begin"/>
    </w:r>
    <w:r>
      <w:rPr/>
      <w:instrText xml:space="preserve"> NUMPAGES </w:instrText>
    </w:r>
    <w:r>
      <w:rPr/>
      <w:fldChar w:fldCharType="separate"/>
    </w:r>
    <w:r>
      <w:rPr/>
      <w:t>10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0000FF"/>
      </w:pBdr>
      <w:tabs>
        <w:tab w:val="clear" w:pos="720"/>
        <w:tab w:val="center" w:pos="4513" w:leader="none"/>
        <w:tab w:val="right" w:pos="9026" w:leader="none"/>
      </w:tabs>
      <w:spacing w:before="0" w:after="0"/>
      <w:rPr/>
    </w:pPr>
    <w:r>
      <w:rPr>
        <w:rFonts w:eastAsia="Arial" w:cs="Arial"/>
        <w:color w:val="1A1A1A"/>
        <w:sz w:val="18"/>
        <w:szCs w:val="18"/>
      </w:rPr>
      <w:t xml:space="preserve">PRO-024 Breach Notification Procedure  •  Internal  </w:t>
      <w:tab/>
      <w:t>v1.0  •  April 2026</w:t>
      <w:tab/>
      <w:t xml:space="preserve">Page </w:t>
    </w:r>
    <w:r>
      <w:rPr/>
      <w:fldChar w:fldCharType="begin"/>
    </w:r>
    <w:r>
      <w:rPr/>
      <w:instrText xml:space="preserve"> PAGE </w:instrText>
    </w:r>
    <w:r>
      <w:rPr/>
      <w:fldChar w:fldCharType="separate"/>
    </w:r>
    <w:r>
      <w:rPr/>
      <w:t>10</w:t>
    </w:r>
    <w:r>
      <w:rPr/>
      <w:fldChar w:fldCharType="end"/>
    </w:r>
    <w:r>
      <w:rPr>
        <w:rFonts w:eastAsia="Arial" w:cs="Arial"/>
        <w:color w:val="1A1A1A"/>
        <w:sz w:val="18"/>
        <w:szCs w:val="18"/>
      </w:rPr>
      <w:t xml:space="preserve"> of </w:t>
    </w:r>
    <w:r>
      <w:rPr/>
      <w:fldChar w:fldCharType="begin"/>
    </w:r>
    <w:r>
      <w:rPr/>
      <w:instrText xml:space="preserve"> NUMPAGES </w:instrText>
    </w:r>
    <w:r>
      <w:rPr/>
      <w:fldChar w:fldCharType="separate"/>
    </w:r>
    <w:r>
      <w:rPr/>
      <w:t>10</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0000FF"/>
      </w:pBdr>
      <w:spacing w:before="0" w:after="80"/>
      <w:jc w:val="end"/>
      <w:rPr/>
    </w:pPr>
    <w:r>
      <w:rPr/>
      <w:drawing>
        <wp:inline distT="0" distB="0" distL="0" distR="0">
          <wp:extent cx="857250" cy="17145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1"/>
                  <a:stretch>
                    <a:fillRect/>
                  </a:stretch>
                </pic:blipFill>
                <pic:spPr bwMode="auto">
                  <a:xfrm>
                    <a:off x="0" y="0"/>
                    <a:ext cx="857250" cy="171450"/>
                  </a:xfrm>
                  <a:prstGeom prst="rect">
                    <a:avLst/>
                  </a:prstGeom>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0000FF"/>
      </w:pBdr>
      <w:spacing w:before="0" w:after="80"/>
      <w:jc w:val="end"/>
      <w:rPr/>
    </w:pPr>
    <w:r>
      <w:rPr/>
      <w:drawing>
        <wp:inline distT="0" distB="0" distL="0" distR="0">
          <wp:extent cx="857250" cy="171450"/>
          <wp:effectExtent l="0" t="0" r="0" b="0"/>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1"/>
                  <a:stretch>
                    <a:fillRect/>
                  </a:stretch>
                </pic:blipFill>
                <pic:spPr bwMode="auto">
                  <a:xfrm>
                    <a:off x="0" y="0"/>
                    <a:ext cx="857250" cy="171450"/>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260"/>
      </w:pPr>
      <w:rPr>
        <w:rFonts w:ascii="Arial" w:hAnsi="Arial" w:cs="Arial" w:hint="default"/>
        <w:color w:val="0000FF"/>
      </w:rPr>
    </w:lvl>
    <w:lvl w:ilvl="1">
      <w:start w:val="1"/>
      <w:numFmt w:val="bullet"/>
      <w:lvlText w:val="◦"/>
      <w:lvlJc w:val="start"/>
      <w:pPr>
        <w:tabs>
          <w:tab w:val="num" w:pos="0"/>
        </w:tabs>
        <w:ind w:start="1080" w:hanging="260"/>
      </w:pPr>
      <w:rPr>
        <w:rFonts w:ascii="Arial" w:hAnsi="Arial" w:cs="Arial" w:hint="default"/>
        <w:color w:val="0000FF"/>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A1A1A"/>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1A1A1A"/>
      <w:kern w:val="0"/>
      <w:sz w:val="22"/>
      <w:szCs w:val="22"/>
      <w:lang w:val="en-US" w:eastAsia="zh-CN" w:bidi="hi-IN"/>
    </w:rPr>
  </w:style>
  <w:style w:type="paragraph" w:styleId="Heading1">
    <w:name w:val="Heading 1"/>
    <w:basedOn w:val="Heading"/>
    <w:qFormat/>
    <w:pPr>
      <w:spacing w:before="360" w:after="180"/>
      <w:outlineLvl w:val="0"/>
    </w:pPr>
    <w:rPr>
      <w:rFonts w:ascii="Arial" w:hAnsi="Arial" w:eastAsia="Arial" w:cs="Arial"/>
      <w:b/>
      <w:bCs/>
      <w:color w:val="0000FF"/>
      <w:sz w:val="36"/>
      <w:szCs w:val="36"/>
    </w:rPr>
  </w:style>
  <w:style w:type="paragraph" w:styleId="Heading2">
    <w:name w:val="Heading 2"/>
    <w:basedOn w:val="Heading"/>
    <w:qFormat/>
    <w:pPr>
      <w:spacing w:before="280" w:after="140"/>
      <w:outlineLvl w:val="1"/>
    </w:pPr>
    <w:rPr>
      <w:rFonts w:ascii="Arial" w:hAnsi="Arial" w:eastAsia="Arial" w:cs="Arial"/>
      <w:b/>
      <w:bCs/>
      <w:color w:val="0000FF"/>
      <w:sz w:val="28"/>
      <w:szCs w:val="28"/>
    </w:rPr>
  </w:style>
  <w:style w:type="paragraph" w:styleId="Heading3">
    <w:name w:val="Heading 3"/>
    <w:basedOn w:val="Heading"/>
    <w:qFormat/>
    <w:pPr>
      <w:spacing w:before="200" w:after="100"/>
      <w:outlineLvl w:val="2"/>
    </w:pPr>
    <w:rPr>
      <w:rFonts w:ascii="Arial" w:hAnsi="Arial" w:eastAsia="Arial" w:cs="Arial"/>
      <w:b/>
      <w:bCs/>
      <w:color w:val="1A1A1A"/>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1A1A1A"/>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1A1A1A"/>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a:themeElements>
    <a:clrScheme nam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Microsoft Office Word</Application>
  <AppVersion>16.0000</AppVersion>
  <Company>Cloudax Ltd.</Company>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2026-04-24T12:55:27Z</dcterms:created>
  <dc:creator>David Stokes</dc:creator>
  <dc:description/>
  <dc:language>en-US</dc:language>
  <cp:lastModifiedBy>David Stokes</cp:lastModifiedBy>
  <dcterms:modified xsi:type="dcterms:W3CDTF">2026-04-24T14:55:27Z</dcterms:modified>
  <cp:revision>1</cp:revision>
  <dc:subject/>
  <dc:title>Cloudax Breach Notification Procedure</dc:title>
</cp:coreProperties>
</file>

<file path=docProps/custom.xml><?xml version="1.0" encoding="utf-8"?>
<Properties xmlns="http://schemas.openxmlformats.org/officeDocument/2006/custom-properties" xmlns:vt="http://schemas.openxmlformats.org/officeDocument/2006/docPropsVTypes"/>
</file>