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Special Interest Group Engagement Procedure</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PRO-025</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Special Interest Group Engagement Procedure</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Approved Categories of Engagement</w:t>
      </w:r>
    </w:p>
    <w:p>
      <w:pPr>
        <w:pStyle w:val="Normal"/>
        <w:spacing w:before="40" w:after="40"/>
        <w:rPr/>
      </w:pPr>
      <w:r>
        <w:rPr>
          <w:rFonts w:eastAsia="Arial" w:cs="Arial"/>
          <w:color w:val="1A1A1A"/>
          <w:sz w:val="22"/>
          <w:szCs w:val="22"/>
        </w:rPr>
        <w:t>6. Joining and Maintaining Memberships</w:t>
      </w:r>
    </w:p>
    <w:p>
      <w:pPr>
        <w:pStyle w:val="Normal"/>
        <w:spacing w:before="40" w:after="40"/>
        <w:rPr/>
      </w:pPr>
      <w:r>
        <w:rPr>
          <w:rFonts w:eastAsia="Arial" w:cs="Arial"/>
          <w:color w:val="1A1A1A"/>
          <w:sz w:val="22"/>
          <w:szCs w:val="22"/>
        </w:rPr>
        <w:t>7. Threat Intelligence Consumption</w:t>
      </w:r>
    </w:p>
    <w:p>
      <w:pPr>
        <w:pStyle w:val="Normal"/>
        <w:spacing w:before="40" w:after="40"/>
        <w:rPr/>
      </w:pPr>
      <w:r>
        <w:rPr>
          <w:rFonts w:eastAsia="Arial" w:cs="Arial"/>
          <w:color w:val="1A1A1A"/>
          <w:sz w:val="22"/>
          <w:szCs w:val="22"/>
        </w:rPr>
        <w:t>8. Confidential Information Handling</w:t>
      </w:r>
    </w:p>
    <w:p>
      <w:pPr>
        <w:pStyle w:val="Normal"/>
        <w:spacing w:before="40" w:after="40"/>
        <w:rPr/>
      </w:pPr>
      <w:r>
        <w:rPr>
          <w:rFonts w:eastAsia="Arial" w:cs="Arial"/>
          <w:color w:val="1A1A1A"/>
          <w:sz w:val="22"/>
          <w:szCs w:val="22"/>
        </w:rPr>
        <w:t>9. Contributing to External Groups</w:t>
      </w:r>
    </w:p>
    <w:p>
      <w:pPr>
        <w:pStyle w:val="Normal"/>
        <w:spacing w:before="40" w:after="40"/>
        <w:rPr/>
      </w:pPr>
      <w:r>
        <w:rPr>
          <w:rFonts w:eastAsia="Arial" w:cs="Arial"/>
          <w:color w:val="1A1A1A"/>
          <w:sz w:val="22"/>
          <w:szCs w:val="22"/>
        </w:rPr>
        <w:t>10. Records</w:t>
      </w:r>
    </w:p>
    <w:p>
      <w:pPr>
        <w:pStyle w:val="Normal"/>
        <w:spacing w:before="40" w:after="40"/>
        <w:rPr/>
      </w:pPr>
      <w:r>
        <w:rPr>
          <w:rFonts w:eastAsia="Arial" w:cs="Arial"/>
          <w:color w:val="1A1A1A"/>
          <w:sz w:val="22"/>
          <w:szCs w:val="22"/>
        </w:rPr>
        <w:t>11. Maintenance</w:t>
      </w:r>
    </w:p>
    <w:p>
      <w:pPr>
        <w:pStyle w:val="Normal"/>
        <w:spacing w:before="40" w:after="40"/>
        <w:rPr/>
      </w:pPr>
      <w:r>
        <w:rPr>
          <w:rFonts w:eastAsia="Arial" w:cs="Arial"/>
          <w:color w:val="1A1A1A"/>
          <w:sz w:val="22"/>
          <w:szCs w:val="22"/>
        </w:rPr>
        <w:t>12.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defines how Cloudax Ltd. engages with special interest groups, threat intelligence sharing communities, and other external bodies to maintain awareness of evolving threats and good practice. It implements POL-006 (where applicable) and gives effect to A.5.6 Contact with special interest groups and A.5.7 Threat intelligence.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controls: A.5.6 Contact with special interest groups; A.5.7 Threat intelligence</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applies to all engagement by Cloudax personnel with external special interest groups, communities, intelligence-sharing arrangements, and forums in connection with their Cloudax role.</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Special interest group: </w:t>
      </w:r>
      <w:r>
        <w:rPr>
          <w:rFonts w:eastAsia="Arial" w:cs="Arial"/>
          <w:color w:val="1A1A1A"/>
          <w:sz w:val="22"/>
          <w:szCs w:val="22"/>
        </w:rPr>
        <w:t>an external community focused on a particular topic relevant to information security, privacy, or technology.</w:t>
      </w:r>
    </w:p>
    <w:p>
      <w:pPr>
        <w:pStyle w:val="ListParagraph"/>
        <w:numPr>
          <w:ilvl w:val="0"/>
          <w:numId w:val="1"/>
        </w:numPr>
        <w:spacing w:lineRule="exact" w:line="280" w:before="40" w:after="40"/>
        <w:rPr/>
      </w:pPr>
      <w:r>
        <w:rPr>
          <w:rFonts w:eastAsia="Arial" w:cs="Arial"/>
          <w:b/>
          <w:bCs/>
          <w:color w:val="1A1A1A"/>
          <w:sz w:val="22"/>
          <w:szCs w:val="22"/>
        </w:rPr>
        <w:t xml:space="preserve">Threat intelligence: </w:t>
      </w:r>
      <w:r>
        <w:rPr>
          <w:rFonts w:eastAsia="Arial" w:cs="Arial"/>
          <w:color w:val="1A1A1A"/>
          <w:sz w:val="22"/>
          <w:szCs w:val="22"/>
        </w:rPr>
        <w:t>information about threats, threat actors, and techniques used in attacks, used to inform defence.</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Security Manager: owns this Procedure; approves new memberships and engagement; coordinates threat intelligence.</w:t>
      </w:r>
    </w:p>
    <w:p>
      <w:pPr>
        <w:pStyle w:val="ListParagraph"/>
        <w:numPr>
          <w:ilvl w:val="0"/>
          <w:numId w:val="1"/>
        </w:numPr>
        <w:spacing w:lineRule="exact" w:line="280" w:before="40" w:after="40"/>
        <w:rPr/>
      </w:pPr>
      <w:r>
        <w:rPr>
          <w:rFonts w:eastAsia="Arial" w:cs="Arial"/>
          <w:color w:val="1A1A1A"/>
          <w:sz w:val="22"/>
          <w:szCs w:val="22"/>
        </w:rPr>
        <w:t>Privacy Lead: leads engagement with privacy-focused groups.</w:t>
      </w:r>
    </w:p>
    <w:p>
      <w:pPr>
        <w:pStyle w:val="ListParagraph"/>
        <w:numPr>
          <w:ilvl w:val="0"/>
          <w:numId w:val="1"/>
        </w:numPr>
        <w:spacing w:lineRule="exact" w:line="280" w:before="40" w:after="40"/>
        <w:rPr/>
      </w:pPr>
      <w:r>
        <w:rPr>
          <w:rFonts w:eastAsia="Arial" w:cs="Arial"/>
          <w:color w:val="1A1A1A"/>
          <w:sz w:val="22"/>
          <w:szCs w:val="22"/>
        </w:rPr>
        <w:t>CTO / Engineering Lead: leads engagement with technical communities.</w:t>
      </w:r>
    </w:p>
    <w:p>
      <w:pPr>
        <w:pStyle w:val="ListParagraph"/>
        <w:numPr>
          <w:ilvl w:val="0"/>
          <w:numId w:val="1"/>
        </w:numPr>
        <w:spacing w:lineRule="exact" w:line="280" w:before="40" w:after="40"/>
        <w:rPr/>
      </w:pPr>
      <w:r>
        <w:rPr>
          <w:rFonts w:eastAsia="Arial" w:cs="Arial"/>
          <w:color w:val="1A1A1A"/>
          <w:sz w:val="22"/>
          <w:szCs w:val="22"/>
        </w:rPr>
        <w:t>All personnel: comply with this Procedure when participating in external groups in their Cloudax capacity.</w:t>
      </w:r>
    </w:p>
    <w:p>
      <w:pPr>
        <w:pStyle w:val="Heading1"/>
        <w:spacing w:before="360" w:after="180"/>
        <w:rPr/>
      </w:pPr>
      <w:r>
        <w:rPr>
          <w:rFonts w:eastAsia="Arial" w:cs="Arial" w:ascii="Arial" w:hAnsi="Arial"/>
          <w:b/>
          <w:bCs/>
          <w:color w:val="0000FF"/>
          <w:sz w:val="36"/>
          <w:szCs w:val="36"/>
        </w:rPr>
        <w:t>5. Approved Categories of Engagement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categories are pre-approved at the level documented in REG-AUTH-001 §6:</w:t>
      </w:r>
    </w:p>
    <w:p>
      <w:pPr>
        <w:pStyle w:val="ListParagraph"/>
        <w:numPr>
          <w:ilvl w:val="0"/>
          <w:numId w:val="1"/>
        </w:numPr>
        <w:spacing w:lineRule="exact" w:line="280" w:before="40" w:after="40"/>
        <w:rPr/>
      </w:pPr>
      <w:r>
        <w:rPr>
          <w:rFonts w:eastAsia="Arial" w:cs="Arial"/>
          <w:color w:val="1A1A1A"/>
          <w:sz w:val="22"/>
          <w:szCs w:val="22"/>
        </w:rPr>
        <w:t>Industry trade bodies (e.g. techUK).</w:t>
      </w:r>
    </w:p>
    <w:p>
      <w:pPr>
        <w:pStyle w:val="ListParagraph"/>
        <w:numPr>
          <w:ilvl w:val="0"/>
          <w:numId w:val="1"/>
        </w:numPr>
        <w:spacing w:lineRule="exact" w:line="280" w:before="40" w:after="40"/>
        <w:rPr/>
      </w:pPr>
      <w:r>
        <w:rPr>
          <w:rFonts w:eastAsia="Arial" w:cs="Arial"/>
          <w:color w:val="1A1A1A"/>
          <w:sz w:val="22"/>
          <w:szCs w:val="22"/>
        </w:rPr>
        <w:t>Practitioner communities (BCS, OWASP, regional cyber communities).</w:t>
      </w:r>
    </w:p>
    <w:p>
      <w:pPr>
        <w:pStyle w:val="ListParagraph"/>
        <w:numPr>
          <w:ilvl w:val="0"/>
          <w:numId w:val="1"/>
        </w:numPr>
        <w:spacing w:lineRule="exact" w:line="280" w:before="40" w:after="40"/>
        <w:rPr/>
      </w:pPr>
      <w:r>
        <w:rPr>
          <w:rFonts w:eastAsia="Arial" w:cs="Arial"/>
          <w:color w:val="1A1A1A"/>
          <w:sz w:val="22"/>
          <w:szCs w:val="22"/>
        </w:rPr>
        <w:t>Privacy professional bodies (IAPP).</w:t>
      </w:r>
    </w:p>
    <w:p>
      <w:pPr>
        <w:pStyle w:val="ListParagraph"/>
        <w:numPr>
          <w:ilvl w:val="0"/>
          <w:numId w:val="1"/>
        </w:numPr>
        <w:spacing w:lineRule="exact" w:line="280" w:before="40" w:after="40"/>
        <w:rPr/>
      </w:pPr>
      <w:r>
        <w:rPr>
          <w:rFonts w:eastAsia="Arial" w:cs="Arial"/>
          <w:color w:val="1A1A1A"/>
          <w:sz w:val="22"/>
          <w:szCs w:val="22"/>
        </w:rPr>
        <w:t>UK national arrangements (NCSC CiSP, ICO communications).</w:t>
      </w:r>
    </w:p>
    <w:p>
      <w:pPr>
        <w:pStyle w:val="ListParagraph"/>
        <w:numPr>
          <w:ilvl w:val="0"/>
          <w:numId w:val="1"/>
        </w:numPr>
        <w:spacing w:lineRule="exact" w:line="280" w:before="40" w:after="40"/>
        <w:rPr/>
      </w:pPr>
      <w:r>
        <w:rPr>
          <w:rFonts w:eastAsia="Arial" w:cs="Arial"/>
          <w:color w:val="1A1A1A"/>
          <w:sz w:val="22"/>
          <w:szCs w:val="22"/>
        </w:rPr>
        <w:t>Sector ISACs / ISAOs (where relevant to Cloudax’s customer base).</w:t>
      </w:r>
    </w:p>
    <w:p>
      <w:pPr>
        <w:pStyle w:val="ListParagraph"/>
        <w:numPr>
          <w:ilvl w:val="0"/>
          <w:numId w:val="1"/>
        </w:numPr>
        <w:spacing w:lineRule="exact" w:line="280" w:before="40" w:after="40"/>
        <w:rPr/>
      </w:pPr>
      <w:r>
        <w:rPr>
          <w:rFonts w:eastAsia="Arial" w:cs="Arial"/>
          <w:color w:val="1A1A1A"/>
          <w:sz w:val="22"/>
          <w:szCs w:val="22"/>
        </w:rPr>
        <w:t>Vendor-specific user groups (where Cloudax depends on the vendor’s technology).</w:t>
      </w:r>
    </w:p>
    <w:p>
      <w:pPr>
        <w:pStyle w:val="Normal"/>
        <w:spacing w:lineRule="exact" w:line="300" w:before="80" w:after="120"/>
        <w:rPr/>
      </w:pPr>
      <w:r>
        <w:rPr>
          <w:rFonts w:eastAsia="Arial" w:cs="Arial"/>
          <w:color w:val="1A1A1A"/>
          <w:sz w:val="22"/>
          <w:szCs w:val="22"/>
        </w:rPr>
        <w:t>New categories or memberships beyond these are approved by the Information Security Manager.</w:t>
      </w:r>
    </w:p>
    <w:p>
      <w:pPr>
        <w:pStyle w:val="Heading1"/>
        <w:spacing w:before="360" w:after="180"/>
        <w:rPr/>
      </w:pPr>
      <w:r>
        <w:rPr>
          <w:rFonts w:eastAsia="Arial" w:cs="Arial" w:ascii="Arial" w:hAnsi="Arial"/>
          <w:b/>
          <w:bCs/>
          <w:color w:val="0000FF"/>
          <w:sz w:val="36"/>
          <w:szCs w:val="36"/>
        </w:rPr>
        <w:t>6. Joining and Maintaining Memberships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Membership applications are made through the Information Security Manager (or Privacy Lead / CTO for their domains).</w:t>
      </w:r>
    </w:p>
    <w:p>
      <w:pPr>
        <w:pStyle w:val="ListParagraph"/>
        <w:numPr>
          <w:ilvl w:val="0"/>
          <w:numId w:val="1"/>
        </w:numPr>
        <w:spacing w:lineRule="exact" w:line="280" w:before="40" w:after="40"/>
        <w:rPr/>
      </w:pPr>
      <w:r>
        <w:rPr>
          <w:rFonts w:eastAsia="Arial" w:cs="Arial"/>
          <w:color w:val="1A1A1A"/>
          <w:sz w:val="22"/>
          <w:szCs w:val="22"/>
        </w:rPr>
        <w:t>Where membership is paid, it is approved through Cloudax’s normal procurement.</w:t>
      </w:r>
    </w:p>
    <w:p>
      <w:pPr>
        <w:pStyle w:val="ListParagraph"/>
        <w:numPr>
          <w:ilvl w:val="0"/>
          <w:numId w:val="1"/>
        </w:numPr>
        <w:spacing w:lineRule="exact" w:line="280" w:before="40" w:after="40"/>
        <w:rPr/>
      </w:pPr>
      <w:r>
        <w:rPr>
          <w:rFonts w:eastAsia="Arial" w:cs="Arial"/>
          <w:color w:val="1A1A1A"/>
          <w:sz w:val="22"/>
          <w:szCs w:val="22"/>
        </w:rPr>
        <w:t>Where membership requires individual representation, the representative is named and recorded in REG-AUTH-001.</w:t>
      </w:r>
    </w:p>
    <w:p>
      <w:pPr>
        <w:pStyle w:val="ListParagraph"/>
        <w:numPr>
          <w:ilvl w:val="0"/>
          <w:numId w:val="1"/>
        </w:numPr>
        <w:spacing w:lineRule="exact" w:line="280" w:before="40" w:after="40"/>
        <w:rPr/>
      </w:pPr>
      <w:r>
        <w:rPr>
          <w:rFonts w:eastAsia="Arial" w:cs="Arial"/>
          <w:color w:val="1A1A1A"/>
          <w:sz w:val="22"/>
          <w:szCs w:val="22"/>
        </w:rPr>
        <w:t>Memberships are reviewed annually for ongoing relevance.</w:t>
      </w:r>
    </w:p>
    <w:p>
      <w:pPr>
        <w:pStyle w:val="Heading1"/>
        <w:spacing w:before="360" w:after="180"/>
        <w:rPr/>
      </w:pPr>
      <w:r>
        <w:rPr>
          <w:rFonts w:eastAsia="Arial" w:cs="Arial" w:ascii="Arial" w:hAnsi="Arial"/>
          <w:b/>
          <w:bCs/>
          <w:color w:val="0000FF"/>
          <w:sz w:val="36"/>
          <w:szCs w:val="36"/>
        </w:rPr>
        <w:t>7. Threat Intelligence Consumption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Threat intelligence consumed from special interest groups is filtered for relevance to Cloudax’s technology stack and customer base.</w:t>
      </w:r>
    </w:p>
    <w:p>
      <w:pPr>
        <w:pStyle w:val="ListParagraph"/>
        <w:numPr>
          <w:ilvl w:val="0"/>
          <w:numId w:val="1"/>
        </w:numPr>
        <w:spacing w:lineRule="exact" w:line="280" w:before="40" w:after="40"/>
        <w:rPr/>
      </w:pPr>
      <w:r>
        <w:rPr>
          <w:rFonts w:eastAsia="Arial" w:cs="Arial"/>
          <w:color w:val="1A1A1A"/>
          <w:sz w:val="22"/>
          <w:szCs w:val="22"/>
        </w:rPr>
        <w:t>Actionable intelligence is operationalised — indicators of compromise added to monitoring (POL-020), patches prioritised (POL-014), or briefings issued to personnel (PROG-TRAIN-001 just-in-time training).</w:t>
      </w:r>
    </w:p>
    <w:p>
      <w:pPr>
        <w:pStyle w:val="ListParagraph"/>
        <w:numPr>
          <w:ilvl w:val="0"/>
          <w:numId w:val="1"/>
        </w:numPr>
        <w:spacing w:lineRule="exact" w:line="280" w:before="40" w:after="40"/>
        <w:rPr/>
      </w:pPr>
      <w:r>
        <w:rPr>
          <w:rFonts w:eastAsia="Arial" w:cs="Arial"/>
          <w:color w:val="1A1A1A"/>
          <w:sz w:val="22"/>
          <w:szCs w:val="22"/>
        </w:rPr>
        <w:t>Threat intelligence handling respects any sharing constraints (e.g. Traffic Light Protocol).</w:t>
      </w:r>
    </w:p>
    <w:p>
      <w:pPr>
        <w:pStyle w:val="Heading1"/>
        <w:spacing w:before="360" w:after="180"/>
        <w:rPr/>
      </w:pPr>
      <w:r>
        <w:rPr>
          <w:rFonts w:eastAsia="Arial" w:cs="Arial" w:ascii="Arial" w:hAnsi="Arial"/>
          <w:b/>
          <w:bCs/>
          <w:color w:val="0000FF"/>
          <w:sz w:val="36"/>
          <w:szCs w:val="36"/>
        </w:rPr>
        <w:t>8. Confidential Information Handling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Personnel must not disclose Cloudax confidential information when participating in external groups.</w:t>
      </w:r>
    </w:p>
    <w:p>
      <w:pPr>
        <w:pStyle w:val="ListParagraph"/>
        <w:numPr>
          <w:ilvl w:val="0"/>
          <w:numId w:val="1"/>
        </w:numPr>
        <w:spacing w:lineRule="exact" w:line="280" w:before="40" w:after="40"/>
        <w:rPr/>
      </w:pPr>
      <w:r>
        <w:rPr>
          <w:rFonts w:eastAsia="Arial" w:cs="Arial"/>
          <w:color w:val="1A1A1A"/>
          <w:sz w:val="22"/>
          <w:szCs w:val="22"/>
        </w:rPr>
        <w:t>Where threat intelligence sharing requires reciprocity, what may be shared is approved in advance by the Information Security Manager and is anonymised where practicable.</w:t>
      </w:r>
    </w:p>
    <w:p>
      <w:pPr>
        <w:pStyle w:val="ListParagraph"/>
        <w:numPr>
          <w:ilvl w:val="0"/>
          <w:numId w:val="1"/>
        </w:numPr>
        <w:spacing w:lineRule="exact" w:line="280" w:before="40" w:after="40"/>
        <w:rPr/>
      </w:pPr>
      <w:r>
        <w:rPr>
          <w:rFonts w:eastAsia="Arial" w:cs="Arial"/>
          <w:color w:val="1A1A1A"/>
          <w:sz w:val="22"/>
          <w:szCs w:val="22"/>
        </w:rPr>
        <w:t>Where information is shared under TLP:RED or equivalent constraint, distribution within Cloudax is on a need-to-know basis.</w:t>
      </w:r>
    </w:p>
    <w:p>
      <w:pPr>
        <w:pStyle w:val="ListParagraph"/>
        <w:numPr>
          <w:ilvl w:val="0"/>
          <w:numId w:val="1"/>
        </w:numPr>
        <w:spacing w:lineRule="exact" w:line="280" w:before="40" w:after="40"/>
        <w:rPr/>
      </w:pPr>
      <w:r>
        <w:rPr>
          <w:rFonts w:eastAsia="Arial" w:cs="Arial"/>
          <w:color w:val="1A1A1A"/>
          <w:sz w:val="22"/>
          <w:szCs w:val="22"/>
        </w:rPr>
        <w:t>Discussions in external groups concerning incidents — even general patterns — must be limited to what has been approved for sharing.</w:t>
      </w:r>
    </w:p>
    <w:p>
      <w:pPr>
        <w:pStyle w:val="Heading1"/>
        <w:spacing w:before="360" w:after="180"/>
        <w:rPr/>
      </w:pPr>
      <w:r>
        <w:rPr>
          <w:rFonts w:eastAsia="Arial" w:cs="Arial" w:ascii="Arial" w:hAnsi="Arial"/>
          <w:b/>
          <w:bCs/>
          <w:color w:val="0000FF"/>
          <w:sz w:val="36"/>
          <w:szCs w:val="36"/>
        </w:rPr>
        <w:t>9. Contributing to External Groups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Personnel may contribute (e.g. talks, blog posts, panel participation) where this is consistent with their role.</w:t>
      </w:r>
    </w:p>
    <w:p>
      <w:pPr>
        <w:pStyle w:val="ListParagraph"/>
        <w:numPr>
          <w:ilvl w:val="0"/>
          <w:numId w:val="1"/>
        </w:numPr>
        <w:spacing w:lineRule="exact" w:line="280" w:before="40" w:after="40"/>
        <w:rPr/>
      </w:pPr>
      <w:r>
        <w:rPr>
          <w:rFonts w:eastAsia="Arial" w:cs="Arial"/>
          <w:color w:val="1A1A1A"/>
          <w:sz w:val="22"/>
          <w:szCs w:val="22"/>
        </w:rPr>
        <w:t>Contributions concerning Cloudax content (technology, customers, incidents) require approval per the Cloudax communications process.</w:t>
      </w:r>
    </w:p>
    <w:p>
      <w:pPr>
        <w:pStyle w:val="ListParagraph"/>
        <w:numPr>
          <w:ilvl w:val="0"/>
          <w:numId w:val="1"/>
        </w:numPr>
        <w:spacing w:lineRule="exact" w:line="280" w:before="40" w:after="40"/>
        <w:rPr/>
      </w:pPr>
      <w:r>
        <w:rPr>
          <w:rFonts w:eastAsia="Arial" w:cs="Arial"/>
          <w:color w:val="1A1A1A"/>
          <w:sz w:val="22"/>
          <w:szCs w:val="22"/>
        </w:rPr>
        <w:t>Personal contributions (independent of Cloudax) follow the Acceptable Use Policy (POL-003 §13).</w:t>
      </w:r>
    </w:p>
    <w:p>
      <w:pPr>
        <w:pStyle w:val="Heading1"/>
        <w:spacing w:before="360" w:after="180"/>
        <w:rPr/>
      </w:pPr>
      <w:r>
        <w:rPr>
          <w:rFonts w:eastAsia="Arial" w:cs="Arial" w:ascii="Arial" w:hAnsi="Arial"/>
          <w:b/>
          <w:bCs/>
          <w:color w:val="0000FF"/>
          <w:sz w:val="36"/>
          <w:szCs w:val="36"/>
        </w:rPr>
        <w:t>10. Records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Memberships and primary contacts are recorded in REG-AUTH-001.</w:t>
      </w:r>
    </w:p>
    <w:p>
      <w:pPr>
        <w:pStyle w:val="ListParagraph"/>
        <w:numPr>
          <w:ilvl w:val="0"/>
          <w:numId w:val="1"/>
        </w:numPr>
        <w:spacing w:lineRule="exact" w:line="280" w:before="40" w:after="40"/>
        <w:rPr/>
      </w:pPr>
      <w:r>
        <w:rPr>
          <w:rFonts w:eastAsia="Arial" w:cs="Arial"/>
          <w:color w:val="1A1A1A"/>
          <w:sz w:val="22"/>
          <w:szCs w:val="22"/>
        </w:rPr>
        <w:t>Material engagement (e.g. attending threat-sharing meetings) is summarised periodically in management review.</w:t>
      </w:r>
    </w:p>
    <w:p>
      <w:pPr>
        <w:pStyle w:val="Heading1"/>
        <w:spacing w:before="360" w:after="180"/>
        <w:rPr/>
      </w:pPr>
      <w:r>
        <w:rPr>
          <w:rFonts w:eastAsia="Arial" w:cs="Arial" w:ascii="Arial" w:hAnsi="Arial"/>
          <w:b/>
          <w:bCs/>
          <w:color w:val="0000FF"/>
          <w:sz w:val="36"/>
          <w:szCs w:val="36"/>
        </w:rPr>
        <w:t>11.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is reviewed at least annually and on material change to engagement obligations.</w:t>
      </w:r>
    </w:p>
    <w:p>
      <w:pPr>
        <w:pStyle w:val="Heading1"/>
        <w:spacing w:before="360" w:after="180"/>
        <w:rPr/>
      </w:pPr>
      <w:r>
        <w:rPr>
          <w:rFonts w:eastAsia="Arial" w:cs="Arial" w:ascii="Arial" w:hAnsi="Arial"/>
          <w:b/>
          <w:bCs/>
          <w:color w:val="0000FF"/>
          <w:sz w:val="36"/>
          <w:szCs w:val="36"/>
        </w:rPr>
        <w:t>12.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Personnel engaging with external groups in their Cloudax capacity are required to acknowledge this Procedure.</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27001:2022 Annex A controls, as recorded in the Cloudax Statement of Applicability (ISMS-SOA-001 v4.0).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A.5.6</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Contact with special interest groups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A.5.7</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Threat intelligence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PRO-025 Special Interest Group Engagement Procedure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PRO-025 Special Interest Group Engagement Procedure  •  Internal  </w:t>
      <w:tab/>
      <w:t>v1.0  •  April 2026</w:t>
      <w:tab/>
      <w:t xml:space="preserve">Page </w:t>
    </w:r>
    <w:r>
      <w:rPr/>
      <w:fldChar w:fldCharType="begin"/>
    </w:r>
    <w:r>
      <w:rPr/>
      <w:instrText xml:space="preserve"> PAGE </w:instrText>
    </w:r>
    <w:r>
      <w:rPr/>
      <w:fldChar w:fldCharType="separate"/>
    </w:r>
    <w:r>
      <w:rPr/>
      <w:t>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2026-04-06T16:15:53Z</dcterms:created>
  <dc:creator>David Stokes</dc:creator>
  <dc:description/>
  <dc:language>en-US</dc:language>
  <cp:lastModifiedBy>David Stokes</cp:lastModifiedBy>
  <dcterms:modified xsi:type="dcterms:W3CDTF">2026-04-06T16:41:53Z</dcterms:modified>
  <cp:revision>1</cp:revision>
  <dc:subject/>
  <dc:title>Cloudax Special Interest Group Engagement Procedure</dc:title>
</cp:coreProperties>
</file>

<file path=docProps/custom.xml><?xml version="1.0" encoding="utf-8"?>
<Properties xmlns="http://schemas.openxmlformats.org/officeDocument/2006/custom-properties" xmlns:vt="http://schemas.openxmlformats.org/officeDocument/2006/docPropsVTypes"/>
</file>