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Supplier Onboarding Procedure</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PRO-021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Supplier Onboarding Procedure</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Roles and Responsibilities</w:t>
      </w:r>
    </w:p>
    <w:p>
      <w:pPr>
        <w:pStyle w:val="Normal"/>
        <w:spacing w:before="40" w:after="40"/>
        <w:rPr/>
      </w:pPr>
      <w:r>
        <w:rPr>
          <w:rFonts w:eastAsia="Arial" w:cs="Arial"/>
          <w:color w:val="1A1A1A"/>
          <w:sz w:val="22"/>
          <w:szCs w:val="22"/>
        </w:rPr>
        <w:t>5. The Onboarding Process</w:t>
      </w:r>
    </w:p>
    <w:p>
      <w:pPr>
        <w:pStyle w:val="Normal"/>
        <w:spacing w:before="40" w:after="40"/>
        <w:rPr/>
      </w:pPr>
      <w:r>
        <w:rPr>
          <w:rFonts w:eastAsia="Arial" w:cs="Arial"/>
          <w:color w:val="1A1A1A"/>
          <w:sz w:val="22"/>
          <w:szCs w:val="22"/>
        </w:rPr>
        <w:t xml:space="preserve">   </w:t>
      </w:r>
      <w:r>
        <w:rPr>
          <w:rFonts w:eastAsia="Arial" w:cs="Arial"/>
          <w:color w:val="1A1A1A"/>
          <w:sz w:val="22"/>
          <w:szCs w:val="22"/>
        </w:rPr>
        <w:t>5.1 Stage 1 — Need Assessment and Classification</w:t>
      </w:r>
    </w:p>
    <w:p>
      <w:pPr>
        <w:pStyle w:val="Normal"/>
        <w:spacing w:before="40" w:after="40"/>
        <w:rPr/>
      </w:pPr>
      <w:r>
        <w:rPr>
          <w:rFonts w:eastAsia="Arial" w:cs="Arial"/>
          <w:color w:val="1A1A1A"/>
          <w:sz w:val="22"/>
          <w:szCs w:val="22"/>
        </w:rPr>
        <w:t xml:space="preserve">   </w:t>
      </w:r>
      <w:r>
        <w:rPr>
          <w:rFonts w:eastAsia="Arial" w:cs="Arial"/>
          <w:color w:val="1A1A1A"/>
          <w:sz w:val="22"/>
          <w:szCs w:val="22"/>
        </w:rPr>
        <w:t>5.2 Stage 2 — Tier Assignment</w:t>
      </w:r>
    </w:p>
    <w:p>
      <w:pPr>
        <w:pStyle w:val="Normal"/>
        <w:spacing w:before="40" w:after="40"/>
        <w:rPr/>
      </w:pPr>
      <w:r>
        <w:rPr>
          <w:rFonts w:eastAsia="Arial" w:cs="Arial"/>
          <w:color w:val="1A1A1A"/>
          <w:sz w:val="22"/>
          <w:szCs w:val="22"/>
        </w:rPr>
        <w:t xml:space="preserve">   </w:t>
      </w:r>
      <w:r>
        <w:rPr>
          <w:rFonts w:eastAsia="Arial" w:cs="Arial"/>
          <w:color w:val="1A1A1A"/>
          <w:sz w:val="22"/>
          <w:szCs w:val="22"/>
        </w:rPr>
        <w:t>5.3 Stage 3 — Security Assurance Evidence</w:t>
      </w:r>
    </w:p>
    <w:p>
      <w:pPr>
        <w:pStyle w:val="Normal"/>
        <w:spacing w:before="40" w:after="40"/>
        <w:rPr/>
      </w:pPr>
      <w:r>
        <w:rPr>
          <w:rFonts w:eastAsia="Arial" w:cs="Arial"/>
          <w:color w:val="1A1A1A"/>
          <w:sz w:val="22"/>
          <w:szCs w:val="22"/>
        </w:rPr>
        <w:t xml:space="preserve">   </w:t>
      </w:r>
      <w:r>
        <w:rPr>
          <w:rFonts w:eastAsia="Arial" w:cs="Arial"/>
          <w:color w:val="1A1A1A"/>
          <w:sz w:val="22"/>
          <w:szCs w:val="22"/>
        </w:rPr>
        <w:t>5.4 Stage 4 — Risk Assessment</w:t>
      </w:r>
    </w:p>
    <w:p>
      <w:pPr>
        <w:pStyle w:val="Normal"/>
        <w:spacing w:before="40" w:after="40"/>
        <w:rPr/>
      </w:pPr>
      <w:r>
        <w:rPr>
          <w:rFonts w:eastAsia="Arial" w:cs="Arial"/>
          <w:color w:val="1A1A1A"/>
          <w:sz w:val="22"/>
          <w:szCs w:val="22"/>
        </w:rPr>
        <w:t xml:space="preserve">   </w:t>
      </w:r>
      <w:r>
        <w:rPr>
          <w:rFonts w:eastAsia="Arial" w:cs="Arial"/>
          <w:color w:val="1A1A1A"/>
          <w:sz w:val="22"/>
          <w:szCs w:val="22"/>
        </w:rPr>
        <w:t>5.5 Stage 5 — Contractual</w:t>
      </w:r>
    </w:p>
    <w:p>
      <w:pPr>
        <w:pStyle w:val="Normal"/>
        <w:spacing w:before="40" w:after="40"/>
        <w:rPr/>
      </w:pPr>
      <w:r>
        <w:rPr>
          <w:rFonts w:eastAsia="Arial" w:cs="Arial"/>
          <w:color w:val="1A1A1A"/>
          <w:sz w:val="22"/>
          <w:szCs w:val="22"/>
        </w:rPr>
        <w:t xml:space="preserve">   </w:t>
      </w:r>
      <w:r>
        <w:rPr>
          <w:rFonts w:eastAsia="Arial" w:cs="Arial"/>
          <w:color w:val="1A1A1A"/>
          <w:sz w:val="22"/>
          <w:szCs w:val="22"/>
        </w:rPr>
        <w:t>5.6 Stage 6 — Provisioning</w:t>
      </w:r>
    </w:p>
    <w:p>
      <w:pPr>
        <w:pStyle w:val="Normal"/>
        <w:spacing w:before="40" w:after="40"/>
        <w:rPr/>
      </w:pPr>
      <w:r>
        <w:rPr>
          <w:rFonts w:eastAsia="Arial" w:cs="Arial"/>
          <w:color w:val="1A1A1A"/>
          <w:sz w:val="22"/>
          <w:szCs w:val="22"/>
        </w:rPr>
        <w:t xml:space="preserve">   </w:t>
      </w:r>
      <w:r>
        <w:rPr>
          <w:rFonts w:eastAsia="Arial" w:cs="Arial"/>
          <w:color w:val="1A1A1A"/>
          <w:sz w:val="22"/>
          <w:szCs w:val="22"/>
        </w:rPr>
        <w:t>5.7 Stage 7 — Recording</w:t>
      </w:r>
    </w:p>
    <w:p>
      <w:pPr>
        <w:pStyle w:val="Normal"/>
        <w:spacing w:before="40" w:after="40"/>
        <w:rPr/>
      </w:pPr>
      <w:r>
        <w:rPr>
          <w:rFonts w:eastAsia="Arial" w:cs="Arial"/>
          <w:color w:val="1A1A1A"/>
          <w:sz w:val="22"/>
          <w:szCs w:val="22"/>
        </w:rPr>
        <w:t>6. Tier 1 Critical Suppliers</w:t>
      </w:r>
    </w:p>
    <w:p>
      <w:pPr>
        <w:pStyle w:val="Normal"/>
        <w:spacing w:before="40" w:after="40"/>
        <w:rPr/>
      </w:pPr>
      <w:r>
        <w:rPr>
          <w:rFonts w:eastAsia="Arial" w:cs="Arial"/>
          <w:color w:val="1A1A1A"/>
          <w:sz w:val="22"/>
          <w:szCs w:val="22"/>
        </w:rPr>
        <w:t>7. Personal Data Processors</w:t>
      </w:r>
    </w:p>
    <w:p>
      <w:pPr>
        <w:pStyle w:val="Normal"/>
        <w:spacing w:before="40" w:after="40"/>
        <w:rPr/>
      </w:pPr>
      <w:r>
        <w:rPr>
          <w:rFonts w:eastAsia="Arial" w:cs="Arial"/>
          <w:color w:val="1A1A1A"/>
          <w:sz w:val="22"/>
          <w:szCs w:val="22"/>
        </w:rPr>
        <w:t>8. AI and Machine Learning Suppliers</w:t>
      </w:r>
    </w:p>
    <w:p>
      <w:pPr>
        <w:pStyle w:val="Normal"/>
        <w:spacing w:before="40" w:after="40"/>
        <w:rPr/>
      </w:pPr>
      <w:r>
        <w:rPr>
          <w:rFonts w:eastAsia="Arial" w:cs="Arial"/>
          <w:color w:val="1A1A1A"/>
          <w:sz w:val="22"/>
          <w:szCs w:val="22"/>
        </w:rPr>
        <w:t>9. Documenting the Decision</w:t>
      </w:r>
    </w:p>
    <w:p>
      <w:pPr>
        <w:pStyle w:val="Normal"/>
        <w:spacing w:before="40" w:after="40"/>
        <w:rPr/>
      </w:pPr>
      <w:r>
        <w:rPr>
          <w:rFonts w:eastAsia="Arial" w:cs="Arial"/>
          <w:color w:val="1A1A1A"/>
          <w:sz w:val="22"/>
          <w:szCs w:val="22"/>
        </w:rPr>
        <w:t>10. Records and Retention</w:t>
      </w:r>
    </w:p>
    <w:p>
      <w:pPr>
        <w:pStyle w:val="Normal"/>
        <w:spacing w:before="40" w:after="40"/>
        <w:rPr/>
      </w:pPr>
      <w:r>
        <w:rPr>
          <w:rFonts w:eastAsia="Arial" w:cs="Arial"/>
          <w:color w:val="1A1A1A"/>
          <w:sz w:val="22"/>
          <w:szCs w:val="22"/>
        </w:rPr>
        <w:t>11. Compliance Monitoring</w:t>
      </w:r>
    </w:p>
    <w:p>
      <w:pPr>
        <w:pStyle w:val="Normal"/>
        <w:spacing w:before="40" w:after="40"/>
        <w:rPr/>
      </w:pPr>
      <w:r>
        <w:rPr>
          <w:rFonts w:eastAsia="Arial" w:cs="Arial"/>
          <w:color w:val="1A1A1A"/>
          <w:sz w:val="22"/>
          <w:szCs w:val="22"/>
        </w:rPr>
        <w:t>12. Maintenance</w:t>
      </w:r>
    </w:p>
    <w:p>
      <w:pPr>
        <w:pStyle w:val="Normal"/>
        <w:spacing w:before="40" w:after="40"/>
        <w:rPr/>
      </w:pPr>
      <w:r>
        <w:rPr>
          <w:rFonts w:eastAsia="Arial" w:cs="Arial"/>
          <w:color w:val="1A1A1A"/>
          <w:sz w:val="22"/>
          <w:szCs w:val="22"/>
        </w:rPr>
        <w:t>13.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defines how Cloudax Ltd. onboards new suppliers, contractors, and partners that have access to Cloudax information or that provide services that may affect Cloudax’s information security. It implements POL-006 Supplier Security Policy.</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 A.5.21 Managing information security in the ICT supply chain</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applies to all new supplier engagements that fall within the supplier security scope as defined in POL-006.</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Supplier: </w:t>
      </w:r>
      <w:r>
        <w:rPr>
          <w:rFonts w:eastAsia="Arial" w:cs="Arial"/>
          <w:color w:val="1A1A1A"/>
          <w:sz w:val="22"/>
          <w:szCs w:val="22"/>
        </w:rPr>
        <w:t>any third party providing goods or services to Cloudax under a contractual arrangement.</w:t>
      </w:r>
    </w:p>
    <w:p>
      <w:pPr>
        <w:pStyle w:val="ListParagraph"/>
        <w:numPr>
          <w:ilvl w:val="0"/>
          <w:numId w:val="1"/>
        </w:numPr>
        <w:spacing w:lineRule="exact" w:line="280" w:before="40" w:after="40"/>
        <w:rPr/>
      </w:pPr>
      <w:r>
        <w:rPr>
          <w:rFonts w:eastAsia="Arial" w:cs="Arial"/>
          <w:b/>
          <w:bCs/>
          <w:color w:val="1A1A1A"/>
          <w:sz w:val="22"/>
          <w:szCs w:val="22"/>
        </w:rPr>
        <w:t xml:space="preserve">Tier: </w:t>
      </w:r>
      <w:r>
        <w:rPr>
          <w:rFonts w:eastAsia="Arial" w:cs="Arial"/>
          <w:color w:val="1A1A1A"/>
          <w:sz w:val="22"/>
          <w:szCs w:val="22"/>
        </w:rPr>
        <w:t>the categorisation of a supplier per POL-006 §6.</w:t>
      </w:r>
    </w:p>
    <w:p>
      <w:pPr>
        <w:pStyle w:val="Heading1"/>
        <w:spacing w:before="360" w:after="180"/>
        <w:rPr/>
      </w:pPr>
      <w:r>
        <w:rPr>
          <w:rFonts w:eastAsia="Arial" w:cs="Arial" w:ascii="Arial" w:hAnsi="Arial"/>
          <w:b/>
          <w:bCs/>
          <w:color w:val="0000FF"/>
          <w:sz w:val="36"/>
          <w:szCs w:val="36"/>
        </w:rPr>
        <w:t>4.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Supplier owner: the named individual who initiates and stewards the engagement.</w:t>
      </w:r>
    </w:p>
    <w:p>
      <w:pPr>
        <w:pStyle w:val="ListParagraph"/>
        <w:numPr>
          <w:ilvl w:val="0"/>
          <w:numId w:val="1"/>
        </w:numPr>
        <w:spacing w:lineRule="exact" w:line="280" w:before="40" w:after="40"/>
        <w:rPr/>
      </w:pPr>
      <w:r>
        <w:rPr>
          <w:rFonts w:eastAsia="Arial" w:cs="Arial"/>
          <w:color w:val="1A1A1A"/>
          <w:sz w:val="22"/>
          <w:szCs w:val="22"/>
        </w:rPr>
        <w:t>Information Security Manager: approves Tier 1 and Tier 2 engagements; reviews assurance evidence.</w:t>
      </w:r>
    </w:p>
    <w:p>
      <w:pPr>
        <w:pStyle w:val="ListParagraph"/>
        <w:numPr>
          <w:ilvl w:val="0"/>
          <w:numId w:val="1"/>
        </w:numPr>
        <w:spacing w:lineRule="exact" w:line="280" w:before="40" w:after="40"/>
        <w:rPr/>
      </w:pPr>
      <w:r>
        <w:rPr>
          <w:rFonts w:eastAsia="Arial" w:cs="Arial"/>
          <w:color w:val="1A1A1A"/>
          <w:sz w:val="22"/>
          <w:szCs w:val="22"/>
        </w:rPr>
        <w:t>Privacy Lead: approves engagements involving personal data; reviews DPA.</w:t>
      </w:r>
    </w:p>
    <w:p>
      <w:pPr>
        <w:pStyle w:val="ListParagraph"/>
        <w:numPr>
          <w:ilvl w:val="0"/>
          <w:numId w:val="1"/>
        </w:numPr>
        <w:spacing w:lineRule="exact" w:line="280" w:before="40" w:after="40"/>
        <w:rPr/>
      </w:pPr>
      <w:r>
        <w:rPr>
          <w:rFonts w:eastAsia="Arial" w:cs="Arial"/>
          <w:color w:val="1A1A1A"/>
          <w:sz w:val="22"/>
          <w:szCs w:val="22"/>
        </w:rPr>
        <w:t>Chief Technology Officer: approves cloud service providers and platform suppliers.</w:t>
      </w:r>
    </w:p>
    <w:p>
      <w:pPr>
        <w:pStyle w:val="ListParagraph"/>
        <w:numPr>
          <w:ilvl w:val="0"/>
          <w:numId w:val="1"/>
        </w:numPr>
        <w:spacing w:lineRule="exact" w:line="280" w:before="40" w:after="40"/>
        <w:rPr/>
      </w:pPr>
      <w:r>
        <w:rPr>
          <w:rFonts w:eastAsia="Arial" w:cs="Arial"/>
          <w:color w:val="1A1A1A"/>
          <w:sz w:val="22"/>
          <w:szCs w:val="22"/>
        </w:rPr>
        <w:t>Finance / Legal: support contracting.</w:t>
      </w:r>
    </w:p>
    <w:p>
      <w:pPr>
        <w:pStyle w:val="Heading1"/>
        <w:spacing w:before="360" w:after="180"/>
        <w:rPr/>
      </w:pPr>
      <w:r>
        <w:rPr>
          <w:rFonts w:eastAsia="Arial" w:cs="Arial" w:ascii="Arial" w:hAnsi="Arial"/>
          <w:b/>
          <w:bCs/>
          <w:color w:val="0000FF"/>
          <w:sz w:val="36"/>
          <w:szCs w:val="36"/>
        </w:rPr>
        <w:t>5. The Onboarding Process</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5.1 Stage 1 — Need Assessment and Classification</w:t>
      </w:r>
    </w:p>
    <w:p>
      <w:pPr>
        <w:pStyle w:val="ListParagraph"/>
        <w:numPr>
          <w:ilvl w:val="0"/>
          <w:numId w:val="1"/>
        </w:numPr>
        <w:spacing w:lineRule="exact" w:line="280" w:before="40" w:after="40"/>
        <w:rPr/>
      </w:pPr>
      <w:r>
        <w:rPr>
          <w:rFonts w:eastAsia="Arial" w:cs="Arial"/>
          <w:color w:val="1A1A1A"/>
          <w:sz w:val="22"/>
          <w:szCs w:val="22"/>
        </w:rPr>
        <w:t>Identify the business need; consider whether existing suppliers can meet it.</w:t>
      </w:r>
    </w:p>
    <w:p>
      <w:pPr>
        <w:pStyle w:val="ListParagraph"/>
        <w:numPr>
          <w:ilvl w:val="0"/>
          <w:numId w:val="1"/>
        </w:numPr>
        <w:spacing w:lineRule="exact" w:line="280" w:before="40" w:after="40"/>
        <w:rPr/>
      </w:pPr>
      <w:r>
        <w:rPr>
          <w:rFonts w:eastAsia="Arial" w:cs="Arial"/>
          <w:color w:val="1A1A1A"/>
          <w:sz w:val="22"/>
          <w:szCs w:val="22"/>
        </w:rPr>
        <w:t>Identify the categories and classification of Cloudax information involved (POL-004).</w:t>
      </w:r>
    </w:p>
    <w:p>
      <w:pPr>
        <w:pStyle w:val="ListParagraph"/>
        <w:numPr>
          <w:ilvl w:val="0"/>
          <w:numId w:val="1"/>
        </w:numPr>
        <w:spacing w:lineRule="exact" w:line="280" w:before="40" w:after="40"/>
        <w:rPr/>
      </w:pPr>
      <w:r>
        <w:rPr>
          <w:rFonts w:eastAsia="Arial" w:cs="Arial"/>
          <w:color w:val="1A1A1A"/>
          <w:sz w:val="22"/>
          <w:szCs w:val="22"/>
        </w:rPr>
        <w:t>Identify whether personal data is involved and Cloudax’s role (controller / processor / joint).</w:t>
      </w:r>
    </w:p>
    <w:p>
      <w:pPr>
        <w:pStyle w:val="Heading2"/>
        <w:spacing w:before="280" w:after="140"/>
        <w:rPr/>
      </w:pPr>
      <w:r>
        <w:rPr>
          <w:rFonts w:eastAsia="Arial" w:cs="Arial" w:ascii="Arial" w:hAnsi="Arial"/>
          <w:b/>
          <w:bCs/>
          <w:color w:val="0000FF"/>
          <w:sz w:val="28"/>
          <w:szCs w:val="28"/>
        </w:rPr>
        <w:t>5.2 Stage 2 — Tier Assignment</w:t>
      </w:r>
    </w:p>
    <w:p>
      <w:pPr>
        <w:pStyle w:val="ListParagraph"/>
        <w:numPr>
          <w:ilvl w:val="0"/>
          <w:numId w:val="1"/>
        </w:numPr>
        <w:spacing w:lineRule="exact" w:line="280" w:before="40" w:after="40"/>
        <w:rPr/>
      </w:pPr>
      <w:r>
        <w:rPr>
          <w:rFonts w:eastAsia="Arial" w:cs="Arial"/>
          <w:color w:val="1A1A1A"/>
          <w:sz w:val="22"/>
          <w:szCs w:val="22"/>
        </w:rPr>
        <w:t>Assign tier per POL-006 §6 based on data sensitivity and business criticality.</w:t>
      </w:r>
    </w:p>
    <w:p>
      <w:pPr>
        <w:pStyle w:val="ListParagraph"/>
        <w:numPr>
          <w:ilvl w:val="0"/>
          <w:numId w:val="1"/>
        </w:numPr>
        <w:spacing w:lineRule="exact" w:line="280" w:before="40" w:after="40"/>
        <w:rPr/>
      </w:pPr>
      <w:r>
        <w:rPr>
          <w:rFonts w:eastAsia="Arial" w:cs="Arial"/>
          <w:color w:val="1A1A1A"/>
          <w:sz w:val="22"/>
          <w:szCs w:val="22"/>
        </w:rPr>
        <w:t>Tier drives the depth of assurance required at Stage 3.</w:t>
      </w:r>
    </w:p>
    <w:p>
      <w:pPr>
        <w:pStyle w:val="Heading2"/>
        <w:spacing w:before="280" w:after="140"/>
        <w:rPr/>
      </w:pPr>
      <w:r>
        <w:rPr>
          <w:rFonts w:eastAsia="Arial" w:cs="Arial" w:ascii="Arial" w:hAnsi="Arial"/>
          <w:b/>
          <w:bCs/>
          <w:color w:val="0000FF"/>
          <w:sz w:val="28"/>
          <w:szCs w:val="28"/>
        </w:rPr>
        <w:t>5.3 Stage 3 — Security Assurance Evidence</w:t>
      </w:r>
    </w:p>
    <w:p>
      <w:pPr>
        <w:pStyle w:val="Normal"/>
        <w:spacing w:lineRule="exact" w:line="300" w:before="80" w:after="120"/>
        <w:rPr/>
      </w:pPr>
      <w:r>
        <w:rPr>
          <w:rFonts w:eastAsia="Arial" w:cs="Arial"/>
          <w:color w:val="1A1A1A"/>
          <w:sz w:val="22"/>
          <w:szCs w:val="22"/>
        </w:rPr>
        <w:t>Evidence required by tier:</w:t>
      </w:r>
    </w:p>
    <w:p>
      <w:pPr>
        <w:pStyle w:val="ListParagraph"/>
        <w:numPr>
          <w:ilvl w:val="0"/>
          <w:numId w:val="1"/>
        </w:numPr>
        <w:spacing w:lineRule="exact" w:line="280" w:before="40" w:after="40"/>
        <w:rPr/>
      </w:pPr>
      <w:r>
        <w:rPr>
          <w:rFonts w:eastAsia="Arial" w:cs="Arial"/>
          <w:color w:val="1A1A1A"/>
          <w:sz w:val="22"/>
          <w:szCs w:val="22"/>
        </w:rPr>
        <w:t>Tier 1 (Critical): ISO 27001 certificate (Statement of Applicability if requested), SOC 2 report (most recent), recent independent penetration test summary, incident history, BCP/DRP attestation.</w:t>
      </w:r>
    </w:p>
    <w:p>
      <w:pPr>
        <w:pStyle w:val="ListParagraph"/>
        <w:numPr>
          <w:ilvl w:val="0"/>
          <w:numId w:val="1"/>
        </w:numPr>
        <w:spacing w:lineRule="exact" w:line="280" w:before="40" w:after="40"/>
        <w:rPr/>
      </w:pPr>
      <w:r>
        <w:rPr>
          <w:rFonts w:eastAsia="Arial" w:cs="Arial"/>
          <w:color w:val="1A1A1A"/>
          <w:sz w:val="22"/>
          <w:szCs w:val="22"/>
        </w:rPr>
        <w:t>Tier 2 (Important): ISO 27001 certificate or equivalent assurance report, supplier security questionnaire.</w:t>
      </w:r>
    </w:p>
    <w:p>
      <w:pPr>
        <w:pStyle w:val="ListParagraph"/>
        <w:numPr>
          <w:ilvl w:val="0"/>
          <w:numId w:val="1"/>
        </w:numPr>
        <w:spacing w:lineRule="exact" w:line="280" w:before="40" w:after="40"/>
        <w:rPr/>
      </w:pPr>
      <w:r>
        <w:rPr>
          <w:rFonts w:eastAsia="Arial" w:cs="Arial"/>
          <w:color w:val="1A1A1A"/>
          <w:sz w:val="22"/>
          <w:szCs w:val="22"/>
        </w:rPr>
        <w:t>Tier 3 (Standard): supplier security questionnaire, evidence of security programme.</w:t>
      </w:r>
    </w:p>
    <w:p>
      <w:pPr>
        <w:pStyle w:val="ListParagraph"/>
        <w:numPr>
          <w:ilvl w:val="0"/>
          <w:numId w:val="1"/>
        </w:numPr>
        <w:spacing w:lineRule="exact" w:line="280" w:before="40" w:after="40"/>
        <w:rPr/>
      </w:pPr>
      <w:r>
        <w:rPr>
          <w:rFonts w:eastAsia="Arial" w:cs="Arial"/>
          <w:color w:val="1A1A1A"/>
          <w:sz w:val="22"/>
          <w:szCs w:val="22"/>
        </w:rPr>
        <w:t>Tier 4 (Minimal): light-touch confirmation of confidentiality and security commitments.</w:t>
      </w:r>
    </w:p>
    <w:p>
      <w:pPr>
        <w:pStyle w:val="Normal"/>
        <w:spacing w:lineRule="exact" w:line="300" w:before="80" w:after="120"/>
        <w:rPr/>
      </w:pPr>
      <w:r>
        <w:rPr>
          <w:rFonts w:eastAsia="Arial" w:cs="Arial"/>
          <w:color w:val="1A1A1A"/>
          <w:sz w:val="22"/>
          <w:szCs w:val="22"/>
        </w:rPr>
        <w:t>Evidence is reviewed for currency, scope, and material findings.</w:t>
      </w:r>
    </w:p>
    <w:p>
      <w:pPr>
        <w:pStyle w:val="Heading2"/>
        <w:spacing w:before="280" w:after="140"/>
        <w:rPr/>
      </w:pPr>
      <w:r>
        <w:rPr>
          <w:rFonts w:eastAsia="Arial" w:cs="Arial" w:ascii="Arial" w:hAnsi="Arial"/>
          <w:b/>
          <w:bCs/>
          <w:color w:val="0000FF"/>
          <w:sz w:val="28"/>
          <w:szCs w:val="28"/>
        </w:rPr>
        <w:t>5.4 Stage 4 — Risk Assessment</w:t>
      </w:r>
    </w:p>
    <w:p>
      <w:pPr>
        <w:pStyle w:val="ListParagraph"/>
        <w:numPr>
          <w:ilvl w:val="0"/>
          <w:numId w:val="1"/>
        </w:numPr>
        <w:spacing w:lineRule="exact" w:line="280" w:before="40" w:after="40"/>
        <w:rPr/>
      </w:pPr>
      <w:r>
        <w:rPr>
          <w:rFonts w:eastAsia="Arial" w:cs="Arial"/>
          <w:color w:val="1A1A1A"/>
          <w:sz w:val="22"/>
          <w:szCs w:val="22"/>
        </w:rPr>
        <w:t>Identify residual risks not addressed by the supplier’s controls.</w:t>
      </w:r>
    </w:p>
    <w:p>
      <w:pPr>
        <w:pStyle w:val="ListParagraph"/>
        <w:numPr>
          <w:ilvl w:val="0"/>
          <w:numId w:val="1"/>
        </w:numPr>
        <w:spacing w:lineRule="exact" w:line="280" w:before="40" w:after="40"/>
        <w:rPr/>
      </w:pPr>
      <w:r>
        <w:rPr>
          <w:rFonts w:eastAsia="Arial" w:cs="Arial"/>
          <w:color w:val="1A1A1A"/>
          <w:sz w:val="22"/>
          <w:szCs w:val="22"/>
        </w:rPr>
        <w:t>Identify dependencies (e.g. on the supplier’s sub-processors, geographic concentration, key personnel).</w:t>
      </w:r>
    </w:p>
    <w:p>
      <w:pPr>
        <w:pStyle w:val="ListParagraph"/>
        <w:numPr>
          <w:ilvl w:val="0"/>
          <w:numId w:val="1"/>
        </w:numPr>
        <w:spacing w:lineRule="exact" w:line="280" w:before="40" w:after="40"/>
        <w:rPr/>
      </w:pPr>
      <w:r>
        <w:rPr>
          <w:rFonts w:eastAsia="Arial" w:cs="Arial"/>
          <w:color w:val="1A1A1A"/>
          <w:sz w:val="22"/>
          <w:szCs w:val="22"/>
        </w:rPr>
        <w:t>Record material risks in the Risk Register (REG-RISK-001) with appropriate treatment.</w:t>
      </w:r>
    </w:p>
    <w:p>
      <w:pPr>
        <w:pStyle w:val="Heading2"/>
        <w:spacing w:before="280" w:after="140"/>
        <w:rPr/>
      </w:pPr>
      <w:r>
        <w:rPr>
          <w:rFonts w:eastAsia="Arial" w:cs="Arial" w:ascii="Arial" w:hAnsi="Arial"/>
          <w:b/>
          <w:bCs/>
          <w:color w:val="0000FF"/>
          <w:sz w:val="28"/>
          <w:szCs w:val="28"/>
        </w:rPr>
        <w:t>5.5 Stage 5 — Contractual</w:t>
      </w:r>
    </w:p>
    <w:p>
      <w:pPr>
        <w:pStyle w:val="ListParagraph"/>
        <w:numPr>
          <w:ilvl w:val="0"/>
          <w:numId w:val="1"/>
        </w:numPr>
        <w:spacing w:lineRule="exact" w:line="280" w:before="40" w:after="40"/>
        <w:rPr/>
      </w:pPr>
      <w:r>
        <w:rPr>
          <w:rFonts w:eastAsia="Arial" w:cs="Arial"/>
          <w:color w:val="1A1A1A"/>
          <w:sz w:val="22"/>
          <w:szCs w:val="22"/>
        </w:rPr>
        <w:t>Use Cloudax’s standard supplier security clauses (POL-006 §8).</w:t>
      </w:r>
    </w:p>
    <w:p>
      <w:pPr>
        <w:pStyle w:val="ListParagraph"/>
        <w:numPr>
          <w:ilvl w:val="0"/>
          <w:numId w:val="1"/>
        </w:numPr>
        <w:spacing w:lineRule="exact" w:line="280" w:before="40" w:after="40"/>
        <w:rPr/>
      </w:pPr>
      <w:r>
        <w:rPr>
          <w:rFonts w:eastAsia="Arial" w:cs="Arial"/>
          <w:color w:val="1A1A1A"/>
          <w:sz w:val="22"/>
          <w:szCs w:val="22"/>
        </w:rPr>
        <w:t>Where the supplier processes personal data, an Article 28 UK GDPR-compliant DPA is required.</w:t>
      </w:r>
    </w:p>
    <w:p>
      <w:pPr>
        <w:pStyle w:val="ListParagraph"/>
        <w:numPr>
          <w:ilvl w:val="0"/>
          <w:numId w:val="1"/>
        </w:numPr>
        <w:spacing w:lineRule="exact" w:line="280" w:before="40" w:after="40"/>
        <w:rPr/>
      </w:pPr>
      <w:r>
        <w:rPr>
          <w:rFonts w:eastAsia="Arial" w:cs="Arial"/>
          <w:color w:val="1A1A1A"/>
          <w:sz w:val="22"/>
          <w:szCs w:val="22"/>
        </w:rPr>
        <w:t>Where the supplier is critical or processes Restricted information, additional clauses (audit rights, escrow, exit) are considered.</w:t>
      </w:r>
    </w:p>
    <w:p>
      <w:pPr>
        <w:pStyle w:val="ListParagraph"/>
        <w:numPr>
          <w:ilvl w:val="0"/>
          <w:numId w:val="1"/>
        </w:numPr>
        <w:spacing w:lineRule="exact" w:line="280" w:before="40" w:after="40"/>
        <w:rPr/>
      </w:pPr>
      <w:r>
        <w:rPr>
          <w:rFonts w:eastAsia="Arial" w:cs="Arial"/>
          <w:color w:val="1A1A1A"/>
          <w:sz w:val="22"/>
          <w:szCs w:val="22"/>
        </w:rPr>
        <w:t>Contracts are signed by appropriately authorised individuals.</w:t>
      </w:r>
    </w:p>
    <w:p>
      <w:pPr>
        <w:pStyle w:val="Heading2"/>
        <w:spacing w:before="280" w:after="140"/>
        <w:rPr/>
      </w:pPr>
      <w:r>
        <w:rPr>
          <w:rFonts w:eastAsia="Arial" w:cs="Arial" w:ascii="Arial" w:hAnsi="Arial"/>
          <w:b/>
          <w:bCs/>
          <w:color w:val="0000FF"/>
          <w:sz w:val="28"/>
          <w:szCs w:val="28"/>
        </w:rPr>
        <w:t>5.6 Stage 6 — Provisioning</w:t>
      </w:r>
    </w:p>
    <w:p>
      <w:pPr>
        <w:pStyle w:val="ListParagraph"/>
        <w:numPr>
          <w:ilvl w:val="0"/>
          <w:numId w:val="1"/>
        </w:numPr>
        <w:spacing w:lineRule="exact" w:line="280" w:before="40" w:after="40"/>
        <w:rPr/>
      </w:pPr>
      <w:r>
        <w:rPr>
          <w:rFonts w:eastAsia="Arial" w:cs="Arial"/>
          <w:color w:val="1A1A1A"/>
          <w:sz w:val="22"/>
          <w:szCs w:val="22"/>
        </w:rPr>
        <w:t>Access for supplier personnel is granted only after onboarding is complete and contracts are signed.</w:t>
      </w:r>
    </w:p>
    <w:p>
      <w:pPr>
        <w:pStyle w:val="ListParagraph"/>
        <w:numPr>
          <w:ilvl w:val="0"/>
          <w:numId w:val="1"/>
        </w:numPr>
        <w:spacing w:lineRule="exact" w:line="280" w:before="40" w:after="40"/>
        <w:rPr/>
      </w:pPr>
      <w:r>
        <w:rPr>
          <w:rFonts w:eastAsia="Arial" w:cs="Arial"/>
          <w:color w:val="1A1A1A"/>
          <w:sz w:val="22"/>
          <w:szCs w:val="22"/>
        </w:rPr>
        <w:t>Access follows POL-002 — named individuals, MFA, time-bound where appropriate, logged.</w:t>
      </w:r>
    </w:p>
    <w:p>
      <w:pPr>
        <w:pStyle w:val="ListParagraph"/>
        <w:numPr>
          <w:ilvl w:val="0"/>
          <w:numId w:val="1"/>
        </w:numPr>
        <w:spacing w:lineRule="exact" w:line="280" w:before="40" w:after="40"/>
        <w:rPr/>
      </w:pPr>
      <w:r>
        <w:rPr>
          <w:rFonts w:eastAsia="Arial" w:cs="Arial"/>
          <w:color w:val="1A1A1A"/>
          <w:sz w:val="22"/>
          <w:szCs w:val="22"/>
        </w:rPr>
        <w:t>Cloudax-specific onboarding (security awareness, contact list, escalation paths) is delivered to supplier personnel where appropriate.</w:t>
      </w:r>
    </w:p>
    <w:p>
      <w:pPr>
        <w:pStyle w:val="Heading2"/>
        <w:spacing w:before="280" w:after="140"/>
        <w:rPr/>
      </w:pPr>
      <w:r>
        <w:rPr>
          <w:rFonts w:eastAsia="Arial" w:cs="Arial" w:ascii="Arial" w:hAnsi="Arial"/>
          <w:b/>
          <w:bCs/>
          <w:color w:val="0000FF"/>
          <w:sz w:val="28"/>
          <w:szCs w:val="28"/>
        </w:rPr>
        <w:t>5.7 Stage 7 — Recording</w:t>
      </w:r>
    </w:p>
    <w:p>
      <w:pPr>
        <w:pStyle w:val="ListParagraph"/>
        <w:numPr>
          <w:ilvl w:val="0"/>
          <w:numId w:val="1"/>
        </w:numPr>
        <w:spacing w:lineRule="exact" w:line="280" w:before="40" w:after="40"/>
        <w:rPr/>
      </w:pPr>
      <w:r>
        <w:rPr>
          <w:rFonts w:eastAsia="Arial" w:cs="Arial"/>
          <w:color w:val="1A1A1A"/>
          <w:sz w:val="22"/>
          <w:szCs w:val="22"/>
        </w:rPr>
        <w:t>The supplier is recorded in the Cloudax Supplier Inventory with: name, owner, tier, service description, key contacts, contract references, evidence references, sub-processors, hosting locations, review date.</w:t>
      </w:r>
    </w:p>
    <w:p>
      <w:pPr>
        <w:pStyle w:val="ListParagraph"/>
        <w:numPr>
          <w:ilvl w:val="0"/>
          <w:numId w:val="1"/>
        </w:numPr>
        <w:spacing w:lineRule="exact" w:line="280" w:before="40" w:after="40"/>
        <w:rPr/>
      </w:pPr>
      <w:r>
        <w:rPr>
          <w:rFonts w:eastAsia="Arial" w:cs="Arial"/>
          <w:color w:val="1A1A1A"/>
          <w:sz w:val="22"/>
          <w:szCs w:val="22"/>
        </w:rPr>
        <w:t>Where personal data is involved, the supplier is recorded as a sub-processor in REG-ROPA-001 if appropriate, and customers are notified per the relevant DPA.</w:t>
      </w:r>
    </w:p>
    <w:p>
      <w:pPr>
        <w:pStyle w:val="Heading1"/>
        <w:spacing w:before="360" w:after="180"/>
        <w:rPr/>
      </w:pPr>
      <w:r>
        <w:rPr>
          <w:rFonts w:eastAsia="Arial" w:cs="Arial" w:ascii="Arial" w:hAnsi="Arial"/>
          <w:b/>
          <w:bCs/>
          <w:color w:val="0000FF"/>
          <w:sz w:val="36"/>
          <w:szCs w:val="36"/>
        </w:rPr>
        <w:t>6. Tier 1 Critical Suppliers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Additional considerations apply to Tier 1 engagements:</w:t>
      </w:r>
    </w:p>
    <w:p>
      <w:pPr>
        <w:pStyle w:val="ListParagraph"/>
        <w:numPr>
          <w:ilvl w:val="0"/>
          <w:numId w:val="1"/>
        </w:numPr>
        <w:spacing w:lineRule="exact" w:line="280" w:before="40" w:after="40"/>
        <w:rPr/>
      </w:pPr>
      <w:r>
        <w:rPr>
          <w:rFonts w:eastAsia="Arial" w:cs="Arial"/>
          <w:color w:val="1A1A1A"/>
          <w:sz w:val="22"/>
          <w:szCs w:val="22"/>
        </w:rPr>
        <w:t>Concentration risk — avoiding excessive dependency on a single provider.</w:t>
      </w:r>
    </w:p>
    <w:p>
      <w:pPr>
        <w:pStyle w:val="ListParagraph"/>
        <w:numPr>
          <w:ilvl w:val="0"/>
          <w:numId w:val="1"/>
        </w:numPr>
        <w:spacing w:lineRule="exact" w:line="280" w:before="40" w:after="40"/>
        <w:rPr/>
      </w:pPr>
      <w:r>
        <w:rPr>
          <w:rFonts w:eastAsia="Arial" w:cs="Arial"/>
          <w:color w:val="1A1A1A"/>
          <w:sz w:val="22"/>
          <w:szCs w:val="22"/>
        </w:rPr>
        <w:t>Exit and portability — documented in advance.</w:t>
      </w:r>
    </w:p>
    <w:p>
      <w:pPr>
        <w:pStyle w:val="ListParagraph"/>
        <w:numPr>
          <w:ilvl w:val="0"/>
          <w:numId w:val="1"/>
        </w:numPr>
        <w:spacing w:lineRule="exact" w:line="280" w:before="40" w:after="40"/>
        <w:rPr/>
      </w:pPr>
      <w:r>
        <w:rPr>
          <w:rFonts w:eastAsia="Arial" w:cs="Arial"/>
          <w:color w:val="1A1A1A"/>
          <w:sz w:val="22"/>
          <w:szCs w:val="22"/>
        </w:rPr>
        <w:t>Incident coordination — named contacts and 24x7 paths.</w:t>
      </w:r>
    </w:p>
    <w:p>
      <w:pPr>
        <w:pStyle w:val="ListParagraph"/>
        <w:numPr>
          <w:ilvl w:val="0"/>
          <w:numId w:val="1"/>
        </w:numPr>
        <w:spacing w:lineRule="exact" w:line="280" w:before="40" w:after="40"/>
        <w:rPr/>
      </w:pPr>
      <w:r>
        <w:rPr>
          <w:rFonts w:eastAsia="Arial" w:cs="Arial"/>
          <w:color w:val="1A1A1A"/>
          <w:sz w:val="22"/>
          <w:szCs w:val="22"/>
        </w:rPr>
        <w:t>Continuity arrangements — alignment with PLAN-BCP-001 and PLAN-DRP-001.</w:t>
      </w:r>
    </w:p>
    <w:p>
      <w:pPr>
        <w:pStyle w:val="ListParagraph"/>
        <w:numPr>
          <w:ilvl w:val="0"/>
          <w:numId w:val="1"/>
        </w:numPr>
        <w:spacing w:lineRule="exact" w:line="280" w:before="40" w:after="40"/>
        <w:rPr/>
      </w:pPr>
      <w:r>
        <w:rPr>
          <w:rFonts w:eastAsia="Arial" w:cs="Arial"/>
          <w:color w:val="1A1A1A"/>
          <w:sz w:val="22"/>
          <w:szCs w:val="22"/>
        </w:rPr>
        <w:t>Approval by the Chief Executive Officer in addition to the Information Security Manager.</w:t>
      </w:r>
    </w:p>
    <w:p>
      <w:pPr>
        <w:pStyle w:val="Heading1"/>
        <w:spacing w:before="360" w:after="180"/>
        <w:rPr/>
      </w:pPr>
      <w:r>
        <w:rPr>
          <w:rFonts w:eastAsia="Arial" w:cs="Arial" w:ascii="Arial" w:hAnsi="Arial"/>
          <w:b/>
          <w:bCs/>
          <w:color w:val="0000FF"/>
          <w:sz w:val="36"/>
          <w:szCs w:val="36"/>
        </w:rPr>
        <w:t>7. Personal Data Processors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Article 28 UK GDPR DPA is mandatory.</w:t>
      </w:r>
    </w:p>
    <w:p>
      <w:pPr>
        <w:pStyle w:val="ListParagraph"/>
        <w:numPr>
          <w:ilvl w:val="0"/>
          <w:numId w:val="1"/>
        </w:numPr>
        <w:spacing w:lineRule="exact" w:line="280" w:before="40" w:after="40"/>
        <w:rPr/>
      </w:pPr>
      <w:r>
        <w:rPr>
          <w:rFonts w:eastAsia="Arial" w:cs="Arial"/>
          <w:color w:val="1A1A1A"/>
          <w:sz w:val="22"/>
          <w:szCs w:val="22"/>
        </w:rPr>
        <w:t>Sub-processors are identified and approved by the Privacy Lead.</w:t>
      </w:r>
    </w:p>
    <w:p>
      <w:pPr>
        <w:pStyle w:val="ListParagraph"/>
        <w:numPr>
          <w:ilvl w:val="0"/>
          <w:numId w:val="1"/>
        </w:numPr>
        <w:spacing w:lineRule="exact" w:line="280" w:before="40" w:after="40"/>
        <w:rPr/>
      </w:pPr>
      <w:r>
        <w:rPr>
          <w:rFonts w:eastAsia="Arial" w:cs="Arial"/>
          <w:color w:val="1A1A1A"/>
          <w:sz w:val="22"/>
          <w:szCs w:val="22"/>
        </w:rPr>
        <w:t>International transfer safeguards are documented (IDTA / SCCs / adequacy).</w:t>
      </w:r>
    </w:p>
    <w:p>
      <w:pPr>
        <w:pStyle w:val="ListParagraph"/>
        <w:numPr>
          <w:ilvl w:val="0"/>
          <w:numId w:val="1"/>
        </w:numPr>
        <w:spacing w:lineRule="exact" w:line="280" w:before="40" w:after="40"/>
        <w:rPr/>
      </w:pPr>
      <w:r>
        <w:rPr>
          <w:rFonts w:eastAsia="Arial" w:cs="Arial"/>
          <w:color w:val="1A1A1A"/>
          <w:sz w:val="22"/>
          <w:szCs w:val="22"/>
        </w:rPr>
        <w:t>Where Cloudax customers must consent or be notified, this is coordinated by the Privacy Lead.</w:t>
      </w:r>
    </w:p>
    <w:p>
      <w:pPr>
        <w:pStyle w:val="Heading1"/>
        <w:spacing w:before="360" w:after="180"/>
        <w:rPr/>
      </w:pPr>
      <w:r>
        <w:rPr>
          <w:rFonts w:eastAsia="Arial" w:cs="Arial" w:ascii="Arial" w:hAnsi="Arial"/>
          <w:b/>
          <w:bCs/>
          <w:color w:val="0000FF"/>
          <w:sz w:val="36"/>
          <w:szCs w:val="36"/>
        </w:rPr>
        <w:t>8. AI and Machine Learning Suppliers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Specific attention is given to: data submitted to the AI service; whether customer data may be used for training; hosting region; model behaviours and limitations.</w:t>
      </w:r>
    </w:p>
    <w:p>
      <w:pPr>
        <w:pStyle w:val="ListParagraph"/>
        <w:numPr>
          <w:ilvl w:val="0"/>
          <w:numId w:val="1"/>
        </w:numPr>
        <w:spacing w:lineRule="exact" w:line="280" w:before="40" w:after="40"/>
        <w:rPr/>
      </w:pPr>
      <w:r>
        <w:rPr>
          <w:rFonts w:eastAsia="Arial" w:cs="Arial"/>
          <w:color w:val="1A1A1A"/>
          <w:sz w:val="22"/>
          <w:szCs w:val="22"/>
        </w:rPr>
        <w:t>AI suppliers are recorded in the AI Use Register and reflected in customer-facing documentation.</w:t>
      </w:r>
    </w:p>
    <w:p>
      <w:pPr>
        <w:pStyle w:val="ListParagraph"/>
        <w:numPr>
          <w:ilvl w:val="0"/>
          <w:numId w:val="1"/>
        </w:numPr>
        <w:spacing w:lineRule="exact" w:line="280" w:before="40" w:after="40"/>
        <w:rPr/>
      </w:pPr>
      <w:r>
        <w:rPr>
          <w:rFonts w:eastAsia="Arial" w:cs="Arial"/>
          <w:color w:val="1A1A1A"/>
          <w:sz w:val="22"/>
          <w:szCs w:val="22"/>
        </w:rPr>
        <w:t>Customer DPAs are reviewed to confirm any AI-supplier sub-processing is compliant.</w:t>
      </w:r>
    </w:p>
    <w:p>
      <w:pPr>
        <w:pStyle w:val="Heading1"/>
        <w:spacing w:before="360" w:after="180"/>
        <w:rPr/>
      </w:pPr>
      <w:r>
        <w:rPr>
          <w:rFonts w:eastAsia="Arial" w:cs="Arial" w:ascii="Arial" w:hAnsi="Arial"/>
          <w:b/>
          <w:bCs/>
          <w:color w:val="0000FF"/>
          <w:sz w:val="36"/>
          <w:szCs w:val="36"/>
        </w:rPr>
        <w:t>9. Documenting the Decision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onboarding produces a written record of the assessment, including evidence reviewed, residual risks identified, mitigations agreed, and approver(s).</w:t>
      </w:r>
    </w:p>
    <w:p>
      <w:pPr>
        <w:pStyle w:val="ListParagraph"/>
        <w:numPr>
          <w:ilvl w:val="0"/>
          <w:numId w:val="1"/>
        </w:numPr>
        <w:spacing w:lineRule="exact" w:line="280" w:before="40" w:after="40"/>
        <w:rPr/>
      </w:pPr>
      <w:r>
        <w:rPr>
          <w:rFonts w:eastAsia="Arial" w:cs="Arial"/>
          <w:color w:val="1A1A1A"/>
          <w:sz w:val="22"/>
          <w:szCs w:val="22"/>
        </w:rPr>
        <w:t>The record is held with the Supplier Inventory.</w:t>
      </w:r>
    </w:p>
    <w:p>
      <w:pPr>
        <w:pStyle w:val="Heading1"/>
        <w:spacing w:before="360" w:after="180"/>
        <w:rPr/>
      </w:pPr>
      <w:r>
        <w:rPr>
          <w:rFonts w:eastAsia="Arial" w:cs="Arial" w:ascii="Arial" w:hAnsi="Arial"/>
          <w:b/>
          <w:bCs/>
          <w:color w:val="0000FF"/>
          <w:sz w:val="36"/>
          <w:szCs w:val="36"/>
        </w:rPr>
        <w:t>10. Records and Retention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Onboarding records are retained for the duration of the engagement and per POL-009 thereafter.</w:t>
      </w:r>
    </w:p>
    <w:p>
      <w:pPr>
        <w:pStyle w:val="ListParagraph"/>
        <w:numPr>
          <w:ilvl w:val="0"/>
          <w:numId w:val="1"/>
        </w:numPr>
        <w:spacing w:lineRule="exact" w:line="280" w:before="40" w:after="40"/>
        <w:rPr/>
      </w:pPr>
      <w:r>
        <w:rPr>
          <w:rFonts w:eastAsia="Arial" w:cs="Arial"/>
          <w:color w:val="1A1A1A"/>
          <w:sz w:val="22"/>
          <w:szCs w:val="22"/>
        </w:rPr>
        <w:t>Contracts are retained per POL-009.</w:t>
      </w:r>
    </w:p>
    <w:p>
      <w:pPr>
        <w:pStyle w:val="Heading1"/>
        <w:spacing w:before="360" w:after="180"/>
        <w:rPr/>
      </w:pPr>
      <w:r>
        <w:rPr>
          <w:rFonts w:eastAsia="Arial" w:cs="Arial" w:ascii="Arial" w:hAnsi="Arial"/>
          <w:b/>
          <w:bCs/>
          <w:color w:val="0000FF"/>
          <w:sz w:val="36"/>
          <w:szCs w:val="36"/>
        </w:rPr>
        <w:t>11. Compliance Monitoring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Onboarding compliance is sampled at internal audit (PROG-AUDIT-001).</w:t>
      </w:r>
    </w:p>
    <w:p>
      <w:pPr>
        <w:pStyle w:val="ListParagraph"/>
        <w:numPr>
          <w:ilvl w:val="0"/>
          <w:numId w:val="1"/>
        </w:numPr>
        <w:spacing w:lineRule="exact" w:line="280" w:before="40" w:after="40"/>
        <w:rPr/>
      </w:pPr>
      <w:r>
        <w:rPr>
          <w:rFonts w:eastAsia="Arial" w:cs="Arial"/>
          <w:color w:val="1A1A1A"/>
          <w:sz w:val="22"/>
          <w:szCs w:val="22"/>
        </w:rPr>
        <w:t>Findings are recorded in REG-CAR-001.</w:t>
      </w:r>
    </w:p>
    <w:p>
      <w:pPr>
        <w:pStyle w:val="Heading1"/>
        <w:spacing w:before="360" w:after="180"/>
        <w:rPr/>
      </w:pPr>
      <w:r>
        <w:rPr>
          <w:rFonts w:eastAsia="Arial" w:cs="Arial" w:ascii="Arial" w:hAnsi="Arial"/>
          <w:b/>
          <w:bCs/>
          <w:color w:val="0000FF"/>
          <w:sz w:val="36"/>
          <w:szCs w:val="36"/>
        </w:rPr>
        <w:t>12.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is reviewed at least annually and on material change to supplier requirements.</w:t>
      </w:r>
    </w:p>
    <w:p>
      <w:pPr>
        <w:pStyle w:val="Heading1"/>
        <w:spacing w:before="360" w:after="180"/>
        <w:rPr/>
      </w:pPr>
      <w:r>
        <w:rPr>
          <w:rFonts w:eastAsia="Arial" w:cs="Arial" w:ascii="Arial" w:hAnsi="Arial"/>
          <w:b/>
          <w:bCs/>
          <w:color w:val="0000FF"/>
          <w:sz w:val="36"/>
          <w:szCs w:val="36"/>
        </w:rPr>
        <w:t>13.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involved in supplier engagements are required to acknowledge this Procedure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ISO/IEC 27001:2022 Annex A controls, as recorded in the Cloudax Statement of Applicability (ISMS-SOA-001 v4.0).</w:t>
      </w:r>
    </w:p>
    <w:tbl>
      <w:tblPr>
        <w:tblW w:w="9026" w:type="dxa"/>
        <w:jc w:val="start"/>
        <w:tblInd w:w="0" w:type="dxa"/>
        <w:tblLayout w:type="fixed"/>
        <w:tblCellMar>
          <w:top w:w="100" w:type="dxa"/>
          <w:start w:w="140" w:type="dxa"/>
          <w:bottom w:w="100" w:type="dxa"/>
          <w:end w:w="14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A.5.19</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in supplier relationships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A.5.20</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Addressing information security within supplier agreements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A.5.21</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Managing information security in the ICT supply chain</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A.5.23</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Information security for use of cloud services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PRO-021 Supplier Onboarding Procedure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PRO-021 Supplier Onboarding Procedure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2026-04-16T09:32:32Z</dcterms:created>
  <dc:creator>David Stokes</dc:creator>
  <dc:description/>
  <dc:language>en-US</dc:language>
  <cp:lastModifiedBy>David Stokes</cp:lastModifiedBy>
  <dcterms:modified xsi:type="dcterms:W3CDTF">2026-04-16T11:55:32Z</dcterms:modified>
  <cp:revision>1</cp:revision>
  <dc:subject/>
  <dc:title>Cloudax Supplier Onboarding Procedure</dc:title>
</cp:coreProperties>
</file>

<file path=docProps/custom.xml><?xml version="1.0" encoding="utf-8"?>
<Properties xmlns="http://schemas.openxmlformats.org/officeDocument/2006/custom-properties" xmlns:vt="http://schemas.openxmlformats.org/officeDocument/2006/docPropsVTypes"/>
</file>