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4400" w:type="dxa"/>
        <w:jc w:val="start"/>
        <w:tblInd w:w="0" w:type="dxa"/>
        <w:tblLayout w:type="fixed"/>
        <w:tblCellMar>
          <w:top w:w="700" w:type="dxa"/>
          <w:start w:w="600" w:type="dxa"/>
          <w:bottom w:w="700" w:type="dxa"/>
          <w:end w:w="600" w:type="dxa"/>
        </w:tblCellMar>
      </w:tblPr>
      <w:tblGrid>
        <w:gridCol w:w="14400"/>
      </w:tblGrid>
      <w:tr>
        <w:trPr>
          <w:trHeight w:val="3800" w:hRule="atLeast"/>
        </w:trPr>
        <w:tc>
          <w:tcPr>
            <w:tcW w:w="14400" w:type="dxa"/>
            <w:tcBorders/>
            <w:shd w:fill="0000FF" w:val="clear"/>
          </w:tcPr>
          <w:p>
            <w:pPr>
              <w:pStyle w:val="Normal"/>
              <w:spacing w:before="0" w:after="300"/>
              <w:jc w:val="center"/>
              <w:rPr/>
            </w:pPr>
            <w:r>
              <w:rPr/>
              <w:drawing>
                <wp:inline distT="0" distB="0" distL="0" distR="0">
                  <wp:extent cx="1428750" cy="1085850"/>
                  <wp:effectExtent l="0" t="0" r="0" b="0"/>
                  <wp:docPr id="1" name="Image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18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52"/>
                <w:szCs w:val="52"/>
              </w:rPr>
              <w:t>Corrective Actions Register</w:t>
            </w:r>
          </w:p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Arial" w:cs="Arial"/>
                <w:color w:val="FFFFFF"/>
                <w:sz w:val="22"/>
                <w:szCs w:val="22"/>
              </w:rPr>
              <w:t>Information Security Management System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i/>
                <w:iCs/>
                <w:color w:val="FFFFFF"/>
                <w:sz w:val="22"/>
                <w:szCs w:val="22"/>
              </w:rPr>
              <w:t>Conversational AI. Always connected.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14400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7200"/>
        <w:gridCol w:w="7199"/>
      </w:tblGrid>
      <w:tr>
        <w:trPr/>
        <w:tc>
          <w:tcPr>
            <w:tcW w:w="72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ID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REG-CAR-001</w:t>
            </w:r>
          </w:p>
        </w:tc>
        <w:tc>
          <w:tcPr>
            <w:tcW w:w="7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VERSION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1.0</w:t>
            </w:r>
          </w:p>
        </w:tc>
      </w:tr>
      <w:tr>
        <w:trPr/>
        <w:tc>
          <w:tcPr>
            <w:tcW w:w="72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TITLE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Corrective Actions Register</w:t>
            </w:r>
          </w:p>
        </w:tc>
        <w:tc>
          <w:tcPr>
            <w:tcW w:w="7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STATUS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Approved</w:t>
            </w:r>
          </w:p>
        </w:tc>
      </w:tr>
      <w:tr>
        <w:trPr/>
        <w:tc>
          <w:tcPr>
            <w:tcW w:w="72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OWNER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Information Security Manager</w:t>
            </w:r>
          </w:p>
        </w:tc>
        <w:tc>
          <w:tcPr>
            <w:tcW w:w="7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APPROVER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Chief Executive Officer</w:t>
            </w:r>
          </w:p>
        </w:tc>
      </w:tr>
      <w:tr>
        <w:trPr/>
        <w:tc>
          <w:tcPr>
            <w:tcW w:w="72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ISSUE DATE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  <w:tc>
          <w:tcPr>
            <w:tcW w:w="7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EFFECTIVE FROM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</w:tr>
      <w:tr>
        <w:trPr/>
        <w:tc>
          <w:tcPr>
            <w:tcW w:w="72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NEXT REVIEW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2027</w:t>
            </w:r>
          </w:p>
        </w:tc>
        <w:tc>
          <w:tcPr>
            <w:tcW w:w="7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REVIEW CYCLE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Annual or on material change</w:t>
            </w:r>
          </w:p>
        </w:tc>
      </w:tr>
      <w:tr>
        <w:trPr/>
        <w:tc>
          <w:tcPr>
            <w:tcW w:w="72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CLASSIFICATION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Internal</w:t>
            </w:r>
          </w:p>
        </w:tc>
        <w:tc>
          <w:tcPr>
            <w:tcW w:w="7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DISTRIBUTION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Restricted to ISMS team</w:t>
            </w:r>
          </w:p>
        </w:tc>
      </w:tr>
      <w:tr>
        <w:trPr/>
        <w:tc>
          <w:tcPr>
            <w:tcW w:w="72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SoA REFERENCE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ISMS-SOA-001 v4.0</w:t>
            </w:r>
          </w:p>
        </w:tc>
        <w:tc>
          <w:tcPr>
            <w:tcW w:w="7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ISMS MAP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ISMS-MAP-001 v1.0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Contents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1. Purpose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2. Scope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3. Definitions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4. Sources of Corrective Actions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5. Roles and Responsibilities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6. Lifecycle of a Corrective Action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7. Severity Classification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8. How to Use This Register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9. Corrective Actions Records (template + worked examples)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10. Reporting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11. Maintenance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— Version History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1. Purpose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Corrective Actions Register is the documented evidence of nonconformities and corrective actions required by Clauses 10.1 and 10.2 of ISO/IEC 27001:2022. It supports A.5.36 Compliance with policies, rules and standards and is the primary evidence of continual improvement.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Cl. 10.1 Continual improvement; Cl. 10.2 Nonconformity and corrective action; A.5.36 Compliance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2. Scope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Register covers corrective actions arising from any source affecting the Cloudax ISMS — audits, monitoring, incidents, customer findings, supplier issues, management review, and operational observation.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3. Definitions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3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Nonconformity: </w:t>
      </w:r>
      <w:r>
        <w:rPr>
          <w:rFonts w:eastAsia="Arial" w:cs="Arial"/>
          <w:color w:val="1A1A1A"/>
          <w:sz w:val="22"/>
          <w:szCs w:val="22"/>
        </w:rPr>
        <w:t>non-fulfilment of a requirement.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Correction: </w:t>
      </w:r>
      <w:r>
        <w:rPr>
          <w:rFonts w:eastAsia="Arial" w:cs="Arial"/>
          <w:color w:val="1A1A1A"/>
          <w:sz w:val="22"/>
          <w:szCs w:val="22"/>
        </w:rPr>
        <w:t>immediate action to address a nonconformity — fixing the symptom.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Corrective action: </w:t>
      </w:r>
      <w:r>
        <w:rPr>
          <w:rFonts w:eastAsia="Arial" w:cs="Arial"/>
          <w:color w:val="1A1A1A"/>
          <w:sz w:val="22"/>
          <w:szCs w:val="22"/>
        </w:rPr>
        <w:t>action to eliminate the cause of a nonconformity to prevent recurrence — fixing the root cause.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Opportunity for improvement: </w:t>
      </w:r>
      <w:r>
        <w:rPr>
          <w:rFonts w:eastAsia="Arial" w:cs="Arial"/>
          <w:color w:val="1A1A1A"/>
          <w:sz w:val="22"/>
          <w:szCs w:val="22"/>
        </w:rPr>
        <w:t>a non-mandatory observation that could enhance the ISMS.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4. Sources of Corrective Actions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Internal audit (PROG-AUDIT-001).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External audit (certification body).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Compliance monitoring (PROG-COMP-001).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Information security incidents (PLAN-IRP-001).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Personal data breaches (PRO-024).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Customer assurance findings.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Supplier assurance and incident findings.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Management review (MGT-MR-LOG).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Operational events and weaknesses reported under PRO-027.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5. Roles and Responsibilities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Information Security Manager: owns this Register; classifies nonconformities; tracks closure; reports to management review.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Action owners: implement correction and corrective action; record evidence.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Approvers: verify effectiveness before closure.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6. Lifecycle of a Corrective Action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Identify and record the nonconformity, including its source and the requirement breached.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Assess for severity (Section 7) and assign an owner.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Apply correction — immediate action to address the symptom.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Investigate root cause.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Decide on corrective action proportionate to risk.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Implement the corrective action; record evidence.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Verify effectiveness — has the cause been addressed and the nonconformity prevented from recurring?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Close, with sign-off by the approver.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7. Severity Classification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tbl>
      <w:tblPr>
        <w:tblW w:w="1440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999"/>
        <w:gridCol w:w="7000"/>
        <w:gridCol w:w="4401"/>
      </w:tblGrid>
      <w:tr>
        <w:trPr>
          <w:tblHeader w:val="true"/>
        </w:trPr>
        <w:tc>
          <w:tcPr>
            <w:tcW w:w="29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SEVERITY</w:t>
            </w:r>
          </w:p>
        </w:tc>
        <w:tc>
          <w:tcPr>
            <w:tcW w:w="70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DEFINITION</w:t>
            </w:r>
          </w:p>
        </w:tc>
        <w:tc>
          <w:tcPr>
            <w:tcW w:w="4401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TARGET CLOSURE</w:t>
            </w:r>
          </w:p>
        </w:tc>
      </w:tr>
      <w:tr>
        <w:trPr/>
        <w:tc>
          <w:tcPr>
            <w:tcW w:w="29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6"/>
                <w:szCs w:val="16"/>
              </w:rPr>
              <w:t>Major nonconformity</w:t>
            </w:r>
          </w:p>
        </w:tc>
        <w:tc>
          <w:tcPr>
            <w:tcW w:w="70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Significant breach of a clause requirement; ISMS or specific control is failing systemically.</w:t>
            </w:r>
          </w:p>
        </w:tc>
        <w:tc>
          <w:tcPr>
            <w:tcW w:w="44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Within 90 days of identification</w:t>
            </w:r>
          </w:p>
        </w:tc>
      </w:tr>
      <w:tr>
        <w:trPr/>
        <w:tc>
          <w:tcPr>
            <w:tcW w:w="29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6"/>
                <w:szCs w:val="16"/>
              </w:rPr>
              <w:t>Minor nonconformity</w:t>
            </w:r>
          </w:p>
        </w:tc>
        <w:tc>
          <w:tcPr>
            <w:tcW w:w="70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Localised or isolated breach; controls otherwise effective.</w:t>
            </w:r>
          </w:p>
        </w:tc>
        <w:tc>
          <w:tcPr>
            <w:tcW w:w="44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Within 90 days of identification</w:t>
            </w:r>
          </w:p>
        </w:tc>
      </w:tr>
      <w:tr>
        <w:trPr/>
        <w:tc>
          <w:tcPr>
            <w:tcW w:w="29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6"/>
                <w:szCs w:val="16"/>
              </w:rPr>
              <w:t>Observation / Opportunity for improvement</w:t>
            </w:r>
          </w:p>
        </w:tc>
        <w:tc>
          <w:tcPr>
            <w:tcW w:w="70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Recommendation that does not breach a requirement but could improve the ISMS.</w:t>
            </w:r>
          </w:p>
        </w:tc>
        <w:tc>
          <w:tcPr>
            <w:tcW w:w="44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Tracked but no fixed deadline</w:t>
            </w:r>
          </w:p>
        </w:tc>
      </w:tr>
    </w:tbl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8. How to Use This Register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Each entry has a unique identifier (CAR-NNN), a description, source, severity, owner, target closure date, status, evidence references, and closure notes.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This document holds a representative sample showing the structure; the live register is maintained as an Excel workbook with the same column structure.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Status values: Open, In progress, Pending verification, Closed, Reopened.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9. Corrective Actions Records (template + worked examples)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tbl>
      <w:tblPr>
        <w:tblW w:w="1440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600"/>
        <w:gridCol w:w="2700"/>
        <w:gridCol w:w="1499"/>
        <w:gridCol w:w="1100"/>
        <w:gridCol w:w="1100"/>
        <w:gridCol w:w="1001"/>
        <w:gridCol w:w="1299"/>
        <w:gridCol w:w="1100"/>
        <w:gridCol w:w="3999"/>
      </w:tblGrid>
      <w:tr>
        <w:trPr>
          <w:tblHeader w:val="true"/>
        </w:trPr>
        <w:tc>
          <w:tcPr>
            <w:tcW w:w="6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ID</w:t>
            </w:r>
          </w:p>
        </w:tc>
        <w:tc>
          <w:tcPr>
            <w:tcW w:w="27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DESCRIPTION</w:t>
            </w:r>
          </w:p>
        </w:tc>
        <w:tc>
          <w:tcPr>
            <w:tcW w:w="14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SOURCE</w:t>
            </w:r>
          </w:p>
        </w:tc>
        <w:tc>
          <w:tcPr>
            <w:tcW w:w="11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DATE RAISED</w:t>
            </w:r>
          </w:p>
        </w:tc>
        <w:tc>
          <w:tcPr>
            <w:tcW w:w="11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SEVERITY</w:t>
            </w:r>
          </w:p>
        </w:tc>
        <w:tc>
          <w:tcPr>
            <w:tcW w:w="1001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OWNER</w:t>
            </w:r>
          </w:p>
        </w:tc>
        <w:tc>
          <w:tcPr>
            <w:tcW w:w="12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TARGET CLOSURE</w:t>
            </w:r>
          </w:p>
        </w:tc>
        <w:tc>
          <w:tcPr>
            <w:tcW w:w="11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STATUS</w:t>
            </w:r>
          </w:p>
        </w:tc>
        <w:tc>
          <w:tcPr>
            <w:tcW w:w="39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EVIDENCE / CLOSURE NOTES</w:t>
            </w:r>
          </w:p>
        </w:tc>
      </w:tr>
      <w:tr>
        <w:trPr/>
        <w:tc>
          <w:tcPr>
            <w:tcW w:w="6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6"/>
                <w:szCs w:val="16"/>
              </w:rPr>
              <w:t>CAR-001</w:t>
            </w:r>
          </w:p>
        </w:tc>
        <w:tc>
          <w:tcPr>
            <w:tcW w:w="27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[Worked example] No documented evidence of quarterly access reviews on production cloud tenancy</w:t>
            </w:r>
          </w:p>
        </w:tc>
        <w:tc>
          <w:tcPr>
            <w:tcW w:w="1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Internal audit — Q1 2026</w:t>
            </w:r>
          </w:p>
        </w:tc>
        <w:tc>
          <w:tcPr>
            <w:tcW w:w="11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2026-02-15</w:t>
            </w:r>
          </w:p>
        </w:tc>
        <w:tc>
          <w:tcPr>
            <w:tcW w:w="11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Minor</w:t>
            </w:r>
          </w:p>
        </w:tc>
        <w:tc>
          <w:tcPr>
            <w:tcW w:w="10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CTO</w:t>
            </w:r>
          </w:p>
        </w:tc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2026-04-30</w:t>
            </w:r>
          </w:p>
        </w:tc>
        <w:tc>
          <w:tcPr>
            <w:tcW w:w="11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Closed</w:t>
            </w:r>
          </w:p>
        </w:tc>
        <w:tc>
          <w:tcPr>
            <w:tcW w:w="39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Quarterly access review process implemented; first review completed 2026-04-15</w:t>
            </w:r>
          </w:p>
        </w:tc>
      </w:tr>
      <w:tr>
        <w:trPr/>
        <w:tc>
          <w:tcPr>
            <w:tcW w:w="6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6"/>
                <w:szCs w:val="16"/>
              </w:rPr>
              <w:t>CAR-002</w:t>
            </w:r>
          </w:p>
        </w:tc>
        <w:tc>
          <w:tcPr>
            <w:tcW w:w="27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[Worked example] Phishing simulation click rate trending upwards (Q4 2025)</w:t>
            </w:r>
          </w:p>
        </w:tc>
        <w:tc>
          <w:tcPr>
            <w:tcW w:w="1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Compliance monitoring</w:t>
            </w:r>
          </w:p>
        </w:tc>
        <w:tc>
          <w:tcPr>
            <w:tcW w:w="11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2026-01-10</w:t>
            </w:r>
          </w:p>
        </w:tc>
        <w:tc>
          <w:tcPr>
            <w:tcW w:w="11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Observation</w:t>
            </w:r>
          </w:p>
        </w:tc>
        <w:tc>
          <w:tcPr>
            <w:tcW w:w="10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ISM</w:t>
            </w:r>
          </w:p>
        </w:tc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2026-06-30</w:t>
            </w:r>
          </w:p>
        </w:tc>
        <w:tc>
          <w:tcPr>
            <w:tcW w:w="11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In progress</w:t>
            </w:r>
          </w:p>
        </w:tc>
        <w:tc>
          <w:tcPr>
            <w:tcW w:w="39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Targeted refresher campaign launched; second simulation scheduled Q2</w:t>
            </w:r>
          </w:p>
        </w:tc>
      </w:tr>
      <w:tr>
        <w:trPr/>
        <w:tc>
          <w:tcPr>
            <w:tcW w:w="6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6"/>
                <w:szCs w:val="16"/>
              </w:rPr>
              <w:t>CAR-003</w:t>
            </w:r>
          </w:p>
        </w:tc>
        <w:tc>
          <w:tcPr>
            <w:tcW w:w="27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[Worked example] Personal data breach — misdirected email containing customer contact data</w:t>
            </w:r>
          </w:p>
        </w:tc>
        <w:tc>
          <w:tcPr>
            <w:tcW w:w="1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Incident</w:t>
            </w:r>
          </w:p>
        </w:tc>
        <w:tc>
          <w:tcPr>
            <w:tcW w:w="11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2026-03-02</w:t>
            </w:r>
          </w:p>
        </w:tc>
        <w:tc>
          <w:tcPr>
            <w:tcW w:w="11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Minor</w:t>
            </w:r>
          </w:p>
        </w:tc>
        <w:tc>
          <w:tcPr>
            <w:tcW w:w="10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Privacy Lead</w:t>
            </w:r>
          </w:p>
        </w:tc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2026-05-01</w:t>
            </w:r>
          </w:p>
        </w:tc>
        <w:tc>
          <w:tcPr>
            <w:tcW w:w="11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Pending verification</w:t>
            </w:r>
          </w:p>
        </w:tc>
        <w:tc>
          <w:tcPr>
            <w:tcW w:w="39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DLP rule added; recipient confirmation control in place; effectiveness review at 60 days</w:t>
            </w:r>
          </w:p>
        </w:tc>
      </w:tr>
      <w:tr>
        <w:trPr/>
        <w:tc>
          <w:tcPr>
            <w:tcW w:w="6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6"/>
                <w:szCs w:val="16"/>
              </w:rPr>
              <w:t>CAR-004</w:t>
            </w:r>
          </w:p>
        </w:tc>
        <w:tc>
          <w:tcPr>
            <w:tcW w:w="27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[Worked example] Vulnerability remediation SLA missed on one application dependency</w:t>
            </w:r>
          </w:p>
        </w:tc>
        <w:tc>
          <w:tcPr>
            <w:tcW w:w="1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Compliance monitoring</w:t>
            </w:r>
          </w:p>
        </w:tc>
        <w:tc>
          <w:tcPr>
            <w:tcW w:w="11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2026-03-12</w:t>
            </w:r>
          </w:p>
        </w:tc>
        <w:tc>
          <w:tcPr>
            <w:tcW w:w="11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Minor</w:t>
            </w:r>
          </w:p>
        </w:tc>
        <w:tc>
          <w:tcPr>
            <w:tcW w:w="10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CTO</w:t>
            </w:r>
          </w:p>
        </w:tc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2026-04-30</w:t>
            </w:r>
          </w:p>
        </w:tc>
        <w:tc>
          <w:tcPr>
            <w:tcW w:w="11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In progress</w:t>
            </w:r>
          </w:p>
        </w:tc>
        <w:tc>
          <w:tcPr>
            <w:tcW w:w="39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Patched 2026-03-18; root cause review pending</w:t>
            </w:r>
          </w:p>
        </w:tc>
      </w:tr>
      <w:tr>
        <w:trPr/>
        <w:tc>
          <w:tcPr>
            <w:tcW w:w="6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6"/>
                <w:szCs w:val="16"/>
              </w:rPr>
              <w:t>CAR-005</w:t>
            </w:r>
          </w:p>
        </w:tc>
        <w:tc>
          <w:tcPr>
            <w:tcW w:w="27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[Worked example] Opportunity — introduce automated SBOM signing</w:t>
            </w:r>
          </w:p>
        </w:tc>
        <w:tc>
          <w:tcPr>
            <w:tcW w:w="1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Management review — Q1 2026</w:t>
            </w:r>
          </w:p>
        </w:tc>
        <w:tc>
          <w:tcPr>
            <w:tcW w:w="11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2026-03-30</w:t>
            </w:r>
          </w:p>
        </w:tc>
        <w:tc>
          <w:tcPr>
            <w:tcW w:w="11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Observation</w:t>
            </w:r>
          </w:p>
        </w:tc>
        <w:tc>
          <w:tcPr>
            <w:tcW w:w="10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CTO</w:t>
            </w:r>
          </w:p>
        </w:tc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Tracked, no deadline</w:t>
            </w:r>
          </w:p>
        </w:tc>
        <w:tc>
          <w:tcPr>
            <w:tcW w:w="11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Open</w:t>
            </w:r>
          </w:p>
        </w:tc>
        <w:tc>
          <w:tcPr>
            <w:tcW w:w="39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Roadmap item, not committed in current cycle</w:t>
            </w:r>
          </w:p>
        </w:tc>
      </w:tr>
      <w:tr>
        <w:trPr/>
        <w:tc>
          <w:tcPr>
            <w:tcW w:w="6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6"/>
                <w:szCs w:val="16"/>
              </w:rPr>
              <w:t>CAR-XXX</w:t>
            </w:r>
          </w:p>
        </w:tc>
        <w:tc>
          <w:tcPr>
            <w:tcW w:w="27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[Insert further actions as identified]</w:t>
            </w:r>
          </w:p>
        </w:tc>
        <w:tc>
          <w:tcPr>
            <w:tcW w:w="1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9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10. Reporting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Open and overdue actions are reported to management review at least every six months.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Major nonconformities are escalated to the Chief Executive Officer immediately.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Closure rate and time-to-close are tracked over time as a leading indicator of ISMS health.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11. Maintenance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This Register is reviewed continuously and updated whenever an action is raised, progresses, or is closed.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This document structure is reviewed at least annually.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— Version History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1299"/>
        <w:gridCol w:w="1500"/>
        <w:gridCol w:w="2201"/>
        <w:gridCol w:w="4025"/>
      </w:tblGrid>
      <w:tr>
        <w:trPr>
          <w:tblHeader w:val="true"/>
        </w:trPr>
        <w:tc>
          <w:tcPr>
            <w:tcW w:w="12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5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201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4025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SUMMARY OF CHANGES</w:t>
            </w:r>
          </w:p>
        </w:tc>
      </w:tr>
      <w:tr>
        <w:trPr/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1.0</w:t>
            </w:r>
          </w:p>
        </w:tc>
        <w:tc>
          <w:tcPr>
            <w:tcW w:w="1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April 2026</w:t>
            </w:r>
          </w:p>
        </w:tc>
        <w:tc>
          <w:tcPr>
            <w:tcW w:w="22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Information Security Manager</w:t>
            </w:r>
          </w:p>
        </w:tc>
        <w:tc>
          <w:tcPr>
            <w:tcW w:w="40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Initial register template issued. Aligned to ISO/IEC 27001:2022 Annex A and Cloudax Statement of Applicability v4.0.</w:t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orient="landscape" w:w="16838" w:h="11906"/>
      <w:pgMar w:left="1080" w:right="1080" w:gutter="0" w:header="708" w:top="1080" w:footer="708" w:bottom="108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7200" w:leader="none"/>
        <w:tab w:val="right" w:pos="14400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REG-CAR-001 Corrective Actions Register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7200" w:leader="none"/>
        <w:tab w:val="right" w:pos="14400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REG-CAR-001 Corrective Actions Register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2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3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540" w:hanging="260"/>
      </w:pPr>
      <w:rPr>
        <w:rFonts w:ascii="Arial" w:hAnsi="Arial" w:cs="Arial" w:hint="default"/>
        <w:color w:val="0000FF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A1A1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80"/>
      <w:outlineLvl w:val="0"/>
    </w:pPr>
    <w:rPr>
      <w:rFonts w:ascii="Arial" w:hAnsi="Arial" w:eastAsia="Arial" w:cs="Arial"/>
      <w:b/>
      <w:bCs/>
      <w:color w:val="0000FF"/>
      <w:sz w:val="36"/>
      <w:szCs w:val="36"/>
    </w:rPr>
  </w:style>
  <w:style w:type="paragraph" w:styleId="Heading2">
    <w:name w:val="Heading 2"/>
    <w:basedOn w:val="Heading"/>
    <w:qFormat/>
    <w:pPr>
      <w:spacing w:before="280" w:after="140"/>
      <w:outlineLvl w:val="1"/>
    </w:pPr>
    <w:rPr>
      <w:rFonts w:ascii="Arial" w:hAnsi="Arial" w:eastAsia="Arial" w:cs="Arial"/>
      <w:b/>
      <w:bCs/>
      <w:color w:val="0000FF"/>
      <w:sz w:val="28"/>
      <w:szCs w:val="28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1A1A1A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Microsoft Office Word</Application>
  <AppVersion>16.0000</AppVersion>
  <Company>Cloudax Ltd.</Company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2026-04-03T11:04:50Z</dcterms:created>
  <dc:creator>David Stokes</dc:creator>
  <dc:description/>
  <dc:language>en-US</dc:language>
  <cp:lastModifiedBy>David Stokes</cp:lastModifiedBy>
  <dcterms:modified xsi:type="dcterms:W3CDTF">2026-04-03T13:18:50Z</dcterms:modified>
  <cp:revision>1</cp:revision>
  <dc:subject/>
  <dc:title>Cloudax Corrective Actions Register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