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4400" w:type="dxa"/>
        <w:jc w:val="start"/>
        <w:tblInd w:w="0" w:type="dxa"/>
        <w:tblLayout w:type="fixed"/>
        <w:tblCellMar>
          <w:top w:w="700" w:type="dxa"/>
          <w:start w:w="600" w:type="dxa"/>
          <w:bottom w:w="700" w:type="dxa"/>
          <w:end w:w="600" w:type="dxa"/>
        </w:tblCellMar>
      </w:tblPr>
      <w:tblGrid>
        <w:gridCol w:w="14400"/>
      </w:tblGrid>
      <w:tr>
        <w:trPr>
          <w:trHeight w:val="3800" w:hRule="atLeast"/>
        </w:trPr>
        <w:tc>
          <w:tcPr>
            <w:tcW w:w="14400" w:type="dxa"/>
            <w:tcBorders/>
            <w:shd w:fill="0000FF" w:val="clear"/>
          </w:tcPr>
          <w:p>
            <w:pPr>
              <w:pStyle w:val="Normal"/>
              <w:spacing w:before="0" w:after="300"/>
              <w:jc w:val="center"/>
              <w:rPr/>
            </w:pPr>
            <w:r>
              <w:rPr/>
              <w:drawing>
                <wp:inline distT="0" distB="0" distL="0" distR="0">
                  <wp:extent cx="1428750" cy="108585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1428750" cy="1085850"/>
                          </a:xfrm>
                          <a:prstGeom prst="rect">
                            <a:avLst/>
                          </a:prstGeom>
                        </pic:spPr>
                      </pic:pic>
                    </a:graphicData>
                  </a:graphic>
                </wp:inline>
              </w:drawing>
            </w:r>
          </w:p>
          <w:p>
            <w:pPr>
              <w:pStyle w:val="Normal"/>
              <w:spacing w:before="0" w:after="180"/>
              <w:jc w:val="center"/>
              <w:rPr/>
            </w:pPr>
            <w:r>
              <w:rPr>
                <w:rFonts w:eastAsia="Arial" w:cs="Arial"/>
                <w:b/>
                <w:bCs/>
                <w:color w:val="FFFFFF"/>
                <w:sz w:val="52"/>
                <w:szCs w:val="52"/>
              </w:rPr>
              <w:t>Information Asset Register</w:t>
            </w:r>
          </w:p>
          <w:p>
            <w:pPr>
              <w:pStyle w:val="Normal"/>
              <w:spacing w:before="0" w:after="40"/>
              <w:jc w:val="center"/>
              <w:rPr/>
            </w:pPr>
            <w:r>
              <w:rPr>
                <w:rFonts w:eastAsia="Arial" w:cs="Arial"/>
                <w:color w:val="FFFFFF"/>
                <w:sz w:val="22"/>
                <w:szCs w:val="22"/>
              </w:rPr>
              <w:t>Information Security Management System</w:t>
            </w:r>
          </w:p>
          <w:p>
            <w:pPr>
              <w:pStyle w:val="Normal"/>
              <w:spacing w:before="0" w:after="0"/>
              <w:jc w:val="center"/>
              <w:rPr/>
            </w:pPr>
            <w:r>
              <w:rPr>
                <w:rFonts w:eastAsia="Arial" w:cs="Arial"/>
                <w:i/>
                <w:iCs/>
                <w:color w:val="FFFFFF"/>
                <w:sz w:val="22"/>
                <w:szCs w:val="22"/>
              </w:rPr>
              <w:t>Conversational AI. Always connected.</w:t>
            </w:r>
          </w:p>
        </w:tc>
      </w:tr>
    </w:tbl>
    <w:p>
      <w:pPr>
        <w:pStyle w:val="Normal"/>
        <w:spacing w:before="60" w:after="60"/>
        <w:rPr/>
      </w:pPr>
      <w:r>
        <w:rPr/>
      </w:r>
    </w:p>
    <w:tbl>
      <w:tblPr>
        <w:tblW w:w="14400" w:type="dxa"/>
        <w:jc w:val="start"/>
        <w:tblInd w:w="0" w:type="dxa"/>
        <w:tblLayout w:type="fixed"/>
        <w:tblCellMar>
          <w:top w:w="140" w:type="dxa"/>
          <w:start w:w="200" w:type="dxa"/>
          <w:bottom w:w="140" w:type="dxa"/>
          <w:end w:w="200" w:type="dxa"/>
        </w:tblCellMar>
      </w:tblPr>
      <w:tblGrid>
        <w:gridCol w:w="7200"/>
        <w:gridCol w:w="7199"/>
      </w:tblGrid>
      <w:tr>
        <w:trPr/>
        <w:tc>
          <w:tcPr>
            <w:tcW w:w="7200"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DOCUMENT ID</w:t>
            </w:r>
          </w:p>
          <w:p>
            <w:pPr>
              <w:pStyle w:val="Normal"/>
              <w:spacing w:before="0" w:after="0"/>
              <w:rPr/>
            </w:pPr>
            <w:r>
              <w:rPr>
                <w:rFonts w:eastAsia="Arial" w:cs="Arial"/>
                <w:color w:val="1A1A1A"/>
                <w:sz w:val="22"/>
                <w:szCs w:val="22"/>
              </w:rPr>
              <w:t>REG-IAR-001</w:t>
            </w:r>
          </w:p>
        </w:tc>
        <w:tc>
          <w:tcPr>
            <w:tcW w:w="7199"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VERSION</w:t>
            </w:r>
          </w:p>
          <w:p>
            <w:pPr>
              <w:pStyle w:val="Normal"/>
              <w:spacing w:before="0" w:after="0"/>
              <w:rPr/>
            </w:pPr>
            <w:r>
              <w:rPr>
                <w:rFonts w:eastAsia="Arial" w:cs="Arial"/>
                <w:color w:val="1A1A1A"/>
                <w:sz w:val="22"/>
                <w:szCs w:val="22"/>
              </w:rPr>
              <w:t>1.0</w:t>
            </w:r>
          </w:p>
        </w:tc>
      </w:tr>
      <w:tr>
        <w:trPr/>
        <w:tc>
          <w:tcPr>
            <w:tcW w:w="7200"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DOCUMENT TITLE</w:t>
            </w:r>
          </w:p>
          <w:p>
            <w:pPr>
              <w:pStyle w:val="Normal"/>
              <w:spacing w:before="0" w:after="0"/>
              <w:rPr/>
            </w:pPr>
            <w:r>
              <w:rPr>
                <w:rFonts w:eastAsia="Arial" w:cs="Arial"/>
                <w:color w:val="1A1A1A"/>
                <w:sz w:val="22"/>
                <w:szCs w:val="22"/>
              </w:rPr>
              <w:t>Information Asset Register</w:t>
            </w:r>
          </w:p>
        </w:tc>
        <w:tc>
          <w:tcPr>
            <w:tcW w:w="7199"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STATUS</w:t>
            </w:r>
          </w:p>
          <w:p>
            <w:pPr>
              <w:pStyle w:val="Normal"/>
              <w:spacing w:before="0" w:after="0"/>
              <w:rPr/>
            </w:pPr>
            <w:r>
              <w:rPr>
                <w:rFonts w:eastAsia="Arial" w:cs="Arial"/>
                <w:color w:val="1A1A1A"/>
                <w:sz w:val="22"/>
                <w:szCs w:val="22"/>
              </w:rPr>
              <w:t>Approved</w:t>
            </w:r>
          </w:p>
        </w:tc>
      </w:tr>
      <w:tr>
        <w:trPr/>
        <w:tc>
          <w:tcPr>
            <w:tcW w:w="7200"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OWNER</w:t>
            </w:r>
          </w:p>
          <w:p>
            <w:pPr>
              <w:pStyle w:val="Normal"/>
              <w:spacing w:before="0" w:after="0"/>
              <w:rPr/>
            </w:pPr>
            <w:r>
              <w:rPr>
                <w:rFonts w:eastAsia="Arial" w:cs="Arial"/>
                <w:color w:val="1A1A1A"/>
                <w:sz w:val="22"/>
                <w:szCs w:val="22"/>
              </w:rPr>
              <w:t>Information Security Manager</w:t>
            </w:r>
          </w:p>
        </w:tc>
        <w:tc>
          <w:tcPr>
            <w:tcW w:w="7199"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APPROVER</w:t>
            </w:r>
          </w:p>
          <w:p>
            <w:pPr>
              <w:pStyle w:val="Normal"/>
              <w:spacing w:before="0" w:after="0"/>
              <w:rPr/>
            </w:pPr>
            <w:r>
              <w:rPr>
                <w:rFonts w:eastAsia="Arial" w:cs="Arial"/>
                <w:color w:val="1A1A1A"/>
                <w:sz w:val="22"/>
                <w:szCs w:val="22"/>
              </w:rPr>
              <w:t>Chief Executive Officer</w:t>
            </w:r>
          </w:p>
        </w:tc>
      </w:tr>
      <w:tr>
        <w:trPr/>
        <w:tc>
          <w:tcPr>
            <w:tcW w:w="7200"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ISSUE DATE</w:t>
            </w:r>
          </w:p>
          <w:p>
            <w:pPr>
              <w:pStyle w:val="Normal"/>
              <w:spacing w:before="0" w:after="0"/>
              <w:rPr/>
            </w:pPr>
            <w:r>
              <w:rPr>
                <w:rFonts w:eastAsia="Arial" w:cs="Arial"/>
                <w:color w:val="1A1A1A"/>
                <w:sz w:val="22"/>
                <w:szCs w:val="22"/>
              </w:rPr>
              <w:t>April 2026</w:t>
            </w:r>
          </w:p>
        </w:tc>
        <w:tc>
          <w:tcPr>
            <w:tcW w:w="7199"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EFFECTIVE FROM</w:t>
            </w:r>
          </w:p>
          <w:p>
            <w:pPr>
              <w:pStyle w:val="Normal"/>
              <w:spacing w:before="0" w:after="0"/>
              <w:rPr/>
            </w:pPr>
            <w:r>
              <w:rPr>
                <w:rFonts w:eastAsia="Arial" w:cs="Arial"/>
                <w:color w:val="1A1A1A"/>
                <w:sz w:val="22"/>
                <w:szCs w:val="22"/>
              </w:rPr>
              <w:t>April 2026</w:t>
            </w:r>
          </w:p>
        </w:tc>
      </w:tr>
      <w:tr>
        <w:trPr/>
        <w:tc>
          <w:tcPr>
            <w:tcW w:w="7200"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NEXT REVIEW</w:t>
            </w:r>
          </w:p>
          <w:p>
            <w:pPr>
              <w:pStyle w:val="Normal"/>
              <w:spacing w:before="0" w:after="0"/>
              <w:rPr/>
            </w:pPr>
            <w:r>
              <w:rPr>
                <w:rFonts w:eastAsia="Arial" w:cs="Arial"/>
                <w:color w:val="1A1A1A"/>
                <w:sz w:val="22"/>
                <w:szCs w:val="22"/>
              </w:rPr>
              <w:t>April 2027</w:t>
            </w:r>
          </w:p>
        </w:tc>
        <w:tc>
          <w:tcPr>
            <w:tcW w:w="7199"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REVIEW CYCLE</w:t>
            </w:r>
          </w:p>
          <w:p>
            <w:pPr>
              <w:pStyle w:val="Normal"/>
              <w:spacing w:before="0" w:after="0"/>
              <w:rPr/>
            </w:pPr>
            <w:r>
              <w:rPr>
                <w:rFonts w:eastAsia="Arial" w:cs="Arial"/>
                <w:color w:val="1A1A1A"/>
                <w:sz w:val="22"/>
                <w:szCs w:val="22"/>
              </w:rPr>
              <w:t>Annual or on material change</w:t>
            </w:r>
          </w:p>
        </w:tc>
      </w:tr>
      <w:tr>
        <w:trPr/>
        <w:tc>
          <w:tcPr>
            <w:tcW w:w="7200"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CLASSIFICATION</w:t>
            </w:r>
          </w:p>
          <w:p>
            <w:pPr>
              <w:pStyle w:val="Normal"/>
              <w:spacing w:before="0" w:after="0"/>
              <w:rPr/>
            </w:pPr>
            <w:r>
              <w:rPr>
                <w:rFonts w:eastAsia="Arial" w:cs="Arial"/>
                <w:color w:val="1A1A1A"/>
                <w:sz w:val="22"/>
                <w:szCs w:val="22"/>
              </w:rPr>
              <w:t>Internal</w:t>
            </w:r>
          </w:p>
        </w:tc>
        <w:tc>
          <w:tcPr>
            <w:tcW w:w="7199"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DISTRIBUTION</w:t>
            </w:r>
          </w:p>
          <w:p>
            <w:pPr>
              <w:pStyle w:val="Normal"/>
              <w:spacing w:before="0" w:after="0"/>
              <w:rPr/>
            </w:pPr>
            <w:r>
              <w:rPr>
                <w:rFonts w:eastAsia="Arial" w:cs="Arial"/>
                <w:color w:val="1A1A1A"/>
                <w:sz w:val="22"/>
                <w:szCs w:val="22"/>
              </w:rPr>
              <w:t>Restricted to ISMS team</w:t>
            </w:r>
          </w:p>
        </w:tc>
      </w:tr>
      <w:tr>
        <w:trPr/>
        <w:tc>
          <w:tcPr>
            <w:tcW w:w="7200"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SoA REFERENCE</w:t>
            </w:r>
          </w:p>
          <w:p>
            <w:pPr>
              <w:pStyle w:val="Normal"/>
              <w:spacing w:before="0" w:after="0"/>
              <w:rPr/>
            </w:pPr>
            <w:r>
              <w:rPr>
                <w:rFonts w:eastAsia="Arial" w:cs="Arial"/>
                <w:color w:val="1A1A1A"/>
                <w:sz w:val="22"/>
                <w:szCs w:val="22"/>
              </w:rPr>
              <w:t>ISMS-SOA-001 v4.0</w:t>
            </w:r>
          </w:p>
        </w:tc>
        <w:tc>
          <w:tcPr>
            <w:tcW w:w="7199"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ISMS MAP</w:t>
            </w:r>
          </w:p>
          <w:p>
            <w:pPr>
              <w:pStyle w:val="Normal"/>
              <w:spacing w:before="0" w:after="0"/>
              <w:rPr/>
            </w:pPr>
            <w:r>
              <w:rPr>
                <w:rFonts w:eastAsia="Arial" w:cs="Arial"/>
                <w:color w:val="1A1A1A"/>
                <w:sz w:val="22"/>
                <w:szCs w:val="22"/>
              </w:rPr>
              <w:t>ISMS-MAP-001 v1.0</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Contents</w:t>
      </w:r>
    </w:p>
    <w:p>
      <w:pPr>
        <w:pStyle w:val="Normal"/>
        <w:pBdr>
          <w:bottom w:val="single" w:sz="12" w:space="1" w:color="0000FF"/>
        </w:pBdr>
        <w:spacing w:before="0" w:after="200"/>
        <w:rPr/>
      </w:pPr>
      <w:r>
        <w:rPr/>
      </w:r>
    </w:p>
    <w:p>
      <w:pPr>
        <w:pStyle w:val="Normal"/>
        <w:spacing w:before="40" w:after="40"/>
        <w:rPr/>
      </w:pPr>
      <w:r>
        <w:rPr>
          <w:rFonts w:eastAsia="Arial" w:cs="Arial"/>
          <w:color w:val="1A1A1A"/>
          <w:sz w:val="22"/>
          <w:szCs w:val="22"/>
        </w:rPr>
        <w:t>1. Purpose</w:t>
      </w:r>
    </w:p>
    <w:p>
      <w:pPr>
        <w:pStyle w:val="Normal"/>
        <w:spacing w:before="40" w:after="40"/>
        <w:rPr/>
      </w:pPr>
      <w:r>
        <w:rPr>
          <w:rFonts w:eastAsia="Arial" w:cs="Arial"/>
          <w:color w:val="1A1A1A"/>
          <w:sz w:val="22"/>
          <w:szCs w:val="22"/>
        </w:rPr>
        <w:t>2. Scope</w:t>
      </w:r>
    </w:p>
    <w:p>
      <w:pPr>
        <w:pStyle w:val="Normal"/>
        <w:spacing w:before="40" w:after="40"/>
        <w:rPr/>
      </w:pPr>
      <w:r>
        <w:rPr>
          <w:rFonts w:eastAsia="Arial" w:cs="Arial"/>
          <w:color w:val="1A1A1A"/>
          <w:sz w:val="22"/>
          <w:szCs w:val="22"/>
        </w:rPr>
        <w:t>3. Definitions</w:t>
      </w:r>
    </w:p>
    <w:p>
      <w:pPr>
        <w:pStyle w:val="Normal"/>
        <w:spacing w:before="40" w:after="40"/>
        <w:rPr/>
      </w:pPr>
      <w:r>
        <w:rPr>
          <w:rFonts w:eastAsia="Arial" w:cs="Arial"/>
          <w:color w:val="1A1A1A"/>
          <w:sz w:val="22"/>
          <w:szCs w:val="22"/>
        </w:rPr>
        <w:t>4. Asset Categories</w:t>
      </w:r>
    </w:p>
    <w:p>
      <w:pPr>
        <w:pStyle w:val="Normal"/>
        <w:spacing w:before="40" w:after="40"/>
        <w:rPr/>
      </w:pPr>
      <w:r>
        <w:rPr>
          <w:rFonts w:eastAsia="Arial" w:cs="Arial"/>
          <w:color w:val="1A1A1A"/>
          <w:sz w:val="22"/>
          <w:szCs w:val="22"/>
        </w:rPr>
        <w:t>5. Roles and Responsibilities</w:t>
      </w:r>
    </w:p>
    <w:p>
      <w:pPr>
        <w:pStyle w:val="Normal"/>
        <w:spacing w:before="40" w:after="40"/>
        <w:rPr/>
      </w:pPr>
      <w:r>
        <w:rPr>
          <w:rFonts w:eastAsia="Arial" w:cs="Arial"/>
          <w:color w:val="1A1A1A"/>
          <w:sz w:val="22"/>
          <w:szCs w:val="22"/>
        </w:rPr>
        <w:t>6. How to Use This Register</w:t>
      </w:r>
    </w:p>
    <w:p>
      <w:pPr>
        <w:pStyle w:val="Normal"/>
        <w:spacing w:before="40" w:after="40"/>
        <w:rPr/>
      </w:pPr>
      <w:r>
        <w:rPr>
          <w:rFonts w:eastAsia="Arial" w:cs="Arial"/>
          <w:color w:val="1A1A1A"/>
          <w:sz w:val="22"/>
          <w:szCs w:val="22"/>
        </w:rPr>
        <w:t>7. Asset Records (template + worked examples)</w:t>
      </w:r>
    </w:p>
    <w:p>
      <w:pPr>
        <w:pStyle w:val="Normal"/>
        <w:spacing w:before="40" w:after="40"/>
        <w:rPr/>
      </w:pPr>
      <w:r>
        <w:rPr>
          <w:rFonts w:eastAsia="Arial" w:cs="Arial"/>
          <w:color w:val="1A1A1A"/>
          <w:sz w:val="22"/>
          <w:szCs w:val="22"/>
        </w:rPr>
        <w:t>8. Maintenance</w:t>
      </w:r>
    </w:p>
    <w:p>
      <w:pPr>
        <w:pStyle w:val="Normal"/>
        <w:spacing w:before="40" w:after="40"/>
        <w:rPr/>
      </w:pPr>
      <w:r>
        <w:rPr>
          <w:rFonts w:eastAsia="Arial" w:cs="Arial"/>
          <w:color w:val="1A1A1A"/>
          <w:sz w:val="22"/>
          <w:szCs w:val="22"/>
        </w:rPr>
        <w:t>Annex — Version History</w:t>
      </w:r>
    </w:p>
    <w:p>
      <w:pPr>
        <w:pStyle w:val="Normal"/>
        <w:rPr/>
      </w:pPr>
      <w:r>
        <w:rPr/>
      </w:r>
      <w:r>
        <w:br w:type="page"/>
      </w:r>
    </w:p>
    <w:p>
      <w:pPr>
        <w:pStyle w:val="Heading1"/>
        <w:spacing w:before="0" w:after="180"/>
        <w:rPr/>
      </w:pPr>
      <w:r>
        <w:rPr>
          <w:rFonts w:eastAsia="Arial" w:cs="Arial" w:ascii="Arial" w:hAnsi="Arial"/>
          <w:b/>
          <w:bCs/>
          <w:color w:val="0000FF"/>
          <w:sz w:val="36"/>
          <w:szCs w:val="36"/>
        </w:rPr>
        <w:t>1. Purpose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Information Asset Register is the inventory of information assets in scope of the Cloudax ISMS. It supports the Information Security Policy (POL-001) and gives effect to A.5.9 Inventory of information and other associated assets.</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Linked control: A.5.9 Inventory of information and other associated assets</w:t>
      </w:r>
    </w:p>
    <w:p>
      <w:pPr>
        <w:pStyle w:val="Heading1"/>
        <w:spacing w:before="360" w:after="180"/>
        <w:rPr/>
      </w:pPr>
      <w:r>
        <w:rPr>
          <w:rFonts w:eastAsia="Arial" w:cs="Arial" w:ascii="Arial" w:hAnsi="Arial"/>
          <w:b/>
          <w:bCs/>
          <w:color w:val="0000FF"/>
          <w:sz w:val="36"/>
          <w:szCs w:val="36"/>
        </w:rPr>
        <w:t>2. Scope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Register covers all information assets within the Cloudax ISMS scope, including information itself, the systems that process it, the facilities and devices that hold it, and the people and suppliers associated with it.</w:t>
      </w:r>
    </w:p>
    <w:p>
      <w:pPr>
        <w:pStyle w:val="Heading1"/>
        <w:spacing w:before="360" w:after="180"/>
        <w:rPr/>
      </w:pPr>
      <w:r>
        <w:rPr>
          <w:rFonts w:eastAsia="Arial" w:cs="Arial" w:ascii="Arial" w:hAnsi="Arial"/>
          <w:b/>
          <w:bCs/>
          <w:color w:val="0000FF"/>
          <w:sz w:val="36"/>
          <w:szCs w:val="36"/>
        </w:rPr>
        <w:t>3. Definitions</w:t>
      </w:r>
    </w:p>
    <w:p>
      <w:pPr>
        <w:pStyle w:val="Normal"/>
        <w:pBdr>
          <w:bottom w:val="single" w:sz="12" w:space="1" w:color="0000FF"/>
        </w:pBdr>
        <w:spacing w:before="0" w:after="200"/>
        <w:rPr/>
      </w:pPr>
      <w:r>
        <w:rPr/>
      </w:r>
    </w:p>
    <w:p>
      <w:pPr>
        <w:pStyle w:val="ListParagraph"/>
        <w:numPr>
          <w:ilvl w:val="0"/>
          <w:numId w:val="3"/>
        </w:numPr>
        <w:spacing w:lineRule="exact" w:line="280" w:before="40" w:after="40"/>
        <w:rPr/>
      </w:pPr>
      <w:r>
        <w:rPr>
          <w:rFonts w:eastAsia="Arial" w:cs="Arial"/>
          <w:b/>
          <w:bCs/>
          <w:color w:val="1A1A1A"/>
          <w:sz w:val="22"/>
          <w:szCs w:val="22"/>
        </w:rPr>
        <w:t xml:space="preserve">Asset: </w:t>
      </w:r>
      <w:r>
        <w:rPr>
          <w:rFonts w:eastAsia="Arial" w:cs="Arial"/>
          <w:color w:val="1A1A1A"/>
          <w:sz w:val="22"/>
          <w:szCs w:val="22"/>
        </w:rPr>
        <w:t>anything that has value to Cloudax — information, systems, devices, software, facilities, suppliers, or personnel relationships.</w:t>
      </w:r>
    </w:p>
    <w:p>
      <w:pPr>
        <w:pStyle w:val="ListParagraph"/>
        <w:numPr>
          <w:ilvl w:val="0"/>
          <w:numId w:val="1"/>
        </w:numPr>
        <w:spacing w:lineRule="exact" w:line="280" w:before="40" w:after="40"/>
        <w:rPr/>
      </w:pPr>
      <w:r>
        <w:rPr>
          <w:rFonts w:eastAsia="Arial" w:cs="Arial"/>
          <w:b/>
          <w:bCs/>
          <w:color w:val="1A1A1A"/>
          <w:sz w:val="22"/>
          <w:szCs w:val="22"/>
        </w:rPr>
        <w:t xml:space="preserve">Owner: </w:t>
      </w:r>
      <w:r>
        <w:rPr>
          <w:rFonts w:eastAsia="Arial" w:cs="Arial"/>
          <w:color w:val="1A1A1A"/>
          <w:sz w:val="22"/>
          <w:szCs w:val="22"/>
        </w:rPr>
        <w:t>the named person accountable for the protection and management of an asset.</w:t>
      </w:r>
    </w:p>
    <w:p>
      <w:pPr>
        <w:pStyle w:val="ListParagraph"/>
        <w:numPr>
          <w:ilvl w:val="0"/>
          <w:numId w:val="1"/>
        </w:numPr>
        <w:spacing w:lineRule="exact" w:line="280" w:before="40" w:after="40"/>
        <w:rPr/>
      </w:pPr>
      <w:r>
        <w:rPr>
          <w:rFonts w:eastAsia="Arial" w:cs="Arial"/>
          <w:b/>
          <w:bCs/>
          <w:color w:val="1A1A1A"/>
          <w:sz w:val="22"/>
          <w:szCs w:val="22"/>
        </w:rPr>
        <w:t xml:space="preserve">Classification: </w:t>
      </w:r>
      <w:r>
        <w:rPr>
          <w:rFonts w:eastAsia="Arial" w:cs="Arial"/>
          <w:color w:val="1A1A1A"/>
          <w:sz w:val="22"/>
          <w:szCs w:val="22"/>
        </w:rPr>
        <w:t>the protection level assigned to an information asset under POL-004.</w:t>
      </w:r>
    </w:p>
    <w:p>
      <w:pPr>
        <w:pStyle w:val="Heading1"/>
        <w:spacing w:before="360" w:after="180"/>
        <w:rPr/>
      </w:pPr>
      <w:r>
        <w:rPr>
          <w:rFonts w:eastAsia="Arial" w:cs="Arial" w:ascii="Arial" w:hAnsi="Arial"/>
          <w:b/>
          <w:bCs/>
          <w:color w:val="0000FF"/>
          <w:sz w:val="36"/>
          <w:szCs w:val="36"/>
        </w:rPr>
        <w:t>4. Asset Categories</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Information assets — customer data (recordings, transcripts, configuration), personal data, business records, source code, models, training data.</w:t>
      </w:r>
    </w:p>
    <w:p>
      <w:pPr>
        <w:pStyle w:val="ListParagraph"/>
        <w:numPr>
          <w:ilvl w:val="0"/>
          <w:numId w:val="1"/>
        </w:numPr>
        <w:spacing w:lineRule="exact" w:line="280" w:before="40" w:after="40"/>
        <w:rPr/>
      </w:pPr>
      <w:r>
        <w:rPr>
          <w:rFonts w:eastAsia="Arial" w:cs="Arial"/>
          <w:color w:val="1A1A1A"/>
          <w:sz w:val="22"/>
          <w:szCs w:val="22"/>
        </w:rPr>
        <w:t>System assets — cloud tenancies, applications, services, repositories, identity providers, databases.</w:t>
      </w:r>
    </w:p>
    <w:p>
      <w:pPr>
        <w:pStyle w:val="ListParagraph"/>
        <w:numPr>
          <w:ilvl w:val="0"/>
          <w:numId w:val="1"/>
        </w:numPr>
        <w:spacing w:lineRule="exact" w:line="280" w:before="40" w:after="40"/>
        <w:rPr/>
      </w:pPr>
      <w:r>
        <w:rPr>
          <w:rFonts w:eastAsia="Arial" w:cs="Arial"/>
          <w:color w:val="1A1A1A"/>
          <w:sz w:val="22"/>
          <w:szCs w:val="22"/>
        </w:rPr>
        <w:t>Endpoint assets — laptops, mobile devices, peripherals.</w:t>
      </w:r>
    </w:p>
    <w:p>
      <w:pPr>
        <w:pStyle w:val="ListParagraph"/>
        <w:numPr>
          <w:ilvl w:val="0"/>
          <w:numId w:val="1"/>
        </w:numPr>
        <w:spacing w:lineRule="exact" w:line="280" w:before="40" w:after="40"/>
        <w:rPr/>
      </w:pPr>
      <w:r>
        <w:rPr>
          <w:rFonts w:eastAsia="Arial" w:cs="Arial"/>
          <w:color w:val="1A1A1A"/>
          <w:sz w:val="22"/>
          <w:szCs w:val="22"/>
        </w:rPr>
        <w:t>Facility assets — the Manchester shared workspace, cloud-provider data centres (by reference).</w:t>
      </w:r>
    </w:p>
    <w:p>
      <w:pPr>
        <w:pStyle w:val="ListParagraph"/>
        <w:numPr>
          <w:ilvl w:val="0"/>
          <w:numId w:val="1"/>
        </w:numPr>
        <w:spacing w:lineRule="exact" w:line="280" w:before="40" w:after="40"/>
        <w:rPr/>
      </w:pPr>
      <w:r>
        <w:rPr>
          <w:rFonts w:eastAsia="Arial" w:cs="Arial"/>
          <w:color w:val="1A1A1A"/>
          <w:sz w:val="22"/>
          <w:szCs w:val="22"/>
        </w:rPr>
        <w:t>Supplier and contract assets — customer contracts, supplier contracts, DPAs.</w:t>
      </w:r>
    </w:p>
    <w:p>
      <w:pPr>
        <w:pStyle w:val="Heading1"/>
        <w:spacing w:before="360" w:after="180"/>
        <w:rPr/>
      </w:pPr>
      <w:r>
        <w:rPr>
          <w:rFonts w:eastAsia="Arial" w:cs="Arial" w:ascii="Arial" w:hAnsi="Arial"/>
          <w:b/>
          <w:bCs/>
          <w:color w:val="0000FF"/>
          <w:sz w:val="36"/>
          <w:szCs w:val="36"/>
        </w:rPr>
        <w:t>5. Roles and Responsibilities</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Information Security Manager: owns this Register; ensures the inventory is complete and current.</w:t>
      </w:r>
    </w:p>
    <w:p>
      <w:pPr>
        <w:pStyle w:val="ListParagraph"/>
        <w:numPr>
          <w:ilvl w:val="0"/>
          <w:numId w:val="1"/>
        </w:numPr>
        <w:spacing w:lineRule="exact" w:line="280" w:before="40" w:after="40"/>
        <w:rPr/>
      </w:pPr>
      <w:r>
        <w:rPr>
          <w:rFonts w:eastAsia="Arial" w:cs="Arial"/>
          <w:color w:val="1A1A1A"/>
          <w:sz w:val="22"/>
          <w:szCs w:val="22"/>
        </w:rPr>
        <w:t>Asset owners: keep records of their assets accurate; flag changes promptly.</w:t>
      </w:r>
    </w:p>
    <w:p>
      <w:pPr>
        <w:pStyle w:val="ListParagraph"/>
        <w:numPr>
          <w:ilvl w:val="0"/>
          <w:numId w:val="1"/>
        </w:numPr>
        <w:spacing w:lineRule="exact" w:line="280" w:before="40" w:after="40"/>
        <w:rPr/>
      </w:pPr>
      <w:r>
        <w:rPr>
          <w:rFonts w:eastAsia="Arial" w:cs="Arial"/>
          <w:color w:val="1A1A1A"/>
          <w:sz w:val="22"/>
          <w:szCs w:val="22"/>
        </w:rPr>
        <w:t>All personnel: identify and report newly created or acquired information assets.</w:t>
      </w:r>
    </w:p>
    <w:p>
      <w:pPr>
        <w:pStyle w:val="Heading1"/>
        <w:spacing w:before="360" w:after="180"/>
        <w:rPr/>
      </w:pPr>
      <w:r>
        <w:rPr>
          <w:rFonts w:eastAsia="Arial" w:cs="Arial" w:ascii="Arial" w:hAnsi="Arial"/>
          <w:b/>
          <w:bCs/>
          <w:color w:val="0000FF"/>
          <w:sz w:val="36"/>
          <w:szCs w:val="36"/>
        </w:rPr>
        <w:t>6. How to Use This Register</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Each asset is given a unique identifier (IAR-NNN).</w:t>
      </w:r>
    </w:p>
    <w:p>
      <w:pPr>
        <w:pStyle w:val="ListParagraph"/>
        <w:numPr>
          <w:ilvl w:val="0"/>
          <w:numId w:val="1"/>
        </w:numPr>
        <w:spacing w:lineRule="exact" w:line="280" w:before="40" w:after="40"/>
        <w:rPr/>
      </w:pPr>
      <w:r>
        <w:rPr>
          <w:rFonts w:eastAsia="Arial" w:cs="Arial"/>
          <w:color w:val="1A1A1A"/>
          <w:sz w:val="22"/>
          <w:szCs w:val="22"/>
        </w:rPr>
        <w:t>Each asset has exactly one owner.</w:t>
      </w:r>
    </w:p>
    <w:p>
      <w:pPr>
        <w:pStyle w:val="ListParagraph"/>
        <w:numPr>
          <w:ilvl w:val="0"/>
          <w:numId w:val="1"/>
        </w:numPr>
        <w:spacing w:lineRule="exact" w:line="280" w:before="40" w:after="40"/>
        <w:rPr/>
      </w:pPr>
      <w:r>
        <w:rPr>
          <w:rFonts w:eastAsia="Arial" w:cs="Arial"/>
          <w:color w:val="1A1A1A"/>
          <w:sz w:val="22"/>
          <w:szCs w:val="22"/>
        </w:rPr>
        <w:t>Classification (Public, Internal, Confidential, Restricted) follows POL-004.</w:t>
      </w:r>
    </w:p>
    <w:p>
      <w:pPr>
        <w:pStyle w:val="ListParagraph"/>
        <w:numPr>
          <w:ilvl w:val="0"/>
          <w:numId w:val="1"/>
        </w:numPr>
        <w:spacing w:lineRule="exact" w:line="280" w:before="40" w:after="40"/>
        <w:rPr/>
      </w:pPr>
      <w:r>
        <w:rPr>
          <w:rFonts w:eastAsia="Arial" w:cs="Arial"/>
          <w:color w:val="1A1A1A"/>
          <w:sz w:val="22"/>
          <w:szCs w:val="22"/>
        </w:rPr>
        <w:t>Linked controls reference the policies and SoA controls that protect the asset.</w:t>
      </w:r>
    </w:p>
    <w:p>
      <w:pPr>
        <w:pStyle w:val="ListParagraph"/>
        <w:numPr>
          <w:ilvl w:val="0"/>
          <w:numId w:val="1"/>
        </w:numPr>
        <w:spacing w:lineRule="exact" w:line="280" w:before="40" w:after="40"/>
        <w:rPr/>
      </w:pPr>
      <w:r>
        <w:rPr>
          <w:rFonts w:eastAsia="Arial" w:cs="Arial"/>
          <w:color w:val="1A1A1A"/>
          <w:sz w:val="22"/>
          <w:szCs w:val="22"/>
        </w:rPr>
        <w:t>Review date is set per the Records Retention Schedule (POL-009) and in any case at least annually.</w:t>
      </w:r>
    </w:p>
    <w:p>
      <w:pPr>
        <w:pStyle w:val="ListParagraph"/>
        <w:numPr>
          <w:ilvl w:val="0"/>
          <w:numId w:val="1"/>
        </w:numPr>
        <w:spacing w:lineRule="exact" w:line="280" w:before="40" w:after="40"/>
        <w:rPr/>
      </w:pPr>
      <w:r>
        <w:rPr>
          <w:rFonts w:eastAsia="Arial" w:cs="Arial"/>
          <w:color w:val="1A1A1A"/>
          <w:sz w:val="22"/>
          <w:szCs w:val="22"/>
        </w:rPr>
        <w:t>This document holds a representative sample (Section 7); the live register is maintained as an Excel workbook with the same column structure and is the authoritative source. The Excel version reconciles to this document at each formal review.</w:t>
      </w:r>
    </w:p>
    <w:p>
      <w:pPr>
        <w:pStyle w:val="Heading1"/>
        <w:spacing w:before="360" w:after="180"/>
        <w:rPr/>
      </w:pPr>
      <w:r>
        <w:rPr>
          <w:rFonts w:eastAsia="Arial" w:cs="Arial" w:ascii="Arial" w:hAnsi="Arial"/>
          <w:b/>
          <w:bCs/>
          <w:color w:val="0000FF"/>
          <w:sz w:val="36"/>
          <w:szCs w:val="36"/>
        </w:rPr>
        <w:t>7. Asset Records (template + worked examples)</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Worked examples follow. The structure is the template; populate with all in-scope assets in the live register.</w:t>
      </w:r>
    </w:p>
    <w:p>
      <w:pPr>
        <w:pStyle w:val="Normal"/>
        <w:spacing w:before="60" w:after="60"/>
        <w:rPr/>
      </w:pPr>
      <w:r>
        <w:rPr/>
      </w:r>
    </w:p>
    <w:tbl>
      <w:tblPr>
        <w:tblW w:w="14400" w:type="dxa"/>
        <w:jc w:val="start"/>
        <w:tblInd w:w="0" w:type="dxa"/>
        <w:tblLayout w:type="fixed"/>
        <w:tblCellMar>
          <w:top w:w="80" w:type="dxa"/>
          <w:start w:w="120" w:type="dxa"/>
          <w:bottom w:w="80" w:type="dxa"/>
          <w:end w:w="120" w:type="dxa"/>
        </w:tblCellMar>
      </w:tblPr>
      <w:tblGrid>
        <w:gridCol w:w="800"/>
        <w:gridCol w:w="2199"/>
        <w:gridCol w:w="1300"/>
        <w:gridCol w:w="1501"/>
        <w:gridCol w:w="1300"/>
        <w:gridCol w:w="1999"/>
        <w:gridCol w:w="2200"/>
        <w:gridCol w:w="1901"/>
        <w:gridCol w:w="1198"/>
      </w:tblGrid>
      <w:tr>
        <w:trPr>
          <w:tblHeader w:val="true"/>
        </w:trPr>
        <w:tc>
          <w:tcPr>
            <w:tcW w:w="8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ID</w:t>
            </w:r>
          </w:p>
        </w:tc>
        <w:tc>
          <w:tcPr>
            <w:tcW w:w="21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ASSET</w:t>
            </w:r>
          </w:p>
        </w:tc>
        <w:tc>
          <w:tcPr>
            <w:tcW w:w="13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CATEGORY</w:t>
            </w:r>
          </w:p>
        </w:tc>
        <w:tc>
          <w:tcPr>
            <w:tcW w:w="1501"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OWNER</w:t>
            </w:r>
          </w:p>
        </w:tc>
        <w:tc>
          <w:tcPr>
            <w:tcW w:w="13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CLASSIFICATION</w:t>
            </w:r>
          </w:p>
        </w:tc>
        <w:tc>
          <w:tcPr>
            <w:tcW w:w="19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LOCATION / SYSTEM</w:t>
            </w:r>
          </w:p>
        </w:tc>
        <w:tc>
          <w:tcPr>
            <w:tcW w:w="22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LINKED CONTROLS</w:t>
            </w:r>
          </w:p>
        </w:tc>
        <w:tc>
          <w:tcPr>
            <w:tcW w:w="1901"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DEPENDENCIES</w:t>
            </w:r>
          </w:p>
        </w:tc>
        <w:tc>
          <w:tcPr>
            <w:tcW w:w="1198"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REVIEW DATE</w:t>
            </w:r>
          </w:p>
        </w:tc>
      </w:tr>
      <w:tr>
        <w:trPr/>
        <w:tc>
          <w:tcPr>
            <w:tcW w:w="8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6"/>
                <w:szCs w:val="16"/>
              </w:rPr>
              <w:t>IAR-001</w:t>
            </w:r>
          </w:p>
        </w:tc>
        <w:tc>
          <w:tcPr>
            <w:tcW w:w="21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Customer voice recordings, transcripts, derived metadata</w:t>
            </w:r>
          </w:p>
        </w:tc>
        <w:tc>
          <w:tcPr>
            <w:tcW w:w="13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Information</w:t>
            </w:r>
          </w:p>
        </w:tc>
        <w:tc>
          <w:tcPr>
            <w:tcW w:w="15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CTO / Privacy Lead</w:t>
            </w:r>
          </w:p>
        </w:tc>
        <w:tc>
          <w:tcPr>
            <w:tcW w:w="13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Restricted</w:t>
            </w:r>
          </w:p>
        </w:tc>
        <w:tc>
          <w:tcPr>
            <w:tcW w:w="19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Cloudax platform — production cloud tenancy</w:t>
            </w:r>
          </w:p>
        </w:tc>
        <w:tc>
          <w:tcPr>
            <w:tcW w:w="22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POL-002, POL-004, POL-010, POL-017, POL-019</w:t>
            </w:r>
          </w:p>
        </w:tc>
        <w:tc>
          <w:tcPr>
            <w:tcW w:w="19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AWS production tenancy, customer DPAs</w:t>
            </w:r>
          </w:p>
        </w:tc>
        <w:tc>
          <w:tcPr>
            <w:tcW w:w="1198"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Annual</w:t>
            </w:r>
          </w:p>
        </w:tc>
      </w:tr>
      <w:tr>
        <w:trPr/>
        <w:tc>
          <w:tcPr>
            <w:tcW w:w="8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6"/>
                <w:szCs w:val="16"/>
              </w:rPr>
              <w:t>IAR-002</w:t>
            </w:r>
          </w:p>
        </w:tc>
        <w:tc>
          <w:tcPr>
            <w:tcW w:w="21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Customer configuration and prompt content</w:t>
            </w:r>
          </w:p>
        </w:tc>
        <w:tc>
          <w:tcPr>
            <w:tcW w:w="13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Information</w:t>
            </w:r>
          </w:p>
        </w:tc>
        <w:tc>
          <w:tcPr>
            <w:tcW w:w="15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CTO</w:t>
            </w:r>
          </w:p>
        </w:tc>
        <w:tc>
          <w:tcPr>
            <w:tcW w:w="13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Confidential</w:t>
            </w:r>
          </w:p>
        </w:tc>
        <w:tc>
          <w:tcPr>
            <w:tcW w:w="19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Cloudax platform — production cloud tenancy</w:t>
            </w:r>
          </w:p>
        </w:tc>
        <w:tc>
          <w:tcPr>
            <w:tcW w:w="22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POL-002, POL-004, POL-019</w:t>
            </w:r>
          </w:p>
        </w:tc>
        <w:tc>
          <w:tcPr>
            <w:tcW w:w="19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AWS production tenancy</w:t>
            </w:r>
          </w:p>
        </w:tc>
        <w:tc>
          <w:tcPr>
            <w:tcW w:w="1198"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Annual</w:t>
            </w:r>
          </w:p>
        </w:tc>
      </w:tr>
      <w:tr>
        <w:trPr/>
        <w:tc>
          <w:tcPr>
            <w:tcW w:w="8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6"/>
                <w:szCs w:val="16"/>
              </w:rPr>
              <w:t>IAR-003</w:t>
            </w:r>
          </w:p>
        </w:tc>
        <w:tc>
          <w:tcPr>
            <w:tcW w:w="21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Source code (Cloudax platform)</w:t>
            </w:r>
          </w:p>
        </w:tc>
        <w:tc>
          <w:tcPr>
            <w:tcW w:w="13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Information / System</w:t>
            </w:r>
          </w:p>
        </w:tc>
        <w:tc>
          <w:tcPr>
            <w:tcW w:w="15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CTO</w:t>
            </w:r>
          </w:p>
        </w:tc>
        <w:tc>
          <w:tcPr>
            <w:tcW w:w="13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Restricted</w:t>
            </w:r>
          </w:p>
        </w:tc>
        <w:tc>
          <w:tcPr>
            <w:tcW w:w="19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Source code repository — GitHub / GitLab tenancy</w:t>
            </w:r>
          </w:p>
        </w:tc>
        <w:tc>
          <w:tcPr>
            <w:tcW w:w="22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POL-002, POL-024, POL-008</w:t>
            </w:r>
          </w:p>
        </w:tc>
        <w:tc>
          <w:tcPr>
            <w:tcW w:w="19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SCM provider</w:t>
            </w:r>
          </w:p>
        </w:tc>
        <w:tc>
          <w:tcPr>
            <w:tcW w:w="1198"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Quarterly</w:t>
            </w:r>
          </w:p>
        </w:tc>
      </w:tr>
      <w:tr>
        <w:trPr/>
        <w:tc>
          <w:tcPr>
            <w:tcW w:w="8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6"/>
                <w:szCs w:val="16"/>
              </w:rPr>
              <w:t>IAR-004</w:t>
            </w:r>
          </w:p>
        </w:tc>
        <w:tc>
          <w:tcPr>
            <w:tcW w:w="21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Training and evaluation datasets</w:t>
            </w:r>
          </w:p>
        </w:tc>
        <w:tc>
          <w:tcPr>
            <w:tcW w:w="13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Information</w:t>
            </w:r>
          </w:p>
        </w:tc>
        <w:tc>
          <w:tcPr>
            <w:tcW w:w="15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CTO / Privacy Lead</w:t>
            </w:r>
          </w:p>
        </w:tc>
        <w:tc>
          <w:tcPr>
            <w:tcW w:w="13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Confidential</w:t>
            </w:r>
          </w:p>
        </w:tc>
        <w:tc>
          <w:tcPr>
            <w:tcW w:w="19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Internal data store — production cloud tenancy</w:t>
            </w:r>
          </w:p>
        </w:tc>
        <w:tc>
          <w:tcPr>
            <w:tcW w:w="22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POL-004, POL-010, POL-016, POL-024</w:t>
            </w:r>
          </w:p>
        </w:tc>
        <w:tc>
          <w:tcPr>
            <w:tcW w:w="19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AI Use Register</w:t>
            </w:r>
          </w:p>
        </w:tc>
        <w:tc>
          <w:tcPr>
            <w:tcW w:w="1198"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Annual</w:t>
            </w:r>
          </w:p>
        </w:tc>
      </w:tr>
      <w:tr>
        <w:trPr/>
        <w:tc>
          <w:tcPr>
            <w:tcW w:w="8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6"/>
                <w:szCs w:val="16"/>
              </w:rPr>
              <w:t>IAR-005</w:t>
            </w:r>
          </w:p>
        </w:tc>
        <w:tc>
          <w:tcPr>
            <w:tcW w:w="21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Identity provider (corporate IdP + MFA)</w:t>
            </w:r>
          </w:p>
        </w:tc>
        <w:tc>
          <w:tcPr>
            <w:tcW w:w="13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System</w:t>
            </w:r>
          </w:p>
        </w:tc>
        <w:tc>
          <w:tcPr>
            <w:tcW w:w="15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ISM</w:t>
            </w:r>
          </w:p>
        </w:tc>
        <w:tc>
          <w:tcPr>
            <w:tcW w:w="13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Restricted</w:t>
            </w:r>
          </w:p>
        </w:tc>
        <w:tc>
          <w:tcPr>
            <w:tcW w:w="19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[Provider name] tenancy</w:t>
            </w:r>
          </w:p>
        </w:tc>
        <w:tc>
          <w:tcPr>
            <w:tcW w:w="22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POL-002, POL-006, POL-019</w:t>
            </w:r>
          </w:p>
        </w:tc>
        <w:tc>
          <w:tcPr>
            <w:tcW w:w="19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Tier 1 supplier</w:t>
            </w:r>
          </w:p>
        </w:tc>
        <w:tc>
          <w:tcPr>
            <w:tcW w:w="1198"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Quarterly</w:t>
            </w:r>
          </w:p>
        </w:tc>
      </w:tr>
      <w:tr>
        <w:trPr/>
        <w:tc>
          <w:tcPr>
            <w:tcW w:w="8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6"/>
                <w:szCs w:val="16"/>
              </w:rPr>
              <w:t>IAR-006</w:t>
            </w:r>
          </w:p>
        </w:tc>
        <w:tc>
          <w:tcPr>
            <w:tcW w:w="21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Microsoft 365 tenancy (mail, files, Teams)</w:t>
            </w:r>
          </w:p>
        </w:tc>
        <w:tc>
          <w:tcPr>
            <w:tcW w:w="13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System</w:t>
            </w:r>
          </w:p>
        </w:tc>
        <w:tc>
          <w:tcPr>
            <w:tcW w:w="15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ISM</w:t>
            </w:r>
          </w:p>
        </w:tc>
        <w:tc>
          <w:tcPr>
            <w:tcW w:w="13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Confidential</w:t>
            </w:r>
          </w:p>
        </w:tc>
        <w:tc>
          <w:tcPr>
            <w:tcW w:w="19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Microsoft 365 tenancy</w:t>
            </w:r>
          </w:p>
        </w:tc>
        <w:tc>
          <w:tcPr>
            <w:tcW w:w="22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POL-002, POL-005, POL-006, POL-018</w:t>
            </w:r>
          </w:p>
        </w:tc>
        <w:tc>
          <w:tcPr>
            <w:tcW w:w="19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Tier 2 supplier</w:t>
            </w:r>
          </w:p>
        </w:tc>
        <w:tc>
          <w:tcPr>
            <w:tcW w:w="1198"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Annual</w:t>
            </w:r>
          </w:p>
        </w:tc>
      </w:tr>
      <w:tr>
        <w:trPr/>
        <w:tc>
          <w:tcPr>
            <w:tcW w:w="8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6"/>
                <w:szCs w:val="16"/>
              </w:rPr>
              <w:t>IAR-007</w:t>
            </w:r>
          </w:p>
        </w:tc>
        <w:tc>
          <w:tcPr>
            <w:tcW w:w="21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Cloudax-issued laptops (managed endpoints)</w:t>
            </w:r>
          </w:p>
        </w:tc>
        <w:tc>
          <w:tcPr>
            <w:tcW w:w="13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Endpoint</w:t>
            </w:r>
          </w:p>
        </w:tc>
        <w:tc>
          <w:tcPr>
            <w:tcW w:w="15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ISM</w:t>
            </w:r>
          </w:p>
        </w:tc>
        <w:tc>
          <w:tcPr>
            <w:tcW w:w="13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Confidential</w:t>
            </w:r>
          </w:p>
        </w:tc>
        <w:tc>
          <w:tcPr>
            <w:tcW w:w="19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Distributed (personnel)</w:t>
            </w:r>
          </w:p>
        </w:tc>
        <w:tc>
          <w:tcPr>
            <w:tcW w:w="22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POL-003, POL-012, POL-015, POL-021</w:t>
            </w:r>
          </w:p>
        </w:tc>
        <w:tc>
          <w:tcPr>
            <w:tcW w:w="19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MDM, EDR</w:t>
            </w:r>
          </w:p>
        </w:tc>
        <w:tc>
          <w:tcPr>
            <w:tcW w:w="1198"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Annual</w:t>
            </w:r>
          </w:p>
        </w:tc>
      </w:tr>
      <w:tr>
        <w:trPr/>
        <w:tc>
          <w:tcPr>
            <w:tcW w:w="8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6"/>
                <w:szCs w:val="16"/>
              </w:rPr>
              <w:t>IAR-008</w:t>
            </w:r>
          </w:p>
        </w:tc>
        <w:tc>
          <w:tcPr>
            <w:tcW w:w="21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Manchester shared workspace (Cloudax zone and shared facilities)</w:t>
            </w:r>
          </w:p>
        </w:tc>
        <w:tc>
          <w:tcPr>
            <w:tcW w:w="13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Facility</w:t>
            </w:r>
          </w:p>
        </w:tc>
        <w:tc>
          <w:tcPr>
            <w:tcW w:w="15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ISM (operator dependency)</w:t>
            </w:r>
          </w:p>
        </w:tc>
        <w:tc>
          <w:tcPr>
            <w:tcW w:w="13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Internal</w:t>
            </w:r>
          </w:p>
        </w:tc>
        <w:tc>
          <w:tcPr>
            <w:tcW w:w="19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Manchester, UK</w:t>
            </w:r>
          </w:p>
        </w:tc>
        <w:tc>
          <w:tcPr>
            <w:tcW w:w="22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POL-007, POL-012</w:t>
            </w:r>
          </w:p>
        </w:tc>
        <w:tc>
          <w:tcPr>
            <w:tcW w:w="19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Workspace operator agreement</w:t>
            </w:r>
          </w:p>
        </w:tc>
        <w:tc>
          <w:tcPr>
            <w:tcW w:w="1198"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Annual</w:t>
            </w:r>
          </w:p>
        </w:tc>
      </w:tr>
      <w:tr>
        <w:trPr/>
        <w:tc>
          <w:tcPr>
            <w:tcW w:w="8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6"/>
                <w:szCs w:val="16"/>
              </w:rPr>
              <w:t>IAR-009</w:t>
            </w:r>
          </w:p>
        </w:tc>
        <w:tc>
          <w:tcPr>
            <w:tcW w:w="21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Customer contracts and DPAs</w:t>
            </w:r>
          </w:p>
        </w:tc>
        <w:tc>
          <w:tcPr>
            <w:tcW w:w="13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Information / Contract</w:t>
            </w:r>
          </w:p>
        </w:tc>
        <w:tc>
          <w:tcPr>
            <w:tcW w:w="15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Privacy Lead</w:t>
            </w:r>
          </w:p>
        </w:tc>
        <w:tc>
          <w:tcPr>
            <w:tcW w:w="13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Confidential</w:t>
            </w:r>
          </w:p>
        </w:tc>
        <w:tc>
          <w:tcPr>
            <w:tcW w:w="19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Microsoft 365 / approved contract repository</w:t>
            </w:r>
          </w:p>
        </w:tc>
        <w:tc>
          <w:tcPr>
            <w:tcW w:w="22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POL-005, POL-006, POL-009, POL-010</w:t>
            </w:r>
          </w:p>
        </w:tc>
        <w:tc>
          <w:tcPr>
            <w:tcW w:w="19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REG-ROPA-001</w:t>
            </w:r>
          </w:p>
        </w:tc>
        <w:tc>
          <w:tcPr>
            <w:tcW w:w="1198"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On change</w:t>
            </w:r>
          </w:p>
        </w:tc>
      </w:tr>
      <w:tr>
        <w:trPr/>
        <w:tc>
          <w:tcPr>
            <w:tcW w:w="8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6"/>
                <w:szCs w:val="16"/>
              </w:rPr>
              <w:t>IAR-010</w:t>
            </w:r>
          </w:p>
        </w:tc>
        <w:tc>
          <w:tcPr>
            <w:tcW w:w="21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ISMS evidence (policies, audits, training, incident records)</w:t>
            </w:r>
          </w:p>
        </w:tc>
        <w:tc>
          <w:tcPr>
            <w:tcW w:w="13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Information</w:t>
            </w:r>
          </w:p>
        </w:tc>
        <w:tc>
          <w:tcPr>
            <w:tcW w:w="15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ISM</w:t>
            </w:r>
          </w:p>
        </w:tc>
        <w:tc>
          <w:tcPr>
            <w:tcW w:w="13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Internal</w:t>
            </w:r>
          </w:p>
        </w:tc>
        <w:tc>
          <w:tcPr>
            <w:tcW w:w="19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ISMS document repository</w:t>
            </w:r>
          </w:p>
        </w:tc>
        <w:tc>
          <w:tcPr>
            <w:tcW w:w="22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POL-009, POL-019</w:t>
            </w:r>
          </w:p>
        </w:tc>
        <w:tc>
          <w:tcPr>
            <w:tcW w:w="19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All policies</w:t>
            </w:r>
          </w:p>
        </w:tc>
        <w:tc>
          <w:tcPr>
            <w:tcW w:w="1198"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Annual</w:t>
            </w:r>
          </w:p>
        </w:tc>
      </w:tr>
      <w:tr>
        <w:trPr/>
        <w:tc>
          <w:tcPr>
            <w:tcW w:w="8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6"/>
                <w:szCs w:val="16"/>
              </w:rPr>
              <w:t>IAR-011</w:t>
            </w:r>
          </w:p>
        </w:tc>
        <w:tc>
          <w:tcPr>
            <w:tcW w:w="21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Risk Register (REG-RISK-001) and supporting risk records</w:t>
            </w:r>
          </w:p>
        </w:tc>
        <w:tc>
          <w:tcPr>
            <w:tcW w:w="13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Information</w:t>
            </w:r>
          </w:p>
        </w:tc>
        <w:tc>
          <w:tcPr>
            <w:tcW w:w="15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ISM</w:t>
            </w:r>
          </w:p>
        </w:tc>
        <w:tc>
          <w:tcPr>
            <w:tcW w:w="13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Internal</w:t>
            </w:r>
          </w:p>
        </w:tc>
        <w:tc>
          <w:tcPr>
            <w:tcW w:w="19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ISMS document repository</w:t>
            </w:r>
          </w:p>
        </w:tc>
        <w:tc>
          <w:tcPr>
            <w:tcW w:w="22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ISMS-RA-001, ISMS-RTP-001</w:t>
            </w:r>
          </w:p>
        </w:tc>
        <w:tc>
          <w:tcPr>
            <w:tcW w:w="19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All risk records</w:t>
            </w:r>
          </w:p>
        </w:tc>
        <w:tc>
          <w:tcPr>
            <w:tcW w:w="1198"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Quarterly</w:t>
            </w:r>
          </w:p>
        </w:tc>
      </w:tr>
      <w:tr>
        <w:trPr/>
        <w:tc>
          <w:tcPr>
            <w:tcW w:w="8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6"/>
                <w:szCs w:val="16"/>
              </w:rPr>
              <w:t>IAR-012</w:t>
            </w:r>
          </w:p>
        </w:tc>
        <w:tc>
          <w:tcPr>
            <w:tcW w:w="21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Production cloud tenancy (CSP account)</w:t>
            </w:r>
          </w:p>
        </w:tc>
        <w:tc>
          <w:tcPr>
            <w:tcW w:w="13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System / Facility</w:t>
            </w:r>
          </w:p>
        </w:tc>
        <w:tc>
          <w:tcPr>
            <w:tcW w:w="15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CTO</w:t>
            </w:r>
          </w:p>
        </w:tc>
        <w:tc>
          <w:tcPr>
            <w:tcW w:w="13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Restricted</w:t>
            </w:r>
          </w:p>
        </w:tc>
        <w:tc>
          <w:tcPr>
            <w:tcW w:w="19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[Cloud provider] tenancy</w:t>
            </w:r>
          </w:p>
        </w:tc>
        <w:tc>
          <w:tcPr>
            <w:tcW w:w="22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POL-002, POL-007, POL-015, POL-019, POL-022</w:t>
            </w:r>
          </w:p>
        </w:tc>
        <w:tc>
          <w:tcPr>
            <w:tcW w:w="19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Tier 1 supplier</w:t>
            </w:r>
          </w:p>
        </w:tc>
        <w:tc>
          <w:tcPr>
            <w:tcW w:w="1198"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Quarterly</w:t>
            </w:r>
          </w:p>
        </w:tc>
      </w:tr>
      <w:tr>
        <w:trPr/>
        <w:tc>
          <w:tcPr>
            <w:tcW w:w="8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6"/>
                <w:szCs w:val="16"/>
              </w:rPr>
              <w:t>IAR-013</w:t>
            </w:r>
          </w:p>
        </w:tc>
        <w:tc>
          <w:tcPr>
            <w:tcW w:w="21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AI model provider tenancies</w:t>
            </w:r>
          </w:p>
        </w:tc>
        <w:tc>
          <w:tcPr>
            <w:tcW w:w="13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System</w:t>
            </w:r>
          </w:p>
        </w:tc>
        <w:tc>
          <w:tcPr>
            <w:tcW w:w="15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CTO / Privacy Lead</w:t>
            </w:r>
          </w:p>
        </w:tc>
        <w:tc>
          <w:tcPr>
            <w:tcW w:w="13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Restricted</w:t>
            </w:r>
          </w:p>
        </w:tc>
        <w:tc>
          <w:tcPr>
            <w:tcW w:w="19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[Provider name(s)]</w:t>
            </w:r>
          </w:p>
        </w:tc>
        <w:tc>
          <w:tcPr>
            <w:tcW w:w="22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POL-006, POL-007, POL-010, POL-024</w:t>
            </w:r>
          </w:p>
        </w:tc>
        <w:tc>
          <w:tcPr>
            <w:tcW w:w="19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Tier 1/2 supplier; AI Use Register</w:t>
            </w:r>
          </w:p>
        </w:tc>
        <w:tc>
          <w:tcPr>
            <w:tcW w:w="1198"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Annual</w:t>
            </w:r>
          </w:p>
        </w:tc>
      </w:tr>
      <w:tr>
        <w:trPr/>
        <w:tc>
          <w:tcPr>
            <w:tcW w:w="8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6"/>
                <w:szCs w:val="16"/>
              </w:rPr>
              <w:t>IAR-XXX</w:t>
            </w:r>
          </w:p>
        </w:tc>
        <w:tc>
          <w:tcPr>
            <w:tcW w:w="21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[Insert further assets here]</w:t>
            </w:r>
          </w:p>
        </w:tc>
        <w:tc>
          <w:tcPr>
            <w:tcW w:w="13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
          </w:p>
        </w:tc>
        <w:tc>
          <w:tcPr>
            <w:tcW w:w="15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
          </w:p>
        </w:tc>
        <w:tc>
          <w:tcPr>
            <w:tcW w:w="13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
          </w:p>
        </w:tc>
        <w:tc>
          <w:tcPr>
            <w:tcW w:w="19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
          </w:p>
        </w:tc>
        <w:tc>
          <w:tcPr>
            <w:tcW w:w="22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
          </w:p>
        </w:tc>
        <w:tc>
          <w:tcPr>
            <w:tcW w:w="19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
          </w:p>
        </w:tc>
        <w:tc>
          <w:tcPr>
            <w:tcW w:w="1198"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
          </w:p>
        </w:tc>
      </w:tr>
    </w:tbl>
    <w:p>
      <w:pPr>
        <w:pStyle w:val="Heading1"/>
        <w:spacing w:before="360" w:after="180"/>
        <w:rPr/>
      </w:pPr>
      <w:r>
        <w:rPr>
          <w:rFonts w:eastAsia="Arial" w:cs="Arial" w:ascii="Arial" w:hAnsi="Arial"/>
          <w:b/>
          <w:bCs/>
          <w:color w:val="0000FF"/>
          <w:sz w:val="36"/>
          <w:szCs w:val="36"/>
        </w:rPr>
        <w:t>8. Maintenance</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This document is reviewed at least annually.</w:t>
      </w:r>
    </w:p>
    <w:p>
      <w:pPr>
        <w:pStyle w:val="ListParagraph"/>
        <w:numPr>
          <w:ilvl w:val="0"/>
          <w:numId w:val="1"/>
        </w:numPr>
        <w:spacing w:lineRule="exact" w:line="280" w:before="40" w:after="40"/>
        <w:rPr/>
      </w:pPr>
      <w:r>
        <w:rPr>
          <w:rFonts w:eastAsia="Arial" w:cs="Arial"/>
          <w:color w:val="1A1A1A"/>
          <w:sz w:val="22"/>
          <w:szCs w:val="22"/>
        </w:rPr>
        <w:t>The live Excel workbook (where used) is reviewed at least quarterly by the Information Security Manager.</w:t>
      </w:r>
    </w:p>
    <w:p>
      <w:pPr>
        <w:pStyle w:val="ListParagraph"/>
        <w:numPr>
          <w:ilvl w:val="0"/>
          <w:numId w:val="1"/>
        </w:numPr>
        <w:spacing w:lineRule="exact" w:line="280" w:before="40" w:after="40"/>
        <w:rPr/>
      </w:pPr>
      <w:r>
        <w:rPr>
          <w:rFonts w:eastAsia="Arial" w:cs="Arial"/>
          <w:color w:val="1A1A1A"/>
          <w:sz w:val="22"/>
          <w:szCs w:val="22"/>
        </w:rPr>
        <w:t>Material changes to the asset landscape are recorded promptly; a quarterly summary is reported to management review.</w:t>
      </w:r>
    </w:p>
    <w:p>
      <w:pPr>
        <w:pStyle w:val="Normal"/>
        <w:spacing w:before="60" w:after="60"/>
        <w:rPr/>
      </w:pPr>
      <w:r>
        <w:rPr/>
      </w:r>
    </w:p>
    <w:p>
      <w:pPr>
        <w:pStyle w:val="Heading1"/>
        <w:spacing w:before="360" w:after="180"/>
        <w:rPr/>
      </w:pPr>
      <w:r>
        <w:rPr>
          <w:rFonts w:eastAsia="Arial" w:cs="Arial" w:ascii="Arial" w:hAnsi="Arial"/>
          <w:b/>
          <w:bCs/>
          <w:color w:val="0000FF"/>
          <w:sz w:val="36"/>
          <w:szCs w:val="36"/>
        </w:rPr>
        <w:t>Annex — Version History</w:t>
      </w:r>
    </w:p>
    <w:p>
      <w:pPr>
        <w:pStyle w:val="Normal"/>
        <w:pBdr>
          <w:bottom w:val="single" w:sz="12" w:space="1" w:color="0000FF"/>
        </w:pBdr>
        <w:spacing w:before="0" w:after="200"/>
        <w:rPr/>
      </w:pPr>
      <w:r>
        <w:rPr/>
      </w:r>
    </w:p>
    <w:tbl>
      <w:tblPr>
        <w:tblW w:w="9026" w:type="dxa"/>
        <w:jc w:val="start"/>
        <w:tblInd w:w="0" w:type="dxa"/>
        <w:tblLayout w:type="fixed"/>
        <w:tblCellMar>
          <w:top w:w="120" w:type="dxa"/>
          <w:start w:w="160" w:type="dxa"/>
          <w:bottom w:w="120" w:type="dxa"/>
          <w:end w:w="160" w:type="dxa"/>
        </w:tblCellMar>
      </w:tblPr>
      <w:tblGrid>
        <w:gridCol w:w="1299"/>
        <w:gridCol w:w="1500"/>
        <w:gridCol w:w="2201"/>
        <w:gridCol w:w="4025"/>
      </w:tblGrid>
      <w:tr>
        <w:trPr>
          <w:tblHeader w:val="true"/>
        </w:trPr>
        <w:tc>
          <w:tcPr>
            <w:tcW w:w="12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VERSION</w:t>
            </w:r>
          </w:p>
        </w:tc>
        <w:tc>
          <w:tcPr>
            <w:tcW w:w="1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DATE</w:t>
            </w:r>
          </w:p>
        </w:tc>
        <w:tc>
          <w:tcPr>
            <w:tcW w:w="2201"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AUTHOR</w:t>
            </w:r>
          </w:p>
        </w:tc>
        <w:tc>
          <w:tcPr>
            <w:tcW w:w="4025"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SUMMARY OF CHANGES</w:t>
            </w:r>
          </w:p>
        </w:tc>
      </w:tr>
      <w:tr>
        <w:trPr/>
        <w:tc>
          <w:tcPr>
            <w:tcW w:w="12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1.0</w:t>
            </w:r>
          </w:p>
        </w:tc>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April 2026</w:t>
            </w:r>
          </w:p>
        </w:tc>
        <w:tc>
          <w:tcPr>
            <w:tcW w:w="22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Information Security Manager</w:t>
            </w:r>
          </w:p>
        </w:tc>
        <w:tc>
          <w:tcPr>
            <w:tcW w:w="4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Initial register template issued. Aligned to ISO/IEC 27001:2022 Annex A and Cloudax Statement of Applicability v4.0.</w:t>
            </w:r>
          </w:p>
        </w:tc>
      </w:tr>
    </w:tbl>
    <w:sectPr>
      <w:headerReference w:type="even" r:id="rId3"/>
      <w:headerReference w:type="default" r:id="rId4"/>
      <w:headerReference w:type="first" r:id="rId5"/>
      <w:footerReference w:type="even" r:id="rId6"/>
      <w:footerReference w:type="default" r:id="rId7"/>
      <w:footerReference w:type="first" r:id="rId8"/>
      <w:type w:val="nextPage"/>
      <w:pgSz w:orient="landscape" w:w="16838" w:h="11906"/>
      <w:pgMar w:left="1080" w:right="1080" w:gutter="0" w:header="708" w:top="1080" w:footer="708" w:bottom="108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0000FF"/>
      </w:pBdr>
      <w:tabs>
        <w:tab w:val="clear" w:pos="720"/>
        <w:tab w:val="center" w:pos="7200" w:leader="none"/>
        <w:tab w:val="right" w:pos="14400" w:leader="none"/>
      </w:tabs>
      <w:spacing w:before="0" w:after="0"/>
      <w:rPr/>
    </w:pPr>
    <w:r>
      <w:rPr>
        <w:rFonts w:eastAsia="Arial" w:cs="Arial"/>
        <w:color w:val="1A1A1A"/>
        <w:sz w:val="18"/>
        <w:szCs w:val="18"/>
      </w:rPr>
      <w:t xml:space="preserve">REG-IAR-001 Information Asset Register  •  Internal  </w:t>
      <w:tab/>
      <w:t>v1.0  •  April 2026</w:t>
      <w:tab/>
      <w:t xml:space="preserve">Page </w:t>
    </w:r>
    <w:r>
      <w:rPr/>
      <w:fldChar w:fldCharType="begin"/>
    </w:r>
    <w:r>
      <w:rPr/>
      <w:instrText xml:space="preserve"> PAGE </w:instrText>
    </w:r>
    <w:r>
      <w:rPr/>
      <w:fldChar w:fldCharType="separate"/>
    </w:r>
    <w:r>
      <w:rPr/>
      <w:t>7</w:t>
    </w:r>
    <w:r>
      <w:rPr/>
      <w:fldChar w:fldCharType="end"/>
    </w:r>
    <w:r>
      <w:rPr>
        <w:rFonts w:eastAsia="Arial" w:cs="Arial"/>
        <w:color w:val="1A1A1A"/>
        <w:sz w:val="18"/>
        <w:szCs w:val="18"/>
      </w:rPr>
      <w:t xml:space="preserve"> of </w:t>
    </w:r>
    <w:r>
      <w:rPr/>
      <w:fldChar w:fldCharType="begin"/>
    </w:r>
    <w:r>
      <w:rPr/>
      <w:instrText xml:space="preserve"> NUMPAGES </w:instrText>
    </w:r>
    <w:r>
      <w:rPr/>
      <w:fldChar w:fldCharType="separate"/>
    </w:r>
    <w:r>
      <w:rPr/>
      <w:t>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0000FF"/>
      </w:pBdr>
      <w:tabs>
        <w:tab w:val="clear" w:pos="720"/>
        <w:tab w:val="center" w:pos="7200" w:leader="none"/>
        <w:tab w:val="right" w:pos="14400" w:leader="none"/>
      </w:tabs>
      <w:spacing w:before="0" w:after="0"/>
      <w:rPr/>
    </w:pPr>
    <w:r>
      <w:rPr>
        <w:rFonts w:eastAsia="Arial" w:cs="Arial"/>
        <w:color w:val="1A1A1A"/>
        <w:sz w:val="18"/>
        <w:szCs w:val="18"/>
      </w:rPr>
      <w:t xml:space="preserve">REG-IAR-001 Information Asset Register  •  Internal  </w:t>
      <w:tab/>
      <w:t>v1.0  •  April 2026</w:t>
      <w:tab/>
      <w:t xml:space="preserve">Page </w:t>
    </w:r>
    <w:r>
      <w:rPr/>
      <w:fldChar w:fldCharType="begin"/>
    </w:r>
    <w:r>
      <w:rPr/>
      <w:instrText xml:space="preserve"> PAGE </w:instrText>
    </w:r>
    <w:r>
      <w:rPr/>
      <w:fldChar w:fldCharType="separate"/>
    </w:r>
    <w:r>
      <w:rPr/>
      <w:t>7</w:t>
    </w:r>
    <w:r>
      <w:rPr/>
      <w:fldChar w:fldCharType="end"/>
    </w:r>
    <w:r>
      <w:rPr>
        <w:rFonts w:eastAsia="Arial" w:cs="Arial"/>
        <w:color w:val="1A1A1A"/>
        <w:sz w:val="18"/>
        <w:szCs w:val="18"/>
      </w:rPr>
      <w:t xml:space="preserve"> of </w:t>
    </w:r>
    <w:r>
      <w:rPr/>
      <w:fldChar w:fldCharType="begin"/>
    </w:r>
    <w:r>
      <w:rPr/>
      <w:instrText xml:space="preserve"> NUMPAGES </w:instrText>
    </w:r>
    <w:r>
      <w:rPr/>
      <w:fldChar w:fldCharType="separate"/>
    </w:r>
    <w:r>
      <w:rPr/>
      <w:t>7</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0000FF"/>
      </w:pBdr>
      <w:spacing w:before="0" w:after="80"/>
      <w:jc w:val="end"/>
      <w:rPr/>
    </w:pPr>
    <w:r>
      <w:rPr/>
      <w:drawing>
        <wp:inline distT="0" distB="0" distL="0" distR="0">
          <wp:extent cx="857250" cy="171450"/>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1"/>
                  <a:stretch>
                    <a:fillRect/>
                  </a:stretch>
                </pic:blipFill>
                <pic:spPr bwMode="auto">
                  <a:xfrm>
                    <a:off x="0" y="0"/>
                    <a:ext cx="857250" cy="171450"/>
                  </a:xfrm>
                  <a:prstGeom prst="rect">
                    <a:avLst/>
                  </a:prstGeom>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0000FF"/>
      </w:pBdr>
      <w:spacing w:before="0" w:after="80"/>
      <w:jc w:val="end"/>
      <w:rPr/>
    </w:pPr>
    <w:r>
      <w:rPr/>
      <w:drawing>
        <wp:inline distT="0" distB="0" distL="0" distR="0">
          <wp:extent cx="857250" cy="171450"/>
          <wp:effectExtent l="0" t="0" r="0" b="0"/>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1"/>
                  <a:stretch>
                    <a:fillRect/>
                  </a:stretch>
                </pic:blipFill>
                <pic:spPr bwMode="auto">
                  <a:xfrm>
                    <a:off x="0" y="0"/>
                    <a:ext cx="857250" cy="171450"/>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40" w:hanging="260"/>
      </w:pPr>
      <w:rPr>
        <w:rFonts w:ascii="Arial" w:hAnsi="Arial" w:cs="Arial" w:hint="default"/>
        <w:color w:val="0000FF"/>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A1A1A"/>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1A1A1A"/>
      <w:kern w:val="0"/>
      <w:sz w:val="22"/>
      <w:szCs w:val="22"/>
      <w:lang w:val="en-US" w:eastAsia="zh-CN" w:bidi="hi-IN"/>
    </w:rPr>
  </w:style>
  <w:style w:type="paragraph" w:styleId="Heading1">
    <w:name w:val="Heading 1"/>
    <w:basedOn w:val="Heading"/>
    <w:qFormat/>
    <w:pPr>
      <w:spacing w:before="360" w:after="180"/>
      <w:outlineLvl w:val="0"/>
    </w:pPr>
    <w:rPr>
      <w:rFonts w:ascii="Arial" w:hAnsi="Arial" w:eastAsia="Arial" w:cs="Arial"/>
      <w:b/>
      <w:bCs/>
      <w:color w:val="0000FF"/>
      <w:sz w:val="36"/>
      <w:szCs w:val="36"/>
    </w:rPr>
  </w:style>
  <w:style w:type="paragraph" w:styleId="Heading2">
    <w:name w:val="Heading 2"/>
    <w:basedOn w:val="Heading"/>
    <w:qFormat/>
    <w:pPr>
      <w:spacing w:before="280" w:after="140"/>
      <w:outlineLvl w:val="1"/>
    </w:pPr>
    <w:rPr>
      <w:rFonts w:ascii="Arial" w:hAnsi="Arial" w:eastAsia="Arial" w:cs="Arial"/>
      <w:b/>
      <w:bCs/>
      <w:color w:val="0000FF"/>
      <w:sz w:val="28"/>
      <w:szCs w:val="28"/>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1A1A1A"/>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1A1A1A"/>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a:themeElements>
    <a:clrScheme nam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Microsoft Office Word</Application>
  <AppVersion>16.0000</AppVersion>
  <Company>Cloudax Ltd.</Company>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2026-04-09T12:43:55Z</dcterms:created>
  <dc:creator>David Stokes</dc:creator>
  <dc:description/>
  <dc:language>en-US</dc:language>
  <cp:lastModifiedBy>David Stokes</cp:lastModifiedBy>
  <dcterms:modified xsi:type="dcterms:W3CDTF">2026-04-09T15:49:55Z</dcterms:modified>
  <cp:revision>1</cp:revision>
  <dc:subject/>
  <dc:title>Cloudax Information Asset Register</dc:title>
</cp:coreProperties>
</file>

<file path=docProps/custom.xml><?xml version="1.0" encoding="utf-8"?>
<Properties xmlns="http://schemas.openxmlformats.org/officeDocument/2006/custom-properties" xmlns:vt="http://schemas.openxmlformats.org/officeDocument/2006/docPropsVTypes"/>
</file>