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400" w:type="dxa"/>
        <w:jc w:val="start"/>
        <w:tblInd w:w="0" w:type="dxa"/>
        <w:tblLayout w:type="fixed"/>
        <w:tblCellMar>
          <w:top w:w="700" w:type="dxa"/>
          <w:start w:w="600" w:type="dxa"/>
          <w:bottom w:w="700" w:type="dxa"/>
          <w:end w:w="600" w:type="dxa"/>
        </w:tblCellMar>
      </w:tblPr>
      <w:tblGrid>
        <w:gridCol w:w="14400"/>
      </w:tblGrid>
      <w:tr>
        <w:trPr>
          <w:trHeight w:val="3800" w:hRule="atLeast"/>
        </w:trPr>
        <w:tc>
          <w:tcPr>
            <w:tcW w:w="14400"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Record of Processing Activities</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14400" w:type="dxa"/>
        <w:jc w:val="start"/>
        <w:tblInd w:w="0" w:type="dxa"/>
        <w:tblLayout w:type="fixed"/>
        <w:tblCellMar>
          <w:top w:w="140" w:type="dxa"/>
          <w:start w:w="200" w:type="dxa"/>
          <w:bottom w:w="140" w:type="dxa"/>
          <w:end w:w="200" w:type="dxa"/>
        </w:tblCellMar>
      </w:tblPr>
      <w:tblGrid>
        <w:gridCol w:w="7200"/>
        <w:gridCol w:w="7199"/>
      </w:tblGrid>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REG-ROPA-001</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Record of Processing Activities</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Restricted to ISMS team</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 and Legal Basis</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Roles and Responsibilities</w:t>
      </w:r>
    </w:p>
    <w:p>
      <w:pPr>
        <w:pStyle w:val="Normal"/>
        <w:spacing w:before="40" w:after="40"/>
        <w:rPr/>
      </w:pPr>
      <w:r>
        <w:rPr>
          <w:rFonts w:eastAsia="Arial" w:cs="Arial"/>
          <w:color w:val="1A1A1A"/>
          <w:sz w:val="22"/>
          <w:szCs w:val="22"/>
        </w:rPr>
        <w:t>5. How to Use This Record</w:t>
      </w:r>
    </w:p>
    <w:p>
      <w:pPr>
        <w:pStyle w:val="Normal"/>
        <w:spacing w:before="40" w:after="40"/>
        <w:rPr/>
      </w:pPr>
      <w:r>
        <w:rPr>
          <w:rFonts w:eastAsia="Arial" w:cs="Arial"/>
          <w:color w:val="1A1A1A"/>
          <w:sz w:val="22"/>
          <w:szCs w:val="22"/>
        </w:rPr>
        <w:t>6. Article 30(1) Records — Cloudax as Controller</w:t>
      </w:r>
    </w:p>
    <w:p>
      <w:pPr>
        <w:pStyle w:val="Normal"/>
        <w:spacing w:before="40" w:after="40"/>
        <w:rPr/>
      </w:pPr>
      <w:r>
        <w:rPr>
          <w:rFonts w:eastAsia="Arial" w:cs="Arial"/>
          <w:color w:val="1A1A1A"/>
          <w:sz w:val="22"/>
          <w:szCs w:val="22"/>
        </w:rPr>
        <w:t>7. Article 30(2) Records — Cloudax as Processor</w:t>
      </w:r>
    </w:p>
    <w:p>
      <w:pPr>
        <w:pStyle w:val="Normal"/>
        <w:spacing w:before="40" w:after="40"/>
        <w:rPr/>
      </w:pPr>
      <w:r>
        <w:rPr>
          <w:rFonts w:eastAsia="Arial" w:cs="Arial"/>
          <w:color w:val="1A1A1A"/>
          <w:sz w:val="22"/>
          <w:szCs w:val="22"/>
        </w:rPr>
        <w:t>8. International Transfers Summary</w:t>
      </w:r>
    </w:p>
    <w:p>
      <w:pPr>
        <w:pStyle w:val="Normal"/>
        <w:spacing w:before="40" w:after="40"/>
        <w:rPr/>
      </w:pPr>
      <w:r>
        <w:rPr>
          <w:rFonts w:eastAsia="Arial" w:cs="Arial"/>
          <w:color w:val="1A1A1A"/>
          <w:sz w:val="22"/>
          <w:szCs w:val="22"/>
        </w:rPr>
        <w:t>9. Maintenance</w:t>
      </w:r>
    </w:p>
    <w:p>
      <w:pPr>
        <w:pStyle w:val="Normal"/>
        <w:spacing w:before="40" w:after="40"/>
        <w:rPr/>
      </w:pPr>
      <w:r>
        <w:rPr>
          <w:rFonts w:eastAsia="Arial" w:cs="Arial"/>
          <w:color w:val="1A1A1A"/>
          <w:sz w:val="22"/>
          <w:szCs w:val="22"/>
        </w:rPr>
        <w:t>Annex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Record of Processing Activities (ROPA) is the documented record required by Article 30 of the UK General Data Protection Regulation (UK GDPR) and supports A.5.34 Privacy and protection of PII.</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 A.5.34 Privacy and protection of PII; Article 30 UK GDPR (legal obligation)</w:t>
      </w:r>
    </w:p>
    <w:p>
      <w:pPr>
        <w:pStyle w:val="Heading1"/>
        <w:spacing w:before="360" w:after="180"/>
        <w:rPr/>
      </w:pPr>
      <w:r>
        <w:rPr>
          <w:rFonts w:eastAsia="Arial" w:cs="Arial" w:ascii="Arial" w:hAnsi="Arial"/>
          <w:b/>
          <w:bCs/>
          <w:color w:val="0000FF"/>
          <w:sz w:val="36"/>
          <w:szCs w:val="36"/>
        </w:rPr>
        <w:t>2. Scope and Legal Basis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ROPA covers all processing of personal data by Cloudax Ltd., as both controller (Cloudax’s own processing of personal data) and processor (processing carried out on behalf of customers).</w:t>
      </w:r>
    </w:p>
    <w:p>
      <w:pPr>
        <w:pStyle w:val="Normal"/>
        <w:spacing w:lineRule="exact" w:line="300" w:before="80" w:after="120"/>
        <w:rPr/>
      </w:pPr>
      <w:r>
        <w:rPr>
          <w:rFonts w:eastAsia="Arial" w:cs="Arial"/>
          <w:color w:val="1A1A1A"/>
          <w:sz w:val="22"/>
          <w:szCs w:val="22"/>
        </w:rPr>
        <w:t>The legal basis for maintaining the ROPA is Article 30 of the UK GDPR. Maintenance of the ROPA is a statutory obligation independent of ISO/IEC 27001.</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Terms used have the meanings given in the UK GDPR. Particular attention to:</w:t>
      </w:r>
    </w:p>
    <w:p>
      <w:pPr>
        <w:pStyle w:val="ListParagraph"/>
        <w:numPr>
          <w:ilvl w:val="0"/>
          <w:numId w:val="3"/>
        </w:numPr>
        <w:spacing w:lineRule="exact" w:line="280" w:before="40" w:after="40"/>
        <w:rPr/>
      </w:pPr>
      <w:r>
        <w:rPr>
          <w:rFonts w:eastAsia="Arial" w:cs="Arial"/>
          <w:b/>
          <w:bCs/>
          <w:color w:val="1A1A1A"/>
          <w:sz w:val="22"/>
          <w:szCs w:val="22"/>
        </w:rPr>
        <w:t xml:space="preserve">Controller: </w:t>
      </w:r>
      <w:r>
        <w:rPr>
          <w:rFonts w:eastAsia="Arial" w:cs="Arial"/>
          <w:color w:val="1A1A1A"/>
          <w:sz w:val="22"/>
          <w:szCs w:val="22"/>
        </w:rPr>
        <w:t>the natural or legal person who determines the purposes and means of processing.</w:t>
      </w:r>
    </w:p>
    <w:p>
      <w:pPr>
        <w:pStyle w:val="ListParagraph"/>
        <w:numPr>
          <w:ilvl w:val="0"/>
          <w:numId w:val="1"/>
        </w:numPr>
        <w:spacing w:lineRule="exact" w:line="280" w:before="40" w:after="40"/>
        <w:rPr/>
      </w:pPr>
      <w:r>
        <w:rPr>
          <w:rFonts w:eastAsia="Arial" w:cs="Arial"/>
          <w:b/>
          <w:bCs/>
          <w:color w:val="1A1A1A"/>
          <w:sz w:val="22"/>
          <w:szCs w:val="22"/>
        </w:rPr>
        <w:t xml:space="preserve">Processor: </w:t>
      </w:r>
      <w:r>
        <w:rPr>
          <w:rFonts w:eastAsia="Arial" w:cs="Arial"/>
          <w:color w:val="1A1A1A"/>
          <w:sz w:val="22"/>
          <w:szCs w:val="22"/>
        </w:rPr>
        <w:t>the natural or legal person who processes personal data on behalf of the controller.</w:t>
      </w:r>
    </w:p>
    <w:p>
      <w:pPr>
        <w:pStyle w:val="ListParagraph"/>
        <w:numPr>
          <w:ilvl w:val="0"/>
          <w:numId w:val="1"/>
        </w:numPr>
        <w:spacing w:lineRule="exact" w:line="280" w:before="40" w:after="40"/>
        <w:rPr/>
      </w:pPr>
      <w:r>
        <w:rPr>
          <w:rFonts w:eastAsia="Arial" w:cs="Arial"/>
          <w:b/>
          <w:bCs/>
          <w:color w:val="1A1A1A"/>
          <w:sz w:val="22"/>
          <w:szCs w:val="22"/>
        </w:rPr>
        <w:t xml:space="preserve">Special category data: </w:t>
      </w:r>
      <w:r>
        <w:rPr>
          <w:rFonts w:eastAsia="Arial" w:cs="Arial"/>
          <w:color w:val="1A1A1A"/>
          <w:sz w:val="22"/>
          <w:szCs w:val="22"/>
        </w:rPr>
        <w:t>Article 9 categories — health, biometric for identification, racial/ethnic origin, religion, etc.</w:t>
      </w:r>
    </w:p>
    <w:p>
      <w:pPr>
        <w:pStyle w:val="ListParagraph"/>
        <w:numPr>
          <w:ilvl w:val="0"/>
          <w:numId w:val="1"/>
        </w:numPr>
        <w:spacing w:lineRule="exact" w:line="280" w:before="40" w:after="40"/>
        <w:rPr/>
      </w:pPr>
      <w:r>
        <w:rPr>
          <w:rFonts w:eastAsia="Arial" w:cs="Arial"/>
          <w:b/>
          <w:bCs/>
          <w:color w:val="1A1A1A"/>
          <w:sz w:val="22"/>
          <w:szCs w:val="22"/>
        </w:rPr>
        <w:t xml:space="preserve">Data subject: </w:t>
      </w:r>
      <w:r>
        <w:rPr>
          <w:rFonts w:eastAsia="Arial" w:cs="Arial"/>
          <w:color w:val="1A1A1A"/>
          <w:sz w:val="22"/>
          <w:szCs w:val="22"/>
        </w:rPr>
        <w:t>the identified or identifiable natural person to whom the personal data relates.</w:t>
      </w:r>
    </w:p>
    <w:p>
      <w:pPr>
        <w:pStyle w:val="Heading1"/>
        <w:spacing w:before="360" w:after="180"/>
        <w:rPr/>
      </w:pPr>
      <w:r>
        <w:rPr>
          <w:rFonts w:eastAsia="Arial" w:cs="Arial" w:ascii="Arial" w:hAnsi="Arial"/>
          <w:b/>
          <w:bCs/>
          <w:color w:val="0000FF"/>
          <w:sz w:val="36"/>
          <w:szCs w:val="36"/>
        </w:rPr>
        <w:t>4.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Privacy Lead: owns this ROPA; reviews entries; coordinates with controllers and processors.</w:t>
      </w:r>
    </w:p>
    <w:p>
      <w:pPr>
        <w:pStyle w:val="ListParagraph"/>
        <w:numPr>
          <w:ilvl w:val="0"/>
          <w:numId w:val="1"/>
        </w:numPr>
        <w:spacing w:lineRule="exact" w:line="280" w:before="40" w:after="40"/>
        <w:rPr/>
      </w:pPr>
      <w:r>
        <w:rPr>
          <w:rFonts w:eastAsia="Arial" w:cs="Arial"/>
          <w:color w:val="1A1A1A"/>
          <w:sz w:val="22"/>
          <w:szCs w:val="22"/>
        </w:rPr>
        <w:t>Information Security Manager: ensures security measures recorded in the ROPA reflect the ISMS controls in place.</w:t>
      </w:r>
    </w:p>
    <w:p>
      <w:pPr>
        <w:pStyle w:val="ListParagraph"/>
        <w:numPr>
          <w:ilvl w:val="0"/>
          <w:numId w:val="1"/>
        </w:numPr>
        <w:spacing w:lineRule="exact" w:line="280" w:before="40" w:after="40"/>
        <w:rPr/>
      </w:pPr>
      <w:r>
        <w:rPr>
          <w:rFonts w:eastAsia="Arial" w:cs="Arial"/>
          <w:color w:val="1A1A1A"/>
          <w:sz w:val="22"/>
          <w:szCs w:val="22"/>
        </w:rPr>
        <w:t>Process owners: provide the operational facts for ROPA entries within their domain.</w:t>
      </w:r>
    </w:p>
    <w:p>
      <w:pPr>
        <w:pStyle w:val="Heading1"/>
        <w:spacing w:before="360" w:after="180"/>
        <w:rPr/>
      </w:pPr>
      <w:r>
        <w:rPr>
          <w:rFonts w:eastAsia="Arial" w:cs="Arial" w:ascii="Arial" w:hAnsi="Arial"/>
          <w:b/>
          <w:bCs/>
          <w:color w:val="0000FF"/>
          <w:sz w:val="36"/>
          <w:szCs w:val="36"/>
        </w:rPr>
        <w:t>5. How to Use This Record</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Each processing activity has a unique identifier (ROPA-NNN).</w:t>
      </w:r>
    </w:p>
    <w:p>
      <w:pPr>
        <w:pStyle w:val="ListParagraph"/>
        <w:numPr>
          <w:ilvl w:val="0"/>
          <w:numId w:val="1"/>
        </w:numPr>
        <w:spacing w:lineRule="exact" w:line="280" w:before="40" w:after="40"/>
        <w:rPr/>
      </w:pPr>
      <w:r>
        <w:rPr>
          <w:rFonts w:eastAsia="Arial" w:cs="Arial"/>
          <w:color w:val="1A1A1A"/>
          <w:sz w:val="22"/>
          <w:szCs w:val="22"/>
        </w:rPr>
        <w:t>Article 30(1) entries (Cloudax as controller) and Article 30(2) entries (Cloudax as processor) are kept in distinct sections.</w:t>
      </w:r>
    </w:p>
    <w:p>
      <w:pPr>
        <w:pStyle w:val="ListParagraph"/>
        <w:numPr>
          <w:ilvl w:val="0"/>
          <w:numId w:val="1"/>
        </w:numPr>
        <w:spacing w:lineRule="exact" w:line="280" w:before="40" w:after="40"/>
        <w:rPr/>
      </w:pPr>
      <w:r>
        <w:rPr>
          <w:rFonts w:eastAsia="Arial" w:cs="Arial"/>
          <w:color w:val="1A1A1A"/>
          <w:sz w:val="22"/>
          <w:szCs w:val="22"/>
        </w:rPr>
        <w:t>This document holds a representative sample showing the structure; the live ROPA is maintained as an Excel workbook with the same column structure and is the authoritative source.</w:t>
      </w:r>
    </w:p>
    <w:p>
      <w:pPr>
        <w:pStyle w:val="ListParagraph"/>
        <w:numPr>
          <w:ilvl w:val="0"/>
          <w:numId w:val="1"/>
        </w:numPr>
        <w:spacing w:lineRule="exact" w:line="280" w:before="40" w:after="40"/>
        <w:rPr/>
      </w:pPr>
      <w:r>
        <w:rPr>
          <w:rFonts w:eastAsia="Arial" w:cs="Arial"/>
          <w:color w:val="1A1A1A"/>
          <w:sz w:val="22"/>
          <w:szCs w:val="22"/>
        </w:rPr>
        <w:t>Entries are reviewed when the underlying processing changes and at least annually.</w:t>
      </w:r>
    </w:p>
    <w:p>
      <w:pPr>
        <w:pStyle w:val="Heading1"/>
        <w:spacing w:before="360" w:after="180"/>
        <w:rPr/>
      </w:pPr>
      <w:r>
        <w:rPr>
          <w:rFonts w:eastAsia="Arial" w:cs="Arial" w:ascii="Arial" w:hAnsi="Arial"/>
          <w:b/>
          <w:bCs/>
          <w:color w:val="0000FF"/>
          <w:sz w:val="36"/>
          <w:szCs w:val="36"/>
        </w:rPr>
        <w:t>6. Article 30(1) Records — Cloudax as Controller</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acts as controller for processing relating to its own employees, contractors, prospective customers, marketing, suppliers, and corporate operations. Each entry contains the information required by Article 30(1).</w:t>
      </w:r>
    </w:p>
    <w:p>
      <w:pPr>
        <w:pStyle w:val="Normal"/>
        <w:spacing w:before="60" w:after="60"/>
        <w:rPr/>
      </w:pPr>
      <w:r>
        <w:rPr/>
      </w:r>
    </w:p>
    <w:tbl>
      <w:tblPr>
        <w:tblW w:w="12400" w:type="dxa"/>
        <w:jc w:val="start"/>
        <w:tblInd w:w="0" w:type="dxa"/>
        <w:tblLayout w:type="fixed"/>
        <w:tblCellMar>
          <w:top w:w="80" w:type="dxa"/>
          <w:start w:w="120" w:type="dxa"/>
          <w:bottom w:w="80" w:type="dxa"/>
          <w:end w:w="120" w:type="dxa"/>
        </w:tblCellMar>
      </w:tblPr>
      <w:tblGrid>
        <w:gridCol w:w="700"/>
        <w:gridCol w:w="1799"/>
        <w:gridCol w:w="1501"/>
        <w:gridCol w:w="1299"/>
        <w:gridCol w:w="1700"/>
        <w:gridCol w:w="1501"/>
        <w:gridCol w:w="1100"/>
        <w:gridCol w:w="1400"/>
        <w:gridCol w:w="1398"/>
      </w:tblGrid>
      <w:tr>
        <w:trPr>
          <w:tblHeader w:val="true"/>
        </w:trPr>
        <w:tc>
          <w:tcPr>
            <w:tcW w:w="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ID</w:t>
            </w:r>
          </w:p>
        </w:tc>
        <w:tc>
          <w:tcPr>
            <w:tcW w:w="17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PROCESSING ACTIVITY</w:t>
            </w:r>
          </w:p>
        </w:tc>
        <w:tc>
          <w:tcPr>
            <w:tcW w:w="15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PURPOSE</w:t>
            </w:r>
          </w:p>
        </w:tc>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DATA SUBJECTS</w:t>
            </w:r>
          </w:p>
        </w:tc>
        <w:tc>
          <w:tcPr>
            <w:tcW w:w="1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PERSONAL DATA CATEGORIES</w:t>
            </w:r>
          </w:p>
        </w:tc>
        <w:tc>
          <w:tcPr>
            <w:tcW w:w="15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RECIPIENTS</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INTL TRANSFERS</w:t>
            </w:r>
          </w:p>
        </w:tc>
        <w:tc>
          <w:tcPr>
            <w:tcW w:w="1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RETENTION</w:t>
            </w:r>
          </w:p>
        </w:tc>
        <w:tc>
          <w:tcPr>
            <w:tcW w:w="1398"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TECHNICAL &amp; ORGANISATIONAL MEASURES</w:t>
            </w:r>
          </w:p>
        </w:tc>
      </w:tr>
      <w:tr>
        <w:trPr/>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ROPA-C01</w:t>
            </w:r>
          </w:p>
        </w:tc>
        <w:tc>
          <w:tcPr>
            <w:tcW w:w="17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Employee records and HR administration</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Performance of employment contract; legal obligations</w:t>
            </w:r>
          </w:p>
        </w:tc>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Cloudax employees and contractors</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Identity, contact, employment, payroll, performance</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HR systems, payroll provider, pensions, HMRC</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[Yes/No — specify safeguards]</w:t>
            </w:r>
          </w:p>
        </w:tc>
        <w:tc>
          <w:tcPr>
            <w:tcW w:w="1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Per POL-009; statutory minima where applicable</w:t>
            </w:r>
          </w:p>
        </w:tc>
        <w:tc>
          <w:tcPr>
            <w:tcW w:w="1398"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POL-002, POL-004, POL-010; encrypted at rest and in transit</w:t>
            </w:r>
          </w:p>
        </w:tc>
      </w:tr>
      <w:tr>
        <w:trPr/>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ROPA-C02</w:t>
            </w:r>
          </w:p>
        </w:tc>
        <w:tc>
          <w:tcPr>
            <w:tcW w:w="17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Recruitment and applicant tracking</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Recruitment; legitimate interests</w:t>
            </w:r>
          </w:p>
        </w:tc>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Job applicants</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Identity, contact, CV, interview notes</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Recruitment platform; relevant interviewers</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[Yes/No]</w:t>
            </w:r>
          </w:p>
        </w:tc>
        <w:tc>
          <w:tcPr>
            <w:tcW w:w="1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12 months unless retained on engagement</w:t>
            </w:r>
          </w:p>
        </w:tc>
        <w:tc>
          <w:tcPr>
            <w:tcW w:w="1398"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POL-002, POL-010; access restricted to recruitment team</w:t>
            </w:r>
          </w:p>
        </w:tc>
      </w:tr>
      <w:tr>
        <w:trPr/>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ROPA-C03</w:t>
            </w:r>
          </w:p>
        </w:tc>
        <w:tc>
          <w:tcPr>
            <w:tcW w:w="17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Marketing and prospect engagement</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Legitimate interests; consent (PECR where applicable)</w:t>
            </w:r>
          </w:p>
        </w:tc>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Prospective customers, contacts</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Identity, contact, business role, engagement metadata</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Marketing platform, CRM</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[Yes/No]</w:t>
            </w:r>
          </w:p>
        </w:tc>
        <w:tc>
          <w:tcPr>
            <w:tcW w:w="1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Until objection / 24 months inactivity</w:t>
            </w:r>
          </w:p>
        </w:tc>
        <w:tc>
          <w:tcPr>
            <w:tcW w:w="1398"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POL-002, POL-010; opt-out maintained</w:t>
            </w:r>
          </w:p>
        </w:tc>
      </w:tr>
      <w:tr>
        <w:trPr/>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ROPA-C04</w:t>
            </w:r>
          </w:p>
        </w:tc>
        <w:tc>
          <w:tcPr>
            <w:tcW w:w="17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Customer relationship management</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Performance of customer contract; legitimate interests</w:t>
            </w:r>
          </w:p>
        </w:tc>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Customer contacts</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Identity, contact, business role</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CRM, customer success tools</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[Yes/No]</w:t>
            </w:r>
          </w:p>
        </w:tc>
        <w:tc>
          <w:tcPr>
            <w:tcW w:w="1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Lifetime of the relationship + 6 years</w:t>
            </w:r>
          </w:p>
        </w:tc>
        <w:tc>
          <w:tcPr>
            <w:tcW w:w="1398"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POL-002, POL-010</w:t>
            </w:r>
          </w:p>
        </w:tc>
      </w:tr>
      <w:tr>
        <w:trPr/>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ROPA-C05</w:t>
            </w:r>
          </w:p>
        </w:tc>
        <w:tc>
          <w:tcPr>
            <w:tcW w:w="17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Supplier and contractor administration</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Performance of contracts</w:t>
            </w:r>
          </w:p>
        </w:tc>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Supplier contacts, contractors</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Identity, contact, business role, payment information</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Finance, contract management</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[Yes/No]</w:t>
            </w:r>
          </w:p>
        </w:tc>
        <w:tc>
          <w:tcPr>
            <w:tcW w:w="1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6 years post-contract</w:t>
            </w:r>
          </w:p>
        </w:tc>
        <w:tc>
          <w:tcPr>
            <w:tcW w:w="1398"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POL-002, POL-006, POL-010</w:t>
            </w:r>
          </w:p>
        </w:tc>
      </w:tr>
      <w:tr>
        <w:trPr/>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ROPA-C06</w:t>
            </w:r>
          </w:p>
        </w:tc>
        <w:tc>
          <w:tcPr>
            <w:tcW w:w="17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Website analytics and operational telemetry</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Legitimate interests; consent for non-essential cookies</w:t>
            </w:r>
          </w:p>
        </w:tc>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Website visitors</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IP, device, behavioural</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Analytics provider</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[Yes/No]</w:t>
            </w:r>
          </w:p>
        </w:tc>
        <w:tc>
          <w:tcPr>
            <w:tcW w:w="1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26 months default</w:t>
            </w:r>
          </w:p>
        </w:tc>
        <w:tc>
          <w:tcPr>
            <w:tcW w:w="1398"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POL-002, POL-010; cookie consent banner</w:t>
            </w:r>
          </w:p>
        </w:tc>
      </w:tr>
      <w:tr>
        <w:trPr/>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ROPA-C07</w:t>
            </w:r>
          </w:p>
        </w:tc>
        <w:tc>
          <w:tcPr>
            <w:tcW w:w="17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Information security event and access logs</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Legitimate interests; legal obligation (security)</w:t>
            </w:r>
          </w:p>
        </w:tc>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Personnel, customers (where attributable)</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Account, IP, action, timestamp</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SIEM / log store</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[No]</w:t>
            </w:r>
          </w:p>
        </w:tc>
        <w:tc>
          <w:tcPr>
            <w:tcW w:w="1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Per POL-019</w:t>
            </w:r>
          </w:p>
        </w:tc>
        <w:tc>
          <w:tcPr>
            <w:tcW w:w="1398"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POL-002, POL-019, POL-020</w:t>
            </w:r>
          </w:p>
        </w:tc>
      </w:tr>
      <w:tr>
        <w:trPr/>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ROPA-CXX</w:t>
            </w:r>
          </w:p>
        </w:tc>
        <w:tc>
          <w:tcPr>
            <w:tcW w:w="17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[Insert further controller activities]</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398"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r>
    </w:tbl>
    <w:p>
      <w:pPr>
        <w:pStyle w:val="Heading1"/>
        <w:spacing w:before="360" w:after="180"/>
        <w:rPr/>
      </w:pPr>
      <w:r>
        <w:rPr>
          <w:rFonts w:eastAsia="Arial" w:cs="Arial" w:ascii="Arial" w:hAnsi="Arial"/>
          <w:b/>
          <w:bCs/>
          <w:color w:val="0000FF"/>
          <w:sz w:val="36"/>
          <w:szCs w:val="36"/>
        </w:rPr>
        <w:t>7. Article 30(2) Records — Cloudax as Processor</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acts as processor for the processing of personal data carried out on behalf of customers via the Cloudax platform. Each entry contains the information required by Article 30(2). Where multiple customers commission similar processing, a single entry may apply across customers, with customer-specific specifics recorded in the customer DPA.</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699"/>
        <w:gridCol w:w="2201"/>
        <w:gridCol w:w="2200"/>
        <w:gridCol w:w="2300"/>
        <w:gridCol w:w="2400"/>
        <w:gridCol w:w="1499"/>
        <w:gridCol w:w="3100"/>
      </w:tblGrid>
      <w:tr>
        <w:trPr>
          <w:tblHeader w:val="true"/>
        </w:trPr>
        <w:tc>
          <w:tcPr>
            <w:tcW w:w="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ID</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CUSTOMER (CONTROLLER)</w:t>
            </w:r>
          </w:p>
        </w:tc>
        <w:tc>
          <w:tcPr>
            <w:tcW w:w="22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PROCESSING ACTIVITY</w:t>
            </w:r>
          </w:p>
        </w:tc>
        <w:tc>
          <w:tcPr>
            <w:tcW w:w="23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CATEGORIES OF PROCESSING</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PERSONAL DATA CATEGORIES</w:t>
            </w:r>
          </w:p>
        </w:tc>
        <w:tc>
          <w:tcPr>
            <w:tcW w:w="14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INTL TRANSFERS</w:t>
            </w:r>
          </w:p>
        </w:tc>
        <w:tc>
          <w:tcPr>
            <w:tcW w:w="3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TECHNICAL &amp; ORGANISATIONAL MEASURES</w:t>
            </w:r>
          </w:p>
        </w:tc>
      </w:tr>
      <w:tr>
        <w:trPr/>
        <w:tc>
          <w:tcPr>
            <w:tcW w:w="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ROPA-P01</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[Customer 1 — reference DPA]</w:t>
            </w:r>
          </w:p>
        </w:tc>
        <w:tc>
          <w:tcPr>
            <w:tcW w:w="2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Operation of conversational AI platform on behalf of customer</w:t>
            </w:r>
          </w:p>
        </w:tc>
        <w:tc>
          <w:tcPr>
            <w:tcW w:w="2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Collection, transmission, storage, analysis, deletion</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Voice recordings, transcripts, derived metadata; may include special category if volunteered</w:t>
            </w:r>
          </w:p>
        </w:tc>
        <w:tc>
          <w:tcPr>
            <w:tcW w:w="1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[Yes/No — list regions and safeguards]</w:t>
            </w:r>
          </w:p>
        </w:tc>
        <w:tc>
          <w:tcPr>
            <w:tcW w:w="3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POL-002, POL-004, POL-010, POL-017, POL-019, POL-023; encryption in transit and at rest; tenant isolation</w:t>
            </w:r>
          </w:p>
        </w:tc>
      </w:tr>
      <w:tr>
        <w:trPr/>
        <w:tc>
          <w:tcPr>
            <w:tcW w:w="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ROPA-P02</w:t>
            </w:r>
          </w:p>
        </w:tc>
        <w:tc>
          <w:tcPr>
            <w:tcW w:w="2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[Customer 2 — reference DPA]</w:t>
            </w:r>
          </w:p>
        </w:tc>
        <w:tc>
          <w:tcPr>
            <w:tcW w:w="22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Operation of conversational AI platform on behalf of customer</w:t>
            </w:r>
          </w:p>
        </w:tc>
        <w:tc>
          <w:tcPr>
            <w:tcW w:w="2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Collection, transmission, storage, analysis, deletion</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Voice recordings, transcripts, derived metadata</w:t>
            </w:r>
          </w:p>
        </w:tc>
        <w:tc>
          <w:tcPr>
            <w:tcW w:w="1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[Yes/No]</w:t>
            </w:r>
          </w:p>
        </w:tc>
        <w:tc>
          <w:tcPr>
            <w:tcW w:w="3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POL-002, POL-004, POL-010, POL-017, POL-019, POL-023</w:t>
            </w:r>
          </w:p>
        </w:tc>
      </w:tr>
      <w:tr>
        <w:trPr/>
        <w:tc>
          <w:tcPr>
            <w:tcW w:w="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ROPA-PXX</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[Insert customer-specific processor activities]</w:t>
            </w:r>
          </w:p>
        </w:tc>
        <w:tc>
          <w:tcPr>
            <w:tcW w:w="22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2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1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3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r>
    </w:tbl>
    <w:p>
      <w:pPr>
        <w:pStyle w:val="Heading1"/>
        <w:spacing w:before="360" w:after="180"/>
        <w:rPr/>
      </w:pPr>
      <w:r>
        <w:rPr>
          <w:rFonts w:eastAsia="Arial" w:cs="Arial" w:ascii="Arial" w:hAnsi="Arial"/>
          <w:b/>
          <w:bCs/>
          <w:color w:val="0000FF"/>
          <w:sz w:val="36"/>
          <w:szCs w:val="36"/>
        </w:rPr>
        <w:t>8. International Transfers Summary</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Where personal data is transferred outside the United Kingdom, one of the safeguards permitted under the UK GDPR is in place. The summary below records the principal transfer routes; details and country-specific safeguards are in the relevant ROPA entry above and in the supporting transfer risk assessments.</w:t>
      </w:r>
    </w:p>
    <w:p>
      <w:pPr>
        <w:pStyle w:val="Normal"/>
        <w:spacing w:before="60" w:after="60"/>
        <w:rPr/>
      </w:pPr>
      <w:r>
        <w:rPr/>
      </w:r>
    </w:p>
    <w:tbl>
      <w:tblPr>
        <w:tblW w:w="12000" w:type="dxa"/>
        <w:jc w:val="start"/>
        <w:tblInd w:w="0" w:type="dxa"/>
        <w:tblLayout w:type="fixed"/>
        <w:tblCellMar>
          <w:top w:w="80" w:type="dxa"/>
          <w:start w:w="120" w:type="dxa"/>
          <w:bottom w:w="80" w:type="dxa"/>
          <w:end w:w="120" w:type="dxa"/>
        </w:tblCellMar>
      </w:tblPr>
      <w:tblGrid>
        <w:gridCol w:w="2400"/>
        <w:gridCol w:w="2400"/>
        <w:gridCol w:w="2400"/>
        <w:gridCol w:w="2400"/>
        <w:gridCol w:w="2400"/>
      </w:tblGrid>
      <w:tr>
        <w:trPr>
          <w:tblHeader w:val="true"/>
        </w:trPr>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TRANSFER ROUTE</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DATA EXPORTED</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DESTINATION</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SAFEGUARD</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SUPPORTING DOCUMENT</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[Cloud provider — cross-region]</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[Customer data subset]</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[Region]</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UK adequacy / IDTA / UK Addendum / SCCs</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6"/>
                <w:szCs w:val="16"/>
              </w:rPr>
              <w:t>[DPA reference]</w:t>
            </w:r>
          </w:p>
        </w:tc>
      </w:tr>
      <w:tr>
        <w:trPr/>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6"/>
                <w:szCs w:val="16"/>
              </w:rPr>
              <w:t>[AI provider]</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[Inference data]</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[Region]</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[Safeguard]</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6"/>
                <w:szCs w:val="16"/>
              </w:rPr>
              <w:t>[DPA reference]</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6"/>
                <w:szCs w:val="16"/>
              </w:rPr>
              <w:t>[Insert further transfers]</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r>
    </w:tbl>
    <w:p>
      <w:pPr>
        <w:pStyle w:val="Heading1"/>
        <w:spacing w:before="360" w:after="180"/>
        <w:rPr/>
      </w:pPr>
      <w:r>
        <w:rPr>
          <w:rFonts w:eastAsia="Arial" w:cs="Arial" w:ascii="Arial" w:hAnsi="Arial"/>
          <w:b/>
          <w:bCs/>
          <w:color w:val="0000FF"/>
          <w:sz w:val="36"/>
          <w:szCs w:val="36"/>
        </w:rPr>
        <w:t>9. Maintenance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ROPA is reviewed by the Privacy Lead at least annually and on material change to processing.</w:t>
      </w:r>
    </w:p>
    <w:p>
      <w:pPr>
        <w:pStyle w:val="ListParagraph"/>
        <w:numPr>
          <w:ilvl w:val="0"/>
          <w:numId w:val="1"/>
        </w:numPr>
        <w:spacing w:lineRule="exact" w:line="280" w:before="40" w:after="40"/>
        <w:rPr/>
      </w:pPr>
      <w:r>
        <w:rPr>
          <w:rFonts w:eastAsia="Arial" w:cs="Arial"/>
          <w:color w:val="1A1A1A"/>
          <w:sz w:val="22"/>
          <w:szCs w:val="22"/>
        </w:rPr>
        <w:t>New customers, new sub-processors, new processing activities, and changes to international transfers trigger an entry update within 30 days.</w:t>
      </w:r>
    </w:p>
    <w:p>
      <w:pPr>
        <w:pStyle w:val="ListParagraph"/>
        <w:numPr>
          <w:ilvl w:val="0"/>
          <w:numId w:val="1"/>
        </w:numPr>
        <w:spacing w:lineRule="exact" w:line="280" w:before="40" w:after="40"/>
        <w:rPr/>
      </w:pPr>
      <w:r>
        <w:rPr>
          <w:rFonts w:eastAsia="Arial" w:cs="Arial"/>
          <w:color w:val="1A1A1A"/>
          <w:sz w:val="22"/>
          <w:szCs w:val="22"/>
        </w:rPr>
        <w:t>Significant changes are reported to management review.</w:t>
      </w:r>
    </w:p>
    <w:p>
      <w:pPr>
        <w:pStyle w:val="Normal"/>
        <w:spacing w:before="60" w:after="60"/>
        <w:rPr/>
      </w:pPr>
      <w:r>
        <w:rPr/>
      </w:r>
    </w:p>
    <w:p>
      <w:pPr>
        <w:pStyle w:val="Heading1"/>
        <w:spacing w:before="360" w:after="180"/>
        <w:rPr/>
      </w:pPr>
      <w:r>
        <w:rPr>
          <w:rFonts w:eastAsia="Arial" w:cs="Arial" w:ascii="Arial" w:hAnsi="Arial"/>
          <w:b/>
          <w:bCs/>
          <w:color w:val="0000FF"/>
          <w:sz w:val="36"/>
          <w:szCs w:val="36"/>
        </w:rPr>
        <w:t>Annex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register template issued. Aligned to ISO/IEC 27001:2022 Annex A and Cloudax Statement of Applicability v4.0.</w:t>
            </w:r>
          </w:p>
        </w:tc>
      </w:tr>
    </w:tbl>
    <w:sectPr>
      <w:headerReference w:type="even" r:id="rId3"/>
      <w:headerReference w:type="default" r:id="rId4"/>
      <w:headerReference w:type="first" r:id="rId5"/>
      <w:footerReference w:type="even" r:id="rId6"/>
      <w:footerReference w:type="default" r:id="rId7"/>
      <w:footerReference w:type="first" r:id="rId8"/>
      <w:type w:val="nextPage"/>
      <w:pgSz w:orient="landscape" w:w="16838" w:h="11906"/>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REG-ROPA-001 Record of Processing Activities  •  Internal  </w:t>
      <w:tab/>
      <w:t>v1.0  •  April 2026</w:t>
      <w:tab/>
      <w:t xml:space="preserve">Page </w:t>
    </w:r>
    <w:r>
      <w:rPr/>
      <w:fldChar w:fldCharType="begin"/>
    </w:r>
    <w:r>
      <w:rPr/>
      <w:instrText xml:space="preserve"> PAGE </w:instrText>
    </w:r>
    <w:r>
      <w:rPr/>
      <w:fldChar w:fldCharType="separate"/>
    </w:r>
    <w:r>
      <w:rPr/>
      <w:t>8</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REG-ROPA-001 Record of Processing Activities  •  Internal  </w:t>
      <w:tab/>
      <w:t>v1.0  •  April 2026</w:t>
      <w:tab/>
      <w:t xml:space="preserve">Page </w:t>
    </w:r>
    <w:r>
      <w:rPr/>
      <w:fldChar w:fldCharType="begin"/>
    </w:r>
    <w:r>
      <w:rPr/>
      <w:instrText xml:space="preserve"> PAGE </w:instrText>
    </w:r>
    <w:r>
      <w:rPr/>
      <w:fldChar w:fldCharType="separate"/>
    </w:r>
    <w:r>
      <w:rPr/>
      <w:t>8</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2026-04-30T15:11:58Z</dcterms:created>
  <dc:creator>David Stokes</dc:creator>
  <dc:description/>
  <dc:language>en-US</dc:language>
  <cp:lastModifiedBy>David Stokes</cp:lastModifiedBy>
  <dcterms:modified xsi:type="dcterms:W3CDTF">2026-04-30T15:56:58Z</dcterms:modified>
  <cp:revision>1</cp:revision>
  <dc:subject/>
  <dc:title>Cloudax Record of Processing Activities</dc:title>
</cp:coreProperties>
</file>

<file path=docProps/custom.xml><?xml version="1.0" encoding="utf-8"?>
<Properties xmlns="http://schemas.openxmlformats.org/officeDocument/2006/custom-properties" xmlns:vt="http://schemas.openxmlformats.org/officeDocument/2006/docPropsVTypes"/>
</file>