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Access Control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ISMS-POL-003</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Access Control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Access Control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Identity Management</w:t>
      </w:r>
    </w:p>
    <w:p>
      <w:pPr>
        <w:pStyle w:val="Normal"/>
        <w:spacing w:before="40" w:after="40"/>
        <w:rPr/>
      </w:pPr>
      <w:r>
        <w:rPr>
          <w:rFonts w:eastAsia="Arial" w:cs="Arial"/>
          <w:color w:val="1A1A1A"/>
          <w:sz w:val="22"/>
          <w:szCs w:val="22"/>
        </w:rPr>
        <w:t>7.  Authentication</w:t>
      </w:r>
    </w:p>
    <w:p>
      <w:pPr>
        <w:pStyle w:val="Normal"/>
        <w:spacing w:before="40" w:after="40"/>
        <w:rPr/>
      </w:pPr>
      <w:r>
        <w:rPr>
          <w:rFonts w:eastAsia="Arial" w:cs="Arial"/>
          <w:color w:val="1A1A1A"/>
          <w:sz w:val="22"/>
          <w:szCs w:val="22"/>
        </w:rPr>
        <w:t>8.  Authorisation and Access Rights</w:t>
      </w:r>
    </w:p>
    <w:p>
      <w:pPr>
        <w:pStyle w:val="Normal"/>
        <w:spacing w:before="40" w:after="40"/>
        <w:rPr/>
      </w:pPr>
      <w:r>
        <w:rPr>
          <w:rFonts w:eastAsia="Arial" w:cs="Arial"/>
          <w:color w:val="1A1A1A"/>
          <w:sz w:val="22"/>
          <w:szCs w:val="22"/>
        </w:rPr>
        <w:t>9.  Privileged Access</w:t>
      </w:r>
    </w:p>
    <w:p>
      <w:pPr>
        <w:pStyle w:val="Normal"/>
        <w:spacing w:before="40" w:after="40"/>
        <w:rPr/>
      </w:pPr>
      <w:r>
        <w:rPr>
          <w:rFonts w:eastAsia="Arial" w:cs="Arial"/>
          <w:color w:val="1A1A1A"/>
          <w:sz w:val="22"/>
          <w:szCs w:val="22"/>
        </w:rPr>
        <w:t>10. Application and System Access</w:t>
      </w:r>
    </w:p>
    <w:p>
      <w:pPr>
        <w:pStyle w:val="Normal"/>
        <w:spacing w:before="40" w:after="40"/>
        <w:rPr/>
      </w:pPr>
      <w:r>
        <w:rPr>
          <w:rFonts w:eastAsia="Arial" w:cs="Arial"/>
          <w:color w:val="1A1A1A"/>
          <w:sz w:val="22"/>
          <w:szCs w:val="22"/>
        </w:rPr>
        <w:t>11. Network Access</w:t>
      </w:r>
    </w:p>
    <w:p>
      <w:pPr>
        <w:pStyle w:val="Normal"/>
        <w:spacing w:before="40" w:after="40"/>
        <w:rPr/>
      </w:pPr>
      <w:r>
        <w:rPr>
          <w:rFonts w:eastAsia="Arial" w:cs="Arial"/>
          <w:color w:val="1A1A1A"/>
          <w:sz w:val="22"/>
          <w:szCs w:val="22"/>
        </w:rPr>
        <w:t>12. Source Code and Repository Access</w:t>
      </w:r>
    </w:p>
    <w:p>
      <w:pPr>
        <w:pStyle w:val="Normal"/>
        <w:spacing w:before="40" w:after="40"/>
        <w:rPr/>
      </w:pPr>
      <w:r>
        <w:rPr>
          <w:rFonts w:eastAsia="Arial" w:cs="Arial"/>
          <w:color w:val="1A1A1A"/>
          <w:sz w:val="22"/>
          <w:szCs w:val="22"/>
        </w:rPr>
        <w:t>13. Customer Data Access</w:t>
      </w:r>
    </w:p>
    <w:p>
      <w:pPr>
        <w:pStyle w:val="Normal"/>
        <w:spacing w:before="40" w:after="40"/>
        <w:rPr/>
      </w:pPr>
      <w:r>
        <w:rPr>
          <w:rFonts w:eastAsia="Arial" w:cs="Arial"/>
          <w:color w:val="1A1A1A"/>
          <w:sz w:val="22"/>
          <w:szCs w:val="22"/>
        </w:rPr>
        <w:t>14. Third-Party and Supplier Access</w:t>
      </w:r>
    </w:p>
    <w:p>
      <w:pPr>
        <w:pStyle w:val="Normal"/>
        <w:spacing w:before="40" w:after="40"/>
        <w:rPr/>
      </w:pPr>
      <w:r>
        <w:rPr>
          <w:rFonts w:eastAsia="Arial" w:cs="Arial"/>
          <w:color w:val="1A1A1A"/>
          <w:sz w:val="22"/>
          <w:szCs w:val="22"/>
        </w:rPr>
        <w:t>15. Access Reviews</w:t>
      </w:r>
    </w:p>
    <w:p>
      <w:pPr>
        <w:pStyle w:val="Normal"/>
        <w:spacing w:before="40" w:after="40"/>
        <w:rPr/>
      </w:pPr>
      <w:r>
        <w:rPr>
          <w:rFonts w:eastAsia="Arial" w:cs="Arial"/>
          <w:color w:val="1A1A1A"/>
          <w:sz w:val="22"/>
          <w:szCs w:val="22"/>
        </w:rPr>
        <w:t>16. Joiner, Mover, and Leaver Process</w:t>
      </w:r>
    </w:p>
    <w:p>
      <w:pPr>
        <w:pStyle w:val="Normal"/>
        <w:spacing w:before="40" w:after="40"/>
        <w:rPr/>
      </w:pPr>
      <w:r>
        <w:rPr>
          <w:rFonts w:eastAsia="Arial" w:cs="Arial"/>
          <w:color w:val="1A1A1A"/>
          <w:sz w:val="22"/>
          <w:szCs w:val="22"/>
        </w:rPr>
        <w:t>17. Logging, Monitoring, and Anomaly Detection</w:t>
      </w:r>
    </w:p>
    <w:p>
      <w:pPr>
        <w:pStyle w:val="Normal"/>
        <w:spacing w:before="40" w:after="40"/>
        <w:rPr/>
      </w:pPr>
      <w:r>
        <w:rPr>
          <w:rFonts w:eastAsia="Arial" w:cs="Arial"/>
          <w:color w:val="1A1A1A"/>
          <w:sz w:val="22"/>
          <w:szCs w:val="22"/>
        </w:rPr>
        <w:t>18. Policy Breaches</w:t>
      </w:r>
    </w:p>
    <w:p>
      <w:pPr>
        <w:pStyle w:val="Normal"/>
        <w:spacing w:before="40" w:after="40"/>
        <w:rPr/>
      </w:pPr>
      <w:r>
        <w:rPr>
          <w:rFonts w:eastAsia="Arial" w:cs="Arial"/>
          <w:color w:val="1A1A1A"/>
          <w:sz w:val="22"/>
          <w:szCs w:val="22"/>
        </w:rPr>
        <w:t>19. Review and Maintenance</w:t>
      </w:r>
    </w:p>
    <w:p>
      <w:pPr>
        <w:pStyle w:val="Normal"/>
        <w:spacing w:before="40" w:after="40"/>
        <w:rPr/>
      </w:pPr>
      <w:r>
        <w:rPr>
          <w:rFonts w:eastAsia="Arial" w:cs="Arial"/>
          <w:color w:val="1A1A1A"/>
          <w:sz w:val="22"/>
          <w:szCs w:val="22"/>
        </w:rPr>
        <w:t>20. Acknowledgement</w:t>
      </w:r>
    </w:p>
    <w:p>
      <w:pPr>
        <w:pStyle w:val="Normal"/>
        <w:spacing w:before="40" w:after="40"/>
        <w:rPr/>
      </w:pPr>
      <w:r>
        <w:rPr>
          <w:rFonts w:eastAsia="Arial" w:cs="Arial"/>
          <w:color w:val="1A1A1A"/>
          <w:sz w:val="22"/>
          <w:szCs w:val="22"/>
        </w:rPr>
        <w:t>Annex A — Mapping to ISO/IEC 27001:2022</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Access Control Policy (the “Policy”) defines how Cloudax Ltd. (“Cloudax”) controls access to information, systems, networks, applications, source code, and information processing facilities.</w:t>
      </w:r>
    </w:p>
    <w:p>
      <w:pPr>
        <w:pStyle w:val="Normal"/>
        <w:spacing w:lineRule="exact" w:line="300" w:before="80" w:after="120"/>
        <w:rPr/>
      </w:pPr>
      <w:r>
        <w:rPr>
          <w:rFonts w:eastAsia="Arial" w:cs="Arial"/>
          <w:color w:val="1A1A1A"/>
          <w:sz w:val="22"/>
          <w:szCs w:val="22"/>
        </w:rPr>
        <w:t>The Policy supports the Information Security Policy (ISMS-POL-001) and gives effect to the Annex A controls covering identity, authentication, authorisation, and access management.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 Policies for information security; A.5.15 Access control</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access to Cloudax information assets, including:</w:t>
      </w:r>
    </w:p>
    <w:p>
      <w:pPr>
        <w:pStyle w:val="ListParagraph"/>
        <w:numPr>
          <w:ilvl w:val="0"/>
          <w:numId w:val="3"/>
        </w:numPr>
        <w:spacing w:lineRule="exact" w:line="280" w:before="40" w:after="40"/>
        <w:rPr/>
      </w:pPr>
      <w:r>
        <w:rPr>
          <w:rFonts w:eastAsia="Arial" w:cs="Arial"/>
          <w:color w:val="1A1A1A"/>
          <w:sz w:val="22"/>
          <w:szCs w:val="22"/>
        </w:rPr>
        <w:t>Cloudax-issued endpoints, mobile devices, and BYOD devices enrolled in MDM.</w:t>
      </w:r>
    </w:p>
    <w:p>
      <w:pPr>
        <w:pStyle w:val="ListParagraph"/>
        <w:numPr>
          <w:ilvl w:val="0"/>
          <w:numId w:val="1"/>
        </w:numPr>
        <w:spacing w:lineRule="exact" w:line="280" w:before="40" w:after="40"/>
        <w:rPr/>
      </w:pPr>
      <w:r>
        <w:rPr>
          <w:rFonts w:eastAsia="Arial" w:cs="Arial"/>
          <w:color w:val="1A1A1A"/>
          <w:sz w:val="22"/>
          <w:szCs w:val="22"/>
        </w:rPr>
        <w:t>Identity providers, single sign-on (SSO), and multi-factor authentication (MFA) systems.</w:t>
      </w:r>
    </w:p>
    <w:p>
      <w:pPr>
        <w:pStyle w:val="ListParagraph"/>
        <w:numPr>
          <w:ilvl w:val="0"/>
          <w:numId w:val="1"/>
        </w:numPr>
        <w:spacing w:lineRule="exact" w:line="280" w:before="40" w:after="40"/>
        <w:rPr/>
      </w:pPr>
      <w:r>
        <w:rPr>
          <w:rFonts w:eastAsia="Arial" w:cs="Arial"/>
          <w:color w:val="1A1A1A"/>
          <w:sz w:val="22"/>
          <w:szCs w:val="22"/>
        </w:rPr>
        <w:t>Production and non-production environments, cloud tenancies, and supporting infrastructure.</w:t>
      </w:r>
    </w:p>
    <w:p>
      <w:pPr>
        <w:pStyle w:val="ListParagraph"/>
        <w:numPr>
          <w:ilvl w:val="0"/>
          <w:numId w:val="1"/>
        </w:numPr>
        <w:spacing w:lineRule="exact" w:line="280" w:before="40" w:after="40"/>
        <w:rPr/>
      </w:pPr>
      <w:r>
        <w:rPr>
          <w:rFonts w:eastAsia="Arial" w:cs="Arial"/>
          <w:color w:val="1A1A1A"/>
          <w:sz w:val="22"/>
          <w:szCs w:val="22"/>
        </w:rPr>
        <w:t>SaaS applications and other approved third-party services.</w:t>
      </w:r>
    </w:p>
    <w:p>
      <w:pPr>
        <w:pStyle w:val="ListParagraph"/>
        <w:numPr>
          <w:ilvl w:val="0"/>
          <w:numId w:val="1"/>
        </w:numPr>
        <w:spacing w:lineRule="exact" w:line="280" w:before="40" w:after="40"/>
        <w:rPr/>
      </w:pPr>
      <w:r>
        <w:rPr>
          <w:rFonts w:eastAsia="Arial" w:cs="Arial"/>
          <w:color w:val="1A1A1A"/>
          <w:sz w:val="22"/>
          <w:szCs w:val="22"/>
        </w:rPr>
        <w:t>Source code repositories, CI/CD pipelines, and developer tooling.</w:t>
      </w:r>
    </w:p>
    <w:p>
      <w:pPr>
        <w:pStyle w:val="ListParagraph"/>
        <w:numPr>
          <w:ilvl w:val="0"/>
          <w:numId w:val="1"/>
        </w:numPr>
        <w:spacing w:lineRule="exact" w:line="280" w:before="40" w:after="40"/>
        <w:rPr/>
      </w:pPr>
      <w:r>
        <w:rPr>
          <w:rFonts w:eastAsia="Arial" w:cs="Arial"/>
          <w:color w:val="1A1A1A"/>
          <w:sz w:val="22"/>
          <w:szCs w:val="22"/>
        </w:rPr>
        <w:t>Customer data, including voice recordings, transcripts, and derived data.</w:t>
      </w:r>
    </w:p>
    <w:p>
      <w:pPr>
        <w:pStyle w:val="ListParagraph"/>
        <w:numPr>
          <w:ilvl w:val="0"/>
          <w:numId w:val="1"/>
        </w:numPr>
        <w:spacing w:lineRule="exact" w:line="280" w:before="40" w:after="40"/>
        <w:rPr/>
      </w:pPr>
      <w:r>
        <w:rPr>
          <w:rFonts w:eastAsia="Arial" w:cs="Arial"/>
          <w:color w:val="1A1A1A"/>
          <w:sz w:val="22"/>
          <w:szCs w:val="22"/>
        </w:rPr>
        <w:t>Networks operated by or on behalf of Cloudax, and remote access to Cloudax services.</w:t>
      </w:r>
    </w:p>
    <w:p>
      <w:pPr>
        <w:pStyle w:val="Normal"/>
        <w:spacing w:lineRule="exact" w:line="300" w:before="80" w:after="120"/>
        <w:rPr/>
      </w:pPr>
      <w:r>
        <w:rPr>
          <w:rFonts w:eastAsia="Arial" w:cs="Arial"/>
          <w:color w:val="1A1A1A"/>
          <w:sz w:val="22"/>
          <w:szCs w:val="22"/>
        </w:rPr>
        <w:t>It applies to all personnel, contractors, suppliers, and third parties who require access to Cloudax information assets.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A.5.15 Access control; A.5.9 Inventory of assets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Identity: </w:t>
      </w:r>
      <w:r>
        <w:rPr>
          <w:rFonts w:eastAsia="Arial" w:cs="Arial"/>
          <w:color w:val="1A1A1A"/>
          <w:sz w:val="22"/>
          <w:szCs w:val="22"/>
        </w:rPr>
        <w:t>a unique digital representation of a person, system, or service.</w:t>
      </w:r>
    </w:p>
    <w:p>
      <w:pPr>
        <w:pStyle w:val="ListParagraph"/>
        <w:numPr>
          <w:ilvl w:val="0"/>
          <w:numId w:val="1"/>
        </w:numPr>
        <w:spacing w:lineRule="exact" w:line="280" w:before="40" w:after="40"/>
        <w:rPr/>
      </w:pPr>
      <w:r>
        <w:rPr>
          <w:rFonts w:eastAsia="Arial" w:cs="Arial"/>
          <w:b/>
          <w:bCs/>
          <w:color w:val="1A1A1A"/>
          <w:sz w:val="22"/>
          <w:szCs w:val="22"/>
        </w:rPr>
        <w:t xml:space="preserve">Authentication: </w:t>
      </w:r>
      <w:r>
        <w:rPr>
          <w:rFonts w:eastAsia="Arial" w:cs="Arial"/>
          <w:color w:val="1A1A1A"/>
          <w:sz w:val="22"/>
          <w:szCs w:val="22"/>
        </w:rPr>
        <w:t>the process of verifying that a claimed identity is genuine.</w:t>
      </w:r>
    </w:p>
    <w:p>
      <w:pPr>
        <w:pStyle w:val="ListParagraph"/>
        <w:numPr>
          <w:ilvl w:val="0"/>
          <w:numId w:val="1"/>
        </w:numPr>
        <w:spacing w:lineRule="exact" w:line="280" w:before="40" w:after="40"/>
        <w:rPr/>
      </w:pPr>
      <w:r>
        <w:rPr>
          <w:rFonts w:eastAsia="Arial" w:cs="Arial"/>
          <w:b/>
          <w:bCs/>
          <w:color w:val="1A1A1A"/>
          <w:sz w:val="22"/>
          <w:szCs w:val="22"/>
        </w:rPr>
        <w:t xml:space="preserve">Authorisation: </w:t>
      </w:r>
      <w:r>
        <w:rPr>
          <w:rFonts w:eastAsia="Arial" w:cs="Arial"/>
          <w:color w:val="1A1A1A"/>
          <w:sz w:val="22"/>
          <w:szCs w:val="22"/>
        </w:rPr>
        <w:t>the process of granting an authenticated identity permission to perform specific actions or access specific resources.</w:t>
      </w:r>
    </w:p>
    <w:p>
      <w:pPr>
        <w:pStyle w:val="ListParagraph"/>
        <w:numPr>
          <w:ilvl w:val="0"/>
          <w:numId w:val="1"/>
        </w:numPr>
        <w:spacing w:lineRule="exact" w:line="280" w:before="40" w:after="40"/>
        <w:rPr/>
      </w:pPr>
      <w:r>
        <w:rPr>
          <w:rFonts w:eastAsia="Arial" w:cs="Arial"/>
          <w:b/>
          <w:bCs/>
          <w:color w:val="1A1A1A"/>
          <w:sz w:val="22"/>
          <w:szCs w:val="22"/>
        </w:rPr>
        <w:t xml:space="preserve">Privileged access: </w:t>
      </w:r>
      <w:r>
        <w:rPr>
          <w:rFonts w:eastAsia="Arial" w:cs="Arial"/>
          <w:color w:val="1A1A1A"/>
          <w:sz w:val="22"/>
          <w:szCs w:val="22"/>
        </w:rPr>
        <w:t>access rights that allow an identity to perform actions that materially affect the confidentiality, integrity, or availability of information or systems.</w:t>
      </w:r>
    </w:p>
    <w:p>
      <w:pPr>
        <w:pStyle w:val="ListParagraph"/>
        <w:numPr>
          <w:ilvl w:val="0"/>
          <w:numId w:val="1"/>
        </w:numPr>
        <w:spacing w:lineRule="exact" w:line="280" w:before="40" w:after="40"/>
        <w:rPr/>
      </w:pPr>
      <w:r>
        <w:rPr>
          <w:rFonts w:eastAsia="Arial" w:cs="Arial"/>
          <w:b/>
          <w:bCs/>
          <w:color w:val="1A1A1A"/>
          <w:sz w:val="22"/>
          <w:szCs w:val="22"/>
        </w:rPr>
        <w:t xml:space="preserve">Service account: </w:t>
      </w:r>
      <w:r>
        <w:rPr>
          <w:rFonts w:eastAsia="Arial" w:cs="Arial"/>
          <w:color w:val="1A1A1A"/>
          <w:sz w:val="22"/>
          <w:szCs w:val="22"/>
        </w:rPr>
        <w:t>a non-human account used by a system, service, or automated process to authenticate to another system or service.</w:t>
      </w:r>
    </w:p>
    <w:p>
      <w:pPr>
        <w:pStyle w:val="Heading1"/>
        <w:spacing w:before="360" w:after="180"/>
        <w:rPr/>
      </w:pPr>
      <w:r>
        <w:rPr>
          <w:rFonts w:eastAsia="Arial" w:cs="Arial" w:ascii="Arial" w:hAnsi="Arial"/>
          <w:b/>
          <w:bCs/>
          <w:color w:val="0000FF"/>
          <w:sz w:val="36"/>
          <w:szCs w:val="36"/>
        </w:rPr>
        <w:t>4. Access Control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Least privilege — </w:t>
      </w:r>
      <w:r>
        <w:rPr>
          <w:rFonts w:eastAsia="Arial" w:cs="Arial"/>
          <w:color w:val="1A1A1A"/>
          <w:sz w:val="22"/>
          <w:szCs w:val="22"/>
        </w:rPr>
        <w:t>identities receive the minimum level of access required to perform their role.</w:t>
      </w:r>
    </w:p>
    <w:p>
      <w:pPr>
        <w:pStyle w:val="ListParagraph"/>
        <w:numPr>
          <w:ilvl w:val="0"/>
          <w:numId w:val="1"/>
        </w:numPr>
        <w:spacing w:lineRule="exact" w:line="280" w:before="40" w:after="40"/>
        <w:rPr/>
      </w:pPr>
      <w:r>
        <w:rPr>
          <w:rFonts w:eastAsia="Arial" w:cs="Arial"/>
          <w:b/>
          <w:bCs/>
          <w:color w:val="1A1A1A"/>
          <w:sz w:val="22"/>
          <w:szCs w:val="22"/>
        </w:rPr>
        <w:t xml:space="preserve">Need to know — </w:t>
      </w:r>
      <w:r>
        <w:rPr>
          <w:rFonts w:eastAsia="Arial" w:cs="Arial"/>
          <w:color w:val="1A1A1A"/>
          <w:sz w:val="22"/>
          <w:szCs w:val="22"/>
        </w:rPr>
        <w:t>access to information is granted only where there is a legitimate business need.</w:t>
      </w:r>
    </w:p>
    <w:p>
      <w:pPr>
        <w:pStyle w:val="ListParagraph"/>
        <w:numPr>
          <w:ilvl w:val="0"/>
          <w:numId w:val="1"/>
        </w:numPr>
        <w:spacing w:lineRule="exact" w:line="280" w:before="40" w:after="40"/>
        <w:rPr/>
      </w:pPr>
      <w:r>
        <w:rPr>
          <w:rFonts w:eastAsia="Arial" w:cs="Arial"/>
          <w:b/>
          <w:bCs/>
          <w:color w:val="1A1A1A"/>
          <w:sz w:val="22"/>
          <w:szCs w:val="22"/>
        </w:rPr>
        <w:t xml:space="preserve">Segregation of duties — </w:t>
      </w:r>
      <w:r>
        <w:rPr>
          <w:rFonts w:eastAsia="Arial" w:cs="Arial"/>
          <w:color w:val="1A1A1A"/>
          <w:sz w:val="22"/>
          <w:szCs w:val="22"/>
        </w:rPr>
        <w:t>conflicting duties and areas of responsibility are segregated where risk requires it, including between development, operations, and approval.</w:t>
      </w:r>
    </w:p>
    <w:p>
      <w:pPr>
        <w:pStyle w:val="ListParagraph"/>
        <w:numPr>
          <w:ilvl w:val="0"/>
          <w:numId w:val="1"/>
        </w:numPr>
        <w:spacing w:lineRule="exact" w:line="280" w:before="40" w:after="40"/>
        <w:rPr/>
      </w:pPr>
      <w:r>
        <w:rPr>
          <w:rFonts w:eastAsia="Arial" w:cs="Arial"/>
          <w:b/>
          <w:bCs/>
          <w:color w:val="1A1A1A"/>
          <w:sz w:val="22"/>
          <w:szCs w:val="22"/>
        </w:rPr>
        <w:t xml:space="preserve">Default deny — </w:t>
      </w:r>
      <w:r>
        <w:rPr>
          <w:rFonts w:eastAsia="Arial" w:cs="Arial"/>
          <w:color w:val="1A1A1A"/>
          <w:sz w:val="22"/>
          <w:szCs w:val="22"/>
        </w:rPr>
        <w:t>access is denied unless explicitly granted.</w:t>
      </w:r>
    </w:p>
    <w:p>
      <w:pPr>
        <w:pStyle w:val="ListParagraph"/>
        <w:numPr>
          <w:ilvl w:val="0"/>
          <w:numId w:val="1"/>
        </w:numPr>
        <w:spacing w:lineRule="exact" w:line="280" w:before="40" w:after="40"/>
        <w:rPr/>
      </w:pPr>
      <w:r>
        <w:rPr>
          <w:rFonts w:eastAsia="Arial" w:cs="Arial"/>
          <w:b/>
          <w:bCs/>
          <w:color w:val="1A1A1A"/>
          <w:sz w:val="22"/>
          <w:szCs w:val="22"/>
        </w:rPr>
        <w:t xml:space="preserve">Personal accountability — </w:t>
      </w:r>
      <w:r>
        <w:rPr>
          <w:rFonts w:eastAsia="Arial" w:cs="Arial"/>
          <w:color w:val="1A1A1A"/>
          <w:sz w:val="22"/>
          <w:szCs w:val="22"/>
        </w:rPr>
        <w:t>every action is attributable to an individual identity; shared accounts are prohibited.</w:t>
      </w:r>
    </w:p>
    <w:p>
      <w:pPr>
        <w:pStyle w:val="ListParagraph"/>
        <w:numPr>
          <w:ilvl w:val="0"/>
          <w:numId w:val="1"/>
        </w:numPr>
        <w:spacing w:lineRule="exact" w:line="280" w:before="40" w:after="40"/>
        <w:rPr/>
      </w:pPr>
      <w:r>
        <w:rPr>
          <w:rFonts w:eastAsia="Arial" w:cs="Arial"/>
          <w:b/>
          <w:bCs/>
          <w:color w:val="1A1A1A"/>
          <w:sz w:val="22"/>
          <w:szCs w:val="22"/>
        </w:rPr>
        <w:t xml:space="preserve">Defence in depth — </w:t>
      </w:r>
      <w:r>
        <w:rPr>
          <w:rFonts w:eastAsia="Arial" w:cs="Arial"/>
          <w:color w:val="1A1A1A"/>
          <w:sz w:val="22"/>
          <w:szCs w:val="22"/>
        </w:rPr>
        <w:t>access controls are layered across identity, network, application, and data tiers.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 Segregation of duties; A.5.15 Access control</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Information Security Lead: </w:t>
      </w:r>
      <w:r>
        <w:rPr>
          <w:rFonts w:eastAsia="Arial" w:cs="Arial"/>
          <w:color w:val="1A1A1A"/>
          <w:sz w:val="22"/>
          <w:szCs w:val="22"/>
        </w:rPr>
        <w:t>owns this Policy, the access control framework, and the access review programme.</w:t>
      </w:r>
    </w:p>
    <w:p>
      <w:pPr>
        <w:pStyle w:val="ListParagraph"/>
        <w:numPr>
          <w:ilvl w:val="0"/>
          <w:numId w:val="1"/>
        </w:numPr>
        <w:spacing w:lineRule="exact" w:line="280" w:before="40" w:after="40"/>
        <w:rPr/>
      </w:pPr>
      <w:r>
        <w:rPr>
          <w:rFonts w:eastAsia="Arial" w:cs="Arial"/>
          <w:b/>
          <w:bCs/>
          <w:color w:val="1A1A1A"/>
          <w:sz w:val="22"/>
          <w:szCs w:val="22"/>
        </w:rPr>
        <w:t xml:space="preserve">Engineering Lead / Director of Technology: </w:t>
      </w:r>
      <w:r>
        <w:rPr>
          <w:rFonts w:eastAsia="Arial" w:cs="Arial"/>
          <w:color w:val="1A1A1A"/>
          <w:sz w:val="22"/>
          <w:szCs w:val="22"/>
        </w:rPr>
        <w:t>owns the technical implementation of access controls in production and supporting systems.</w:t>
      </w:r>
    </w:p>
    <w:p>
      <w:pPr>
        <w:pStyle w:val="ListParagraph"/>
        <w:numPr>
          <w:ilvl w:val="0"/>
          <w:numId w:val="1"/>
        </w:numPr>
        <w:spacing w:lineRule="exact" w:line="280" w:before="40" w:after="40"/>
        <w:rPr/>
      </w:pPr>
      <w:r>
        <w:rPr>
          <w:rFonts w:eastAsia="Arial" w:cs="Arial"/>
          <w:b/>
          <w:bCs/>
          <w:color w:val="1A1A1A"/>
          <w:sz w:val="22"/>
          <w:szCs w:val="22"/>
        </w:rPr>
        <w:t xml:space="preserve">System and application owners: </w:t>
      </w:r>
      <w:r>
        <w:rPr>
          <w:rFonts w:eastAsia="Arial" w:cs="Arial"/>
          <w:color w:val="1A1A1A"/>
          <w:sz w:val="22"/>
          <w:szCs w:val="22"/>
        </w:rPr>
        <w:t>define the access rights model for systems they own; approve access requests; perform access reviews.</w:t>
      </w:r>
    </w:p>
    <w:p>
      <w:pPr>
        <w:pStyle w:val="ListParagraph"/>
        <w:numPr>
          <w:ilvl w:val="0"/>
          <w:numId w:val="1"/>
        </w:numPr>
        <w:spacing w:lineRule="exact" w:line="280" w:before="40" w:after="40"/>
        <w:rPr/>
      </w:pPr>
      <w:r>
        <w:rPr>
          <w:rFonts w:eastAsia="Arial" w:cs="Arial"/>
          <w:b/>
          <w:bCs/>
          <w:color w:val="1A1A1A"/>
          <w:sz w:val="22"/>
          <w:szCs w:val="22"/>
        </w:rPr>
        <w:t xml:space="preserve">Line managers: </w:t>
      </w:r>
      <w:r>
        <w:rPr>
          <w:rFonts w:eastAsia="Arial" w:cs="Arial"/>
          <w:color w:val="1A1A1A"/>
          <w:sz w:val="22"/>
          <w:szCs w:val="22"/>
        </w:rPr>
        <w:t>approve access requests for their direct reports; ensure access is removed promptly on role change or termination.</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safeguard their credentials, comply with this Policy, and report suspected compromise.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 Roles and responsibilities; A.5.15 Access control</w:t>
      </w:r>
    </w:p>
    <w:p>
      <w:pPr>
        <w:pStyle w:val="Heading1"/>
        <w:spacing w:before="360" w:after="180"/>
        <w:rPr/>
      </w:pPr>
      <w:r>
        <w:rPr>
          <w:rFonts w:eastAsia="Arial" w:cs="Arial" w:ascii="Arial" w:hAnsi="Arial"/>
          <w:b/>
          <w:bCs/>
          <w:color w:val="0000FF"/>
          <w:sz w:val="36"/>
          <w:szCs w:val="36"/>
        </w:rPr>
        <w:t>6. Identity Management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Each user is issued with a unique, named identity in the corporate identity provider.</w:t>
      </w:r>
    </w:p>
    <w:p>
      <w:pPr>
        <w:pStyle w:val="ListParagraph"/>
        <w:numPr>
          <w:ilvl w:val="0"/>
          <w:numId w:val="1"/>
        </w:numPr>
        <w:spacing w:lineRule="exact" w:line="280" w:before="40" w:after="40"/>
        <w:rPr/>
      </w:pPr>
      <w:r>
        <w:rPr>
          <w:rFonts w:eastAsia="Arial" w:cs="Arial"/>
          <w:color w:val="1A1A1A"/>
          <w:sz w:val="22"/>
          <w:szCs w:val="22"/>
        </w:rPr>
        <w:t>Shared and generic accounts are prohibited. Where a shared account cannot be avoided (e.g. a legacy system), an exception is documented, time-bound, and compensated by additional controls.</w:t>
      </w:r>
    </w:p>
    <w:p>
      <w:pPr>
        <w:pStyle w:val="ListParagraph"/>
        <w:numPr>
          <w:ilvl w:val="0"/>
          <w:numId w:val="1"/>
        </w:numPr>
        <w:spacing w:lineRule="exact" w:line="280" w:before="40" w:after="40"/>
        <w:rPr/>
      </w:pPr>
      <w:r>
        <w:rPr>
          <w:rFonts w:eastAsia="Arial" w:cs="Arial"/>
          <w:color w:val="1A1A1A"/>
          <w:sz w:val="22"/>
          <w:szCs w:val="22"/>
        </w:rPr>
        <w:t>Service accounts are uniquely named, owned by a named human owner, documented, and rotated in accordance with their threat model.</w:t>
      </w:r>
    </w:p>
    <w:p>
      <w:pPr>
        <w:pStyle w:val="ListParagraph"/>
        <w:numPr>
          <w:ilvl w:val="0"/>
          <w:numId w:val="1"/>
        </w:numPr>
        <w:spacing w:lineRule="exact" w:line="280" w:before="40" w:after="40"/>
        <w:rPr/>
      </w:pPr>
      <w:r>
        <w:rPr>
          <w:rFonts w:eastAsia="Arial" w:cs="Arial"/>
          <w:color w:val="1A1A1A"/>
          <w:sz w:val="22"/>
          <w:szCs w:val="22"/>
        </w:rPr>
        <w:t>Identities are linked to authoritative sources (e.g. HR systems for employees) and provisioned through automated workflows where possible.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A.5.16 Identity management; A.5.15 Access control</w:t>
      </w:r>
    </w:p>
    <w:p>
      <w:pPr>
        <w:pStyle w:val="Heading1"/>
        <w:spacing w:before="360" w:after="180"/>
        <w:rPr/>
      </w:pPr>
      <w:r>
        <w:rPr>
          <w:rFonts w:eastAsia="Arial" w:cs="Arial" w:ascii="Arial" w:hAnsi="Arial"/>
          <w:b/>
          <w:bCs/>
          <w:color w:val="0000FF"/>
          <w:sz w:val="36"/>
          <w:szCs w:val="36"/>
        </w:rPr>
        <w:t>7. Authentication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Passwords or passphrases must be at least 14 characters and unique to each system. The approved password manager must be used to generate and store credentials.</w:t>
      </w:r>
    </w:p>
    <w:p>
      <w:pPr>
        <w:pStyle w:val="ListParagraph"/>
        <w:numPr>
          <w:ilvl w:val="0"/>
          <w:numId w:val="1"/>
        </w:numPr>
        <w:spacing w:lineRule="exact" w:line="280" w:before="40" w:after="40"/>
        <w:rPr/>
      </w:pPr>
      <w:r>
        <w:rPr>
          <w:rFonts w:eastAsia="Arial" w:cs="Arial"/>
          <w:color w:val="1A1A1A"/>
          <w:sz w:val="22"/>
          <w:szCs w:val="22"/>
        </w:rPr>
        <w:t>Multi-factor authentication (MFA) is mandatory for the corporate identity provider, Microsoft 365, VPN, privileged consoles, source code repositories, and production environments. MFA is enabled wherever supported on all other systems.</w:t>
      </w:r>
    </w:p>
    <w:p>
      <w:pPr>
        <w:pStyle w:val="ListParagraph"/>
        <w:numPr>
          <w:ilvl w:val="0"/>
          <w:numId w:val="1"/>
        </w:numPr>
        <w:spacing w:lineRule="exact" w:line="280" w:before="40" w:after="40"/>
        <w:rPr/>
      </w:pPr>
      <w:r>
        <w:rPr>
          <w:rFonts w:eastAsia="Arial" w:cs="Arial"/>
          <w:color w:val="1A1A1A"/>
          <w:sz w:val="22"/>
          <w:szCs w:val="22"/>
        </w:rPr>
        <w:t>Phishing-resistant MFA factors (e.g. WebAuthn / FIDO2 hardware keys) are required for privileged accounts.</w:t>
      </w:r>
    </w:p>
    <w:p>
      <w:pPr>
        <w:pStyle w:val="ListParagraph"/>
        <w:numPr>
          <w:ilvl w:val="0"/>
          <w:numId w:val="1"/>
        </w:numPr>
        <w:spacing w:lineRule="exact" w:line="280" w:before="40" w:after="40"/>
        <w:rPr/>
      </w:pPr>
      <w:r>
        <w:rPr>
          <w:rFonts w:eastAsia="Arial" w:cs="Arial"/>
          <w:color w:val="1A1A1A"/>
          <w:sz w:val="22"/>
          <w:szCs w:val="22"/>
        </w:rPr>
        <w:t>Single sign-on (SSO) is the default authentication method for SaaS applications. New applications are integrated with SSO unless an exception is approved.</w:t>
      </w:r>
    </w:p>
    <w:p>
      <w:pPr>
        <w:pStyle w:val="ListParagraph"/>
        <w:numPr>
          <w:ilvl w:val="0"/>
          <w:numId w:val="1"/>
        </w:numPr>
        <w:spacing w:lineRule="exact" w:line="280" w:before="40" w:after="40"/>
        <w:rPr/>
      </w:pPr>
      <w:r>
        <w:rPr>
          <w:rFonts w:eastAsia="Arial" w:cs="Arial"/>
          <w:color w:val="1A1A1A"/>
          <w:sz w:val="22"/>
          <w:szCs w:val="22"/>
        </w:rPr>
        <w:t>Service-to-service authentication uses short-lived credentials, certificates, or workload identities. Long-lived static secrets are avoided where possible and rotated otherwise.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A.5.17 Authentication information; A.8.5 Secure authentication</w:t>
      </w:r>
    </w:p>
    <w:p>
      <w:pPr>
        <w:pStyle w:val="Heading1"/>
        <w:spacing w:before="360" w:after="180"/>
        <w:rPr/>
      </w:pPr>
      <w:r>
        <w:rPr>
          <w:rFonts w:eastAsia="Arial" w:cs="Arial" w:ascii="Arial" w:hAnsi="Arial"/>
          <w:b/>
          <w:bCs/>
          <w:color w:val="0000FF"/>
          <w:sz w:val="36"/>
          <w:szCs w:val="36"/>
        </w:rPr>
        <w:t>8. Authorisation and Access Rights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Access rights are granted based on documented role definitions and the principle of least privilege.</w:t>
      </w:r>
    </w:p>
    <w:p>
      <w:pPr>
        <w:pStyle w:val="ListParagraph"/>
        <w:numPr>
          <w:ilvl w:val="0"/>
          <w:numId w:val="1"/>
        </w:numPr>
        <w:spacing w:lineRule="exact" w:line="280" w:before="40" w:after="40"/>
        <w:rPr/>
      </w:pPr>
      <w:r>
        <w:rPr>
          <w:rFonts w:eastAsia="Arial" w:cs="Arial"/>
          <w:color w:val="1A1A1A"/>
          <w:sz w:val="22"/>
          <w:szCs w:val="22"/>
        </w:rPr>
        <w:t>New access requests are submitted through the access management workflow, approved by the line manager and the relevant system owner, and recorded for audit.</w:t>
      </w:r>
    </w:p>
    <w:p>
      <w:pPr>
        <w:pStyle w:val="ListParagraph"/>
        <w:numPr>
          <w:ilvl w:val="0"/>
          <w:numId w:val="1"/>
        </w:numPr>
        <w:spacing w:lineRule="exact" w:line="280" w:before="40" w:after="40"/>
        <w:rPr/>
      </w:pPr>
      <w:r>
        <w:rPr>
          <w:rFonts w:eastAsia="Arial" w:cs="Arial"/>
          <w:color w:val="1A1A1A"/>
          <w:sz w:val="22"/>
          <w:szCs w:val="22"/>
        </w:rPr>
        <w:t>Access rights are time-bound where appropriate, particularly for contractors, temporary access, and privileged access.</w:t>
      </w:r>
    </w:p>
    <w:p>
      <w:pPr>
        <w:pStyle w:val="ListParagraph"/>
        <w:numPr>
          <w:ilvl w:val="0"/>
          <w:numId w:val="1"/>
        </w:numPr>
        <w:spacing w:lineRule="exact" w:line="280" w:before="40" w:after="40"/>
        <w:rPr/>
      </w:pPr>
      <w:r>
        <w:rPr>
          <w:rFonts w:eastAsia="Arial" w:cs="Arial"/>
          <w:color w:val="1A1A1A"/>
          <w:sz w:val="22"/>
          <w:szCs w:val="22"/>
        </w:rPr>
        <w:t>Self-granted or self-approved access is prohibited. Approval is given by a separate, suitably authorised person.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A.5.18 Access rights; A.8.3 Information access restriction</w:t>
      </w:r>
    </w:p>
    <w:p>
      <w:pPr>
        <w:pStyle w:val="Heading1"/>
        <w:spacing w:before="360" w:after="180"/>
        <w:rPr/>
      </w:pPr>
      <w:r>
        <w:rPr>
          <w:rFonts w:eastAsia="Arial" w:cs="Arial" w:ascii="Arial" w:hAnsi="Arial"/>
          <w:b/>
          <w:bCs/>
          <w:color w:val="0000FF"/>
          <w:sz w:val="36"/>
          <w:szCs w:val="36"/>
        </w:rPr>
        <w:t>9. Privileged Access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Privileged access carries elevated risk and is subject to additional controls.</w:t>
      </w:r>
    </w:p>
    <w:p>
      <w:pPr>
        <w:pStyle w:val="ListParagraph"/>
        <w:numPr>
          <w:ilvl w:val="0"/>
          <w:numId w:val="1"/>
        </w:numPr>
        <w:spacing w:lineRule="exact" w:line="280" w:before="40" w:after="40"/>
        <w:rPr/>
      </w:pPr>
      <w:r>
        <w:rPr>
          <w:rFonts w:eastAsia="Arial" w:cs="Arial"/>
          <w:color w:val="1A1A1A"/>
          <w:sz w:val="22"/>
          <w:szCs w:val="22"/>
        </w:rPr>
        <w:t>Privileged accounts are separate from standard accounts. Privileged actions are not performed from standard user accounts.</w:t>
      </w:r>
    </w:p>
    <w:p>
      <w:pPr>
        <w:pStyle w:val="ListParagraph"/>
        <w:numPr>
          <w:ilvl w:val="0"/>
          <w:numId w:val="1"/>
        </w:numPr>
        <w:spacing w:lineRule="exact" w:line="280" w:before="40" w:after="40"/>
        <w:rPr/>
      </w:pPr>
      <w:r>
        <w:rPr>
          <w:rFonts w:eastAsia="Arial" w:cs="Arial"/>
          <w:color w:val="1A1A1A"/>
          <w:sz w:val="22"/>
          <w:szCs w:val="22"/>
        </w:rPr>
        <w:t>Privileged access requires phishing-resistant MFA and is logged in detail.</w:t>
      </w:r>
    </w:p>
    <w:p>
      <w:pPr>
        <w:pStyle w:val="ListParagraph"/>
        <w:numPr>
          <w:ilvl w:val="0"/>
          <w:numId w:val="1"/>
        </w:numPr>
        <w:spacing w:lineRule="exact" w:line="280" w:before="40" w:after="40"/>
        <w:rPr/>
      </w:pPr>
      <w:r>
        <w:rPr>
          <w:rFonts w:eastAsia="Arial" w:cs="Arial"/>
          <w:color w:val="1A1A1A"/>
          <w:sz w:val="22"/>
          <w:szCs w:val="22"/>
        </w:rPr>
        <w:t>Just-in-time elevation is preferred over standing privileged access. Where standing access is unavoidable, it is documented and reviewed at increased frequency.</w:t>
      </w:r>
    </w:p>
    <w:p>
      <w:pPr>
        <w:pStyle w:val="ListParagraph"/>
        <w:numPr>
          <w:ilvl w:val="0"/>
          <w:numId w:val="1"/>
        </w:numPr>
        <w:spacing w:lineRule="exact" w:line="280" w:before="40" w:after="40"/>
        <w:rPr/>
      </w:pPr>
      <w:r>
        <w:rPr>
          <w:rFonts w:eastAsia="Arial" w:cs="Arial"/>
          <w:color w:val="1A1A1A"/>
          <w:sz w:val="22"/>
          <w:szCs w:val="22"/>
        </w:rPr>
        <w:t>Privileged actions in production environments are logged, monitored, and reviewed.</w:t>
      </w:r>
    </w:p>
    <w:p>
      <w:pPr>
        <w:pStyle w:val="ListParagraph"/>
        <w:numPr>
          <w:ilvl w:val="0"/>
          <w:numId w:val="1"/>
        </w:numPr>
        <w:spacing w:lineRule="exact" w:line="280" w:before="40" w:after="40"/>
        <w:rPr/>
      </w:pPr>
      <w:r>
        <w:rPr>
          <w:rFonts w:eastAsia="Arial" w:cs="Arial"/>
          <w:color w:val="1A1A1A"/>
          <w:sz w:val="22"/>
          <w:szCs w:val="22"/>
        </w:rPr>
        <w:t>Break-glass accounts are documented, secured, and used only with explicit authorisation; their use triggers an immediate review.</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A.8.2 Privileged access rights</w:t>
      </w:r>
    </w:p>
    <w:p>
      <w:pPr>
        <w:pStyle w:val="Heading1"/>
        <w:spacing w:before="360" w:after="180"/>
        <w:rPr/>
      </w:pPr>
      <w:r>
        <w:rPr>
          <w:rFonts w:eastAsia="Arial" w:cs="Arial" w:ascii="Arial" w:hAnsi="Arial"/>
          <w:b/>
          <w:bCs/>
          <w:color w:val="0000FF"/>
          <w:sz w:val="36"/>
          <w:szCs w:val="36"/>
        </w:rPr>
        <w:t>10. Application and System Access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Applications enforce role-based or attribute-based access control aligned to the Access Control Procedure (ISMS-PRC-003).</w:t>
      </w:r>
    </w:p>
    <w:p>
      <w:pPr>
        <w:pStyle w:val="ListParagraph"/>
        <w:numPr>
          <w:ilvl w:val="0"/>
          <w:numId w:val="1"/>
        </w:numPr>
        <w:spacing w:lineRule="exact" w:line="280" w:before="40" w:after="40"/>
        <w:rPr/>
      </w:pPr>
      <w:r>
        <w:rPr>
          <w:rFonts w:eastAsia="Arial" w:cs="Arial"/>
          <w:color w:val="1A1A1A"/>
          <w:sz w:val="22"/>
          <w:szCs w:val="22"/>
        </w:rPr>
        <w:t>Inactive sessions are terminated automatically after a defined period of inactivity.</w:t>
      </w:r>
    </w:p>
    <w:p>
      <w:pPr>
        <w:pStyle w:val="ListParagraph"/>
        <w:numPr>
          <w:ilvl w:val="0"/>
          <w:numId w:val="1"/>
        </w:numPr>
        <w:spacing w:lineRule="exact" w:line="280" w:before="40" w:after="40"/>
        <w:rPr/>
      </w:pPr>
      <w:r>
        <w:rPr>
          <w:rFonts w:eastAsia="Arial" w:cs="Arial"/>
          <w:color w:val="1A1A1A"/>
          <w:sz w:val="22"/>
          <w:szCs w:val="22"/>
        </w:rPr>
        <w:t>Concurrent sessions are restricted where required by the application’s risk profile.</w:t>
      </w:r>
    </w:p>
    <w:p>
      <w:pPr>
        <w:pStyle w:val="ListParagraph"/>
        <w:numPr>
          <w:ilvl w:val="0"/>
          <w:numId w:val="1"/>
        </w:numPr>
        <w:spacing w:lineRule="exact" w:line="280" w:before="40" w:after="40"/>
        <w:rPr/>
      </w:pPr>
      <w:r>
        <w:rPr>
          <w:rFonts w:eastAsia="Arial" w:cs="Arial"/>
          <w:color w:val="1A1A1A"/>
          <w:sz w:val="22"/>
          <w:szCs w:val="22"/>
        </w:rPr>
        <w:t>Source addresses, device posture, and other contextual signals may be used as part of access decisions where supported.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A.5.15 Access control; A.8.3 Information access restriction; A.8.5 Secure authentication</w:t>
      </w:r>
    </w:p>
    <w:p>
      <w:pPr>
        <w:pStyle w:val="Heading1"/>
        <w:spacing w:before="360" w:after="180"/>
        <w:rPr/>
      </w:pPr>
      <w:r>
        <w:rPr>
          <w:rFonts w:eastAsia="Arial" w:cs="Arial" w:ascii="Arial" w:hAnsi="Arial"/>
          <w:b/>
          <w:bCs/>
          <w:color w:val="0000FF"/>
          <w:sz w:val="36"/>
          <w:szCs w:val="36"/>
        </w:rPr>
        <w:t>11. Network Access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operates a zero-trust posture: access to internal services requires authenticated identity and is not granted on the basis of network location alone.</w:t>
      </w:r>
    </w:p>
    <w:p>
      <w:pPr>
        <w:pStyle w:val="ListParagraph"/>
        <w:numPr>
          <w:ilvl w:val="0"/>
          <w:numId w:val="1"/>
        </w:numPr>
        <w:spacing w:lineRule="exact" w:line="280" w:before="40" w:after="40"/>
        <w:rPr/>
      </w:pPr>
      <w:r>
        <w:rPr>
          <w:rFonts w:eastAsia="Arial" w:cs="Arial"/>
          <w:color w:val="1A1A1A"/>
          <w:sz w:val="22"/>
          <w:szCs w:val="22"/>
        </w:rPr>
        <w:t>Remote access to Cloudax internal services uses the approved VPN or zero-trust access broker, with MFA required.</w:t>
      </w:r>
    </w:p>
    <w:p>
      <w:pPr>
        <w:pStyle w:val="ListParagraph"/>
        <w:numPr>
          <w:ilvl w:val="0"/>
          <w:numId w:val="1"/>
        </w:numPr>
        <w:spacing w:lineRule="exact" w:line="280" w:before="40" w:after="40"/>
        <w:rPr/>
      </w:pPr>
      <w:r>
        <w:rPr>
          <w:rFonts w:eastAsia="Arial" w:cs="Arial"/>
          <w:color w:val="1A1A1A"/>
          <w:sz w:val="22"/>
          <w:szCs w:val="22"/>
        </w:rPr>
        <w:t>Production networks are segregated from corporate and development networks.</w:t>
      </w:r>
    </w:p>
    <w:p>
      <w:pPr>
        <w:pStyle w:val="ListParagraph"/>
        <w:numPr>
          <w:ilvl w:val="0"/>
          <w:numId w:val="1"/>
        </w:numPr>
        <w:spacing w:lineRule="exact" w:line="280" w:before="40" w:after="40"/>
        <w:rPr/>
      </w:pPr>
      <w:r>
        <w:rPr>
          <w:rFonts w:eastAsia="Arial" w:cs="Arial"/>
          <w:color w:val="1A1A1A"/>
          <w:sz w:val="22"/>
          <w:szCs w:val="22"/>
        </w:rPr>
        <w:t>Inbound network access from the public internet is restricted to defined services and protected by appropriate controls.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A.8.20 Network security; A.8.21 Security of network services; A.8.22 Segregation of networks</w:t>
      </w:r>
    </w:p>
    <w:p>
      <w:pPr>
        <w:pStyle w:val="Heading1"/>
        <w:spacing w:before="360" w:after="180"/>
        <w:rPr/>
      </w:pPr>
      <w:r>
        <w:rPr>
          <w:rFonts w:eastAsia="Arial" w:cs="Arial" w:ascii="Arial" w:hAnsi="Arial"/>
          <w:b/>
          <w:bCs/>
          <w:color w:val="0000FF"/>
          <w:sz w:val="36"/>
          <w:szCs w:val="36"/>
        </w:rPr>
        <w:t>12. Source Code and Repository Access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Source code repositories are configured to require SSO and MFA.</w:t>
      </w:r>
    </w:p>
    <w:p>
      <w:pPr>
        <w:pStyle w:val="ListParagraph"/>
        <w:numPr>
          <w:ilvl w:val="0"/>
          <w:numId w:val="1"/>
        </w:numPr>
        <w:spacing w:lineRule="exact" w:line="280" w:before="40" w:after="40"/>
        <w:rPr/>
      </w:pPr>
      <w:r>
        <w:rPr>
          <w:rFonts w:eastAsia="Arial" w:cs="Arial"/>
          <w:color w:val="1A1A1A"/>
          <w:sz w:val="22"/>
          <w:szCs w:val="22"/>
        </w:rPr>
        <w:t>Branch protection rules require code review by a separate person before merge to protected branches.</w:t>
      </w:r>
    </w:p>
    <w:p>
      <w:pPr>
        <w:pStyle w:val="ListParagraph"/>
        <w:numPr>
          <w:ilvl w:val="0"/>
          <w:numId w:val="1"/>
        </w:numPr>
        <w:spacing w:lineRule="exact" w:line="280" w:before="40" w:after="40"/>
        <w:rPr/>
      </w:pPr>
      <w:r>
        <w:rPr>
          <w:rFonts w:eastAsia="Arial" w:cs="Arial"/>
          <w:color w:val="1A1A1A"/>
          <w:sz w:val="22"/>
          <w:szCs w:val="22"/>
        </w:rPr>
        <w:t>Direct push to protected branches is prohibited. CI/CD pipelines enforce required checks.</w:t>
      </w:r>
    </w:p>
    <w:p>
      <w:pPr>
        <w:pStyle w:val="ListParagraph"/>
        <w:numPr>
          <w:ilvl w:val="0"/>
          <w:numId w:val="1"/>
        </w:numPr>
        <w:spacing w:lineRule="exact" w:line="280" w:before="40" w:after="40"/>
        <w:rPr/>
      </w:pPr>
      <w:r>
        <w:rPr>
          <w:rFonts w:eastAsia="Arial" w:cs="Arial"/>
          <w:color w:val="1A1A1A"/>
          <w:sz w:val="22"/>
          <w:szCs w:val="22"/>
        </w:rPr>
        <w:t>Secrets must not be committed to source control. Detected secrets are rotated immediately.</w:t>
      </w:r>
    </w:p>
    <w:p>
      <w:pPr>
        <w:pStyle w:val="ListParagraph"/>
        <w:numPr>
          <w:ilvl w:val="0"/>
          <w:numId w:val="1"/>
        </w:numPr>
        <w:spacing w:lineRule="exact" w:line="280" w:before="40" w:after="40"/>
        <w:rPr/>
      </w:pPr>
      <w:r>
        <w:rPr>
          <w:rFonts w:eastAsia="Arial" w:cs="Arial"/>
          <w:color w:val="1A1A1A"/>
          <w:sz w:val="22"/>
          <w:szCs w:val="22"/>
        </w:rPr>
        <w:t>Access to repositories is reviewed at least quarterly.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A.8.4 Access to source code; A.8.31 Separation of development, test and production environments</w:t>
      </w:r>
    </w:p>
    <w:p>
      <w:pPr>
        <w:pStyle w:val="Heading1"/>
        <w:spacing w:before="360" w:after="180"/>
        <w:rPr/>
      </w:pPr>
      <w:r>
        <w:rPr>
          <w:rFonts w:eastAsia="Arial" w:cs="Arial" w:ascii="Arial" w:hAnsi="Arial"/>
          <w:b/>
          <w:bCs/>
          <w:color w:val="0000FF"/>
          <w:sz w:val="36"/>
          <w:szCs w:val="36"/>
        </w:rPr>
        <w:t>13. Customer Data Access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Access to customer data — including voice recordings, transcripts, and derived data — is treated as Restricted under the Information Classification and Handling Procedure (ISMS-PRC-004).</w:t>
      </w:r>
    </w:p>
    <w:p>
      <w:pPr>
        <w:pStyle w:val="ListParagraph"/>
        <w:numPr>
          <w:ilvl w:val="0"/>
          <w:numId w:val="1"/>
        </w:numPr>
        <w:spacing w:lineRule="exact" w:line="280" w:before="40" w:after="40"/>
        <w:rPr/>
      </w:pPr>
      <w:r>
        <w:rPr>
          <w:rFonts w:eastAsia="Arial" w:cs="Arial"/>
          <w:color w:val="1A1A1A"/>
          <w:sz w:val="22"/>
          <w:szCs w:val="22"/>
        </w:rPr>
        <w:t>Access to customer data is granted only on a least-privilege, need-to-know basis, with a documented business reason.</w:t>
      </w:r>
    </w:p>
    <w:p>
      <w:pPr>
        <w:pStyle w:val="ListParagraph"/>
        <w:numPr>
          <w:ilvl w:val="0"/>
          <w:numId w:val="1"/>
        </w:numPr>
        <w:spacing w:lineRule="exact" w:line="280" w:before="40" w:after="40"/>
        <w:rPr/>
      </w:pPr>
      <w:r>
        <w:rPr>
          <w:rFonts w:eastAsia="Arial" w:cs="Arial"/>
          <w:color w:val="1A1A1A"/>
          <w:sz w:val="22"/>
          <w:szCs w:val="22"/>
        </w:rPr>
        <w:t>Customer data access is logged in detail. Logs are protected against tampering and reviewed.</w:t>
      </w:r>
    </w:p>
    <w:p>
      <w:pPr>
        <w:pStyle w:val="ListParagraph"/>
        <w:numPr>
          <w:ilvl w:val="0"/>
          <w:numId w:val="1"/>
        </w:numPr>
        <w:spacing w:lineRule="exact" w:line="280" w:before="40" w:after="40"/>
        <w:rPr/>
      </w:pPr>
      <w:r>
        <w:rPr>
          <w:rFonts w:eastAsia="Arial" w:cs="Arial"/>
          <w:color w:val="1A1A1A"/>
          <w:sz w:val="22"/>
          <w:szCs w:val="22"/>
        </w:rPr>
        <w:t>Customer-specific support access (e.g. impersonation or break-glass into customer tenancies) requires explicit authorisation, is time-bound, and is recorded.</w:t>
      </w:r>
    </w:p>
    <w:p>
      <w:pPr>
        <w:pStyle w:val="ListParagraph"/>
        <w:numPr>
          <w:ilvl w:val="0"/>
          <w:numId w:val="1"/>
        </w:numPr>
        <w:spacing w:lineRule="exact" w:line="280" w:before="40" w:after="40"/>
        <w:rPr/>
      </w:pPr>
      <w:r>
        <w:rPr>
          <w:rFonts w:eastAsia="Arial" w:cs="Arial"/>
          <w:color w:val="1A1A1A"/>
          <w:sz w:val="22"/>
          <w:szCs w:val="22"/>
        </w:rPr>
        <w:t>Bulk export of customer data is prohibited except where authorised, logged, and required by a defined business or legal process.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A.5.10 Acceptable use; A.5.34 Privacy and protection of PII; A.8.3 Information access restriction; A.8.12 Data leakage prevention; A.8.15 Logging</w:t>
      </w:r>
    </w:p>
    <w:p>
      <w:pPr>
        <w:pStyle w:val="Heading1"/>
        <w:spacing w:before="360" w:after="180"/>
        <w:rPr/>
      </w:pPr>
      <w:r>
        <w:rPr>
          <w:rFonts w:eastAsia="Arial" w:cs="Arial" w:ascii="Arial" w:hAnsi="Arial"/>
          <w:b/>
          <w:bCs/>
          <w:color w:val="0000FF"/>
          <w:sz w:val="36"/>
          <w:szCs w:val="36"/>
        </w:rPr>
        <w:t>14. Third-Party and Supplier Access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Access for third parties is granted only after the supplier has been approved through the Supplier and Cloud Service Approval Procedure (ISMS-PRC-007) and has accepted Cloudax’s information security obligations contractually.</w:t>
      </w:r>
    </w:p>
    <w:p>
      <w:pPr>
        <w:pStyle w:val="ListParagraph"/>
        <w:numPr>
          <w:ilvl w:val="0"/>
          <w:numId w:val="1"/>
        </w:numPr>
        <w:spacing w:lineRule="exact" w:line="280" w:before="40" w:after="40"/>
        <w:rPr/>
      </w:pPr>
      <w:r>
        <w:rPr>
          <w:rFonts w:eastAsia="Arial" w:cs="Arial"/>
          <w:color w:val="1A1A1A"/>
          <w:sz w:val="22"/>
          <w:szCs w:val="22"/>
        </w:rPr>
        <w:t>Third-party access is granted to named individuals, never to shared accounts, and is time-bound.</w:t>
      </w:r>
    </w:p>
    <w:p>
      <w:pPr>
        <w:pStyle w:val="ListParagraph"/>
        <w:numPr>
          <w:ilvl w:val="0"/>
          <w:numId w:val="1"/>
        </w:numPr>
        <w:spacing w:lineRule="exact" w:line="280" w:before="40" w:after="40"/>
        <w:rPr/>
      </w:pPr>
      <w:r>
        <w:rPr>
          <w:rFonts w:eastAsia="Arial" w:cs="Arial"/>
          <w:color w:val="1A1A1A"/>
          <w:sz w:val="22"/>
          <w:szCs w:val="22"/>
        </w:rPr>
        <w:t>Third-party access is reviewed in line with the Access Review programme.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A.5.19–A.5.22 Supplier relationships; A.5.15 Access control</w:t>
      </w:r>
    </w:p>
    <w:p>
      <w:pPr>
        <w:pStyle w:val="Heading1"/>
        <w:spacing w:before="360" w:after="180"/>
        <w:rPr/>
      </w:pPr>
      <w:r>
        <w:rPr>
          <w:rFonts w:eastAsia="Arial" w:cs="Arial" w:ascii="Arial" w:hAnsi="Arial"/>
          <w:b/>
          <w:bCs/>
          <w:color w:val="0000FF"/>
          <w:sz w:val="36"/>
          <w:szCs w:val="36"/>
        </w:rPr>
        <w:t>15. Access Reviews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Access rights are reviewed:</w:t>
      </w:r>
    </w:p>
    <w:p>
      <w:pPr>
        <w:pStyle w:val="ListParagraph"/>
        <w:numPr>
          <w:ilvl w:val="0"/>
          <w:numId w:val="1"/>
        </w:numPr>
        <w:spacing w:lineRule="exact" w:line="280" w:before="40" w:after="40"/>
        <w:rPr/>
      </w:pPr>
      <w:r>
        <w:rPr>
          <w:rFonts w:eastAsia="Arial" w:cs="Arial"/>
          <w:color w:val="1A1A1A"/>
          <w:sz w:val="22"/>
          <w:szCs w:val="22"/>
        </w:rPr>
        <w:t>At least annually for all systems within the ISMS scope.</w:t>
      </w:r>
    </w:p>
    <w:p>
      <w:pPr>
        <w:pStyle w:val="ListParagraph"/>
        <w:numPr>
          <w:ilvl w:val="0"/>
          <w:numId w:val="1"/>
        </w:numPr>
        <w:spacing w:lineRule="exact" w:line="280" w:before="40" w:after="40"/>
        <w:rPr/>
      </w:pPr>
      <w:r>
        <w:rPr>
          <w:rFonts w:eastAsia="Arial" w:cs="Arial"/>
          <w:color w:val="1A1A1A"/>
          <w:sz w:val="22"/>
          <w:szCs w:val="22"/>
        </w:rPr>
        <w:t>At least quarterly for production environments, source code repositories, and access to customer data.</w:t>
      </w:r>
    </w:p>
    <w:p>
      <w:pPr>
        <w:pStyle w:val="ListParagraph"/>
        <w:numPr>
          <w:ilvl w:val="0"/>
          <w:numId w:val="1"/>
        </w:numPr>
        <w:spacing w:lineRule="exact" w:line="280" w:before="40" w:after="40"/>
        <w:rPr/>
      </w:pPr>
      <w:r>
        <w:rPr>
          <w:rFonts w:eastAsia="Arial" w:cs="Arial"/>
          <w:color w:val="1A1A1A"/>
          <w:sz w:val="22"/>
          <w:szCs w:val="22"/>
        </w:rPr>
        <w:t>Whenever a person changes role or leaves Cloudax.</w:t>
      </w:r>
    </w:p>
    <w:p>
      <w:pPr>
        <w:pStyle w:val="ListParagraph"/>
        <w:numPr>
          <w:ilvl w:val="0"/>
          <w:numId w:val="1"/>
        </w:numPr>
        <w:spacing w:lineRule="exact" w:line="280" w:before="40" w:after="40"/>
        <w:rPr/>
      </w:pPr>
      <w:r>
        <w:rPr>
          <w:rFonts w:eastAsia="Arial" w:cs="Arial"/>
          <w:color w:val="1A1A1A"/>
          <w:sz w:val="22"/>
          <w:szCs w:val="22"/>
        </w:rPr>
        <w:t>In response to incidents or material control changes.</w:t>
      </w:r>
    </w:p>
    <w:p>
      <w:pPr>
        <w:pStyle w:val="Normal"/>
        <w:spacing w:lineRule="exact" w:line="300" w:before="80" w:after="120"/>
        <w:rPr/>
      </w:pPr>
      <w:r>
        <w:rPr>
          <w:rFonts w:eastAsia="Arial" w:cs="Arial"/>
          <w:color w:val="1A1A1A"/>
          <w:sz w:val="22"/>
          <w:szCs w:val="22"/>
        </w:rPr>
        <w:t>Reviews are documented, anomalies investigated, and unnecessary access removed promptly. Evidence is retained for audit.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A.5.18 Access rights; A.8.2 Privileged access rights</w:t>
      </w:r>
    </w:p>
    <w:p>
      <w:pPr>
        <w:pStyle w:val="Heading1"/>
        <w:spacing w:before="360" w:after="180"/>
        <w:rPr/>
      </w:pPr>
      <w:r>
        <w:rPr>
          <w:rFonts w:eastAsia="Arial" w:cs="Arial" w:ascii="Arial" w:hAnsi="Arial"/>
          <w:b/>
          <w:bCs/>
          <w:color w:val="0000FF"/>
          <w:sz w:val="36"/>
          <w:szCs w:val="36"/>
        </w:rPr>
        <w:t>16. Joiner, Mover, and Leaver Process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Joiner: identities are provisioned only after the joiner workflow is complete (including signed acknowledgement of relevant policies). Access is granted based on the role profile.</w:t>
      </w:r>
    </w:p>
    <w:p>
      <w:pPr>
        <w:pStyle w:val="ListParagraph"/>
        <w:numPr>
          <w:ilvl w:val="0"/>
          <w:numId w:val="1"/>
        </w:numPr>
        <w:spacing w:lineRule="exact" w:line="280" w:before="40" w:after="40"/>
        <w:rPr/>
      </w:pPr>
      <w:r>
        <w:rPr>
          <w:rFonts w:eastAsia="Arial" w:cs="Arial"/>
          <w:color w:val="1A1A1A"/>
          <w:sz w:val="22"/>
          <w:szCs w:val="22"/>
        </w:rPr>
        <w:t>Mover: access is reassessed when a person changes role; access no longer required is removed promptly.</w:t>
      </w:r>
    </w:p>
    <w:p>
      <w:pPr>
        <w:pStyle w:val="ListParagraph"/>
        <w:numPr>
          <w:ilvl w:val="0"/>
          <w:numId w:val="1"/>
        </w:numPr>
        <w:spacing w:lineRule="exact" w:line="280" w:before="40" w:after="40"/>
        <w:rPr/>
      </w:pPr>
      <w:r>
        <w:rPr>
          <w:rFonts w:eastAsia="Arial" w:cs="Arial"/>
          <w:color w:val="1A1A1A"/>
          <w:sz w:val="22"/>
          <w:szCs w:val="22"/>
        </w:rPr>
        <w:t>Leaver: access is revoked on termination, in coordination with HR, no later than the end of the working day on which employment or engagement ends. Cloudax devices, access cards, and tokens are returned.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A.6.1 Screening; A.6.5 Responsibilities after termination or change of employment; A.5.11 Return of assets; A.5.18 Access rights</w:t>
      </w:r>
    </w:p>
    <w:p>
      <w:pPr>
        <w:pStyle w:val="Heading1"/>
        <w:spacing w:before="360" w:after="180"/>
        <w:rPr/>
      </w:pPr>
      <w:r>
        <w:rPr>
          <w:rFonts w:eastAsia="Arial" w:cs="Arial" w:ascii="Arial" w:hAnsi="Arial"/>
          <w:b/>
          <w:bCs/>
          <w:color w:val="0000FF"/>
          <w:sz w:val="36"/>
          <w:szCs w:val="36"/>
        </w:rPr>
        <w:t>17. Logging, Monitoring, and Anomaly Detection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Authentication, authorisation, and privileged access events are logged for all in-scope systems.</w:t>
      </w:r>
    </w:p>
    <w:p>
      <w:pPr>
        <w:pStyle w:val="ListParagraph"/>
        <w:numPr>
          <w:ilvl w:val="0"/>
          <w:numId w:val="1"/>
        </w:numPr>
        <w:spacing w:lineRule="exact" w:line="280" w:before="40" w:after="40"/>
        <w:rPr/>
      </w:pPr>
      <w:r>
        <w:rPr>
          <w:rFonts w:eastAsia="Arial" w:cs="Arial"/>
          <w:color w:val="1A1A1A"/>
          <w:sz w:val="22"/>
          <w:szCs w:val="22"/>
        </w:rPr>
        <w:t>Logs are forwarded to a centralised logging facility and retained in accordance with the Records Retention Schedule (ISMS-REG-010).</w:t>
      </w:r>
    </w:p>
    <w:p>
      <w:pPr>
        <w:pStyle w:val="ListParagraph"/>
        <w:numPr>
          <w:ilvl w:val="0"/>
          <w:numId w:val="1"/>
        </w:numPr>
        <w:spacing w:lineRule="exact" w:line="280" w:before="40" w:after="40"/>
        <w:rPr/>
      </w:pPr>
      <w:r>
        <w:rPr>
          <w:rFonts w:eastAsia="Arial" w:cs="Arial"/>
          <w:color w:val="1A1A1A"/>
          <w:sz w:val="22"/>
          <w:szCs w:val="22"/>
        </w:rPr>
        <w:t>Alerts are configured for indicators of credential compromise, anomalous access, and policy violations.</w:t>
      </w:r>
    </w:p>
    <w:p>
      <w:pPr>
        <w:pStyle w:val="ListParagraph"/>
        <w:numPr>
          <w:ilvl w:val="0"/>
          <w:numId w:val="1"/>
        </w:numPr>
        <w:spacing w:lineRule="exact" w:line="280" w:before="40" w:after="40"/>
        <w:rPr/>
      </w:pPr>
      <w:r>
        <w:rPr>
          <w:rFonts w:eastAsia="Arial" w:cs="Arial"/>
          <w:color w:val="1A1A1A"/>
          <w:sz w:val="22"/>
          <w:szCs w:val="22"/>
        </w:rPr>
        <w:t>Suspected compromise of credentials triggers immediate password reset, MFA reset, and incident review.</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A.8.15 Logging; A.8.16 Monitoring activities; A.5.25–A.5.27 Incident response</w:t>
      </w:r>
    </w:p>
    <w:p>
      <w:pPr>
        <w:pStyle w:val="Heading1"/>
        <w:spacing w:before="360" w:after="180"/>
        <w:rPr/>
      </w:pPr>
      <w:r>
        <w:rPr>
          <w:rFonts w:eastAsia="Arial" w:cs="Arial" w:ascii="Arial" w:hAnsi="Arial"/>
          <w:b/>
          <w:bCs/>
          <w:color w:val="0000FF"/>
          <w:sz w:val="36"/>
          <w:szCs w:val="36"/>
        </w:rPr>
        <w:t>18. Policy Breaches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Breaches of this Policy are managed in accordance with the Information Security Policy and may result in disciplinary action, termination of contract, or legal action where appropriate.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A.6.4 Disciplinary process; A.5.36 Compliance with policies</w:t>
      </w:r>
    </w:p>
    <w:p>
      <w:pPr>
        <w:pStyle w:val="Heading1"/>
        <w:spacing w:before="360" w:after="180"/>
        <w:rPr/>
      </w:pPr>
      <w:r>
        <w:rPr>
          <w:rFonts w:eastAsia="Arial" w:cs="Arial" w:ascii="Arial" w:hAnsi="Arial"/>
          <w:b/>
          <w:bCs/>
          <w:color w:val="0000FF"/>
          <w:sz w:val="36"/>
          <w:szCs w:val="36"/>
        </w:rPr>
        <w:t>19.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 Material changes are approved by the Managing Director and recorded in Annex B.</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 7.5, 9.3; A.5.1</w:t>
      </w:r>
    </w:p>
    <w:p>
      <w:pPr>
        <w:pStyle w:val="Heading1"/>
        <w:spacing w:before="360" w:after="180"/>
        <w:rPr/>
      </w:pPr>
      <w:r>
        <w:rPr>
          <w:rFonts w:eastAsia="Arial" w:cs="Arial" w:ascii="Arial" w:hAnsi="Arial"/>
          <w:b/>
          <w:bCs/>
          <w:color w:val="0000FF"/>
          <w:sz w:val="36"/>
          <w:szCs w:val="36"/>
        </w:rPr>
        <w:t>20.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 Acknowledgements are retained as ISMS evidence.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ISO 27001:2022 REFERENCES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 A.5.15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 Scope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A.5.9, A.5.15</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 Principles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 A.5.15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5. Roles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 A.5.15</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 Identity Management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A.5.16, A.5.15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7. Authentication</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A.5.17, A.8.5</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 Authorisation</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A.5.18, A.8.3</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 Privileged Access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A.8.2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Application Access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A.5.15, A.8.3, A.8.5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Network Access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A.8.20, A.8.21, A.8.22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Source Code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A.8.4, A.8.31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Customer Data</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A.5.10, A.5.34, A.8.3, A.8.12, A.8.15</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Third-Party Access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A.5.19–A.5.22, A.5.15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Access Reviews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A.5.18, A.8.2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Joiner / Mover / Leaver</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A.6.1, A.6.5, A.5.11, A.5.18</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Logging and Monitoring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A.8.15, A.8.16, A.5.25–A.5.27</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18. Breaches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A.6.4, A.5.36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19. Review</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 7.5, 9.3; A.5.1</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20. Acknowledgement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A.6.2, A.6.3,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ISMS-POL-003 Access Control Policy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ISMS-POL-003 Access Control Policy  •  Internal  </w:t>
      <w:tab/>
      <w:t>v1.0  •  April 2026</w:t>
      <w:tab/>
      <w:t xml:space="preserve">Page </w:t>
    </w:r>
    <w:r>
      <w:rPr/>
      <w:fldChar w:fldCharType="begin"/>
    </w:r>
    <w:r>
      <w:rPr/>
      <w:instrText xml:space="preserve"> PAGE </w:instrText>
    </w:r>
    <w:r>
      <w:rPr/>
      <w:fldChar w:fldCharType="separate"/>
    </w:r>
    <w:r>
      <w:rPr/>
      <w:t>11</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2026-04-08T11:39:19Z</dcterms:created>
  <dc:creator>David Stokes</dc:creator>
  <dc:description/>
  <dc:language>en-US</dc:language>
  <cp:lastModifiedBy>David Stokes</cp:lastModifiedBy>
  <dcterms:modified xsi:type="dcterms:W3CDTF">2026-04-08T12:37:19Z</dcterms:modified>
  <cp:revision>1</cp:revision>
  <dc:subject/>
  <dc:title>Cloudax Access Control Policy</dc:title>
</cp:coreProperties>
</file>