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Supplier Security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ISMS-POL-004</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Supplier Security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Supplier Inventory and Tiering</w:t>
      </w:r>
    </w:p>
    <w:p>
      <w:pPr>
        <w:pStyle w:val="Normal"/>
        <w:spacing w:before="40" w:after="40"/>
        <w:rPr/>
      </w:pPr>
      <w:r>
        <w:rPr>
          <w:rFonts w:eastAsia="Arial" w:cs="Arial"/>
          <w:color w:val="1A1A1A"/>
          <w:sz w:val="22"/>
          <w:szCs w:val="22"/>
        </w:rPr>
        <w:t>7.  Supplier Selection and Onboarding</w:t>
      </w:r>
    </w:p>
    <w:p>
      <w:pPr>
        <w:pStyle w:val="Normal"/>
        <w:spacing w:before="40" w:after="40"/>
        <w:rPr/>
      </w:pPr>
      <w:r>
        <w:rPr>
          <w:rFonts w:eastAsia="Arial" w:cs="Arial"/>
          <w:color w:val="1A1A1A"/>
          <w:sz w:val="22"/>
          <w:szCs w:val="22"/>
        </w:rPr>
        <w:t>8.  Contractual Security Requirements</w:t>
      </w:r>
    </w:p>
    <w:p>
      <w:pPr>
        <w:pStyle w:val="Normal"/>
        <w:spacing w:before="40" w:after="40"/>
        <w:rPr/>
      </w:pPr>
      <w:r>
        <w:rPr>
          <w:rFonts w:eastAsia="Arial" w:cs="Arial"/>
          <w:color w:val="1A1A1A"/>
          <w:sz w:val="22"/>
          <w:szCs w:val="22"/>
        </w:rPr>
        <w:t>9.  Cloud Service Providers</w:t>
      </w:r>
    </w:p>
    <w:p>
      <w:pPr>
        <w:pStyle w:val="Normal"/>
        <w:spacing w:before="40" w:after="40"/>
        <w:rPr/>
      </w:pPr>
      <w:r>
        <w:rPr>
          <w:rFonts w:eastAsia="Arial" w:cs="Arial"/>
          <w:color w:val="1A1A1A"/>
          <w:sz w:val="22"/>
          <w:szCs w:val="22"/>
        </w:rPr>
        <w:t>10. AI and Machine Learning Suppliers</w:t>
      </w:r>
    </w:p>
    <w:p>
      <w:pPr>
        <w:pStyle w:val="Normal"/>
        <w:spacing w:before="40" w:after="40"/>
        <w:rPr/>
      </w:pPr>
      <w:r>
        <w:rPr>
          <w:rFonts w:eastAsia="Arial" w:cs="Arial"/>
          <w:color w:val="1A1A1A"/>
          <w:sz w:val="22"/>
          <w:szCs w:val="22"/>
        </w:rPr>
        <w:t>11. Sub-Processors</w:t>
      </w:r>
    </w:p>
    <w:p>
      <w:pPr>
        <w:pStyle w:val="Normal"/>
        <w:spacing w:before="40" w:after="40"/>
        <w:rPr/>
      </w:pPr>
      <w:r>
        <w:rPr>
          <w:rFonts w:eastAsia="Arial" w:cs="Arial"/>
          <w:color w:val="1A1A1A"/>
          <w:sz w:val="22"/>
          <w:szCs w:val="22"/>
        </w:rPr>
        <w:t>12. Ongoing Monitoring and Assurance</w:t>
      </w:r>
    </w:p>
    <w:p>
      <w:pPr>
        <w:pStyle w:val="Normal"/>
        <w:spacing w:before="40" w:after="40"/>
        <w:rPr/>
      </w:pPr>
      <w:r>
        <w:rPr>
          <w:rFonts w:eastAsia="Arial" w:cs="Arial"/>
          <w:color w:val="1A1A1A"/>
          <w:sz w:val="22"/>
          <w:szCs w:val="22"/>
        </w:rPr>
        <w:t>13. Incident Management with Suppliers</w:t>
      </w:r>
    </w:p>
    <w:p>
      <w:pPr>
        <w:pStyle w:val="Normal"/>
        <w:spacing w:before="40" w:after="40"/>
        <w:rPr/>
      </w:pPr>
      <w:r>
        <w:rPr>
          <w:rFonts w:eastAsia="Arial" w:cs="Arial"/>
          <w:color w:val="1A1A1A"/>
          <w:sz w:val="22"/>
          <w:szCs w:val="22"/>
        </w:rPr>
        <w:t>14. Change Management of Supplier Services</w:t>
      </w:r>
    </w:p>
    <w:p>
      <w:pPr>
        <w:pStyle w:val="Normal"/>
        <w:spacing w:before="40" w:after="40"/>
        <w:rPr/>
      </w:pPr>
      <w:r>
        <w:rPr>
          <w:rFonts w:eastAsia="Arial" w:cs="Arial"/>
          <w:color w:val="1A1A1A"/>
          <w:sz w:val="22"/>
          <w:szCs w:val="22"/>
        </w:rPr>
        <w:t>15. Termination and Off-Boarding</w:t>
      </w:r>
    </w:p>
    <w:p>
      <w:pPr>
        <w:pStyle w:val="Normal"/>
        <w:spacing w:before="40" w:after="40"/>
        <w:rPr/>
      </w:pPr>
      <w:r>
        <w:rPr>
          <w:rFonts w:eastAsia="Arial" w:cs="Arial"/>
          <w:color w:val="1A1A1A"/>
          <w:sz w:val="22"/>
          <w:szCs w:val="22"/>
        </w:rPr>
        <w:t>16. Review and Maintenance</w:t>
      </w:r>
    </w:p>
    <w:p>
      <w:pPr>
        <w:pStyle w:val="Normal"/>
        <w:spacing w:before="40" w:after="40"/>
        <w:rPr/>
      </w:pPr>
      <w:r>
        <w:rPr>
          <w:rFonts w:eastAsia="Arial" w:cs="Arial"/>
          <w:color w:val="1A1A1A"/>
          <w:sz w:val="22"/>
          <w:szCs w:val="22"/>
        </w:rPr>
        <w:t>17. Acknowledgement</w:t>
      </w:r>
    </w:p>
    <w:p>
      <w:pPr>
        <w:pStyle w:val="Normal"/>
        <w:spacing w:before="40" w:after="40"/>
        <w:rPr/>
      </w:pPr>
      <w:r>
        <w:rPr>
          <w:rFonts w:eastAsia="Arial" w:cs="Arial"/>
          <w:color w:val="1A1A1A"/>
          <w:sz w:val="22"/>
          <w:szCs w:val="22"/>
        </w:rPr>
        <w:t>Annex A — Mapping to ISO/IEC 27001:2022</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Supplier Security Policy (the “Policy”) defines how Cloudax Ltd. (“Cloudax”) manages information security risk in its relationships with suppliers, partners, and other third parties.</w:t>
      </w:r>
    </w:p>
    <w:p>
      <w:pPr>
        <w:pStyle w:val="Normal"/>
        <w:spacing w:lineRule="exact" w:line="300" w:before="80" w:after="120"/>
        <w:rPr/>
      </w:pPr>
      <w:r>
        <w:rPr>
          <w:rFonts w:eastAsia="Arial" w:cs="Arial"/>
          <w:color w:val="1A1A1A"/>
          <w:sz w:val="22"/>
          <w:szCs w:val="22"/>
        </w:rPr>
        <w:t>Cloudax delivers a cloud-native conversational AI platform and depends on a small number of cloud service providers, AI model providers, SaaS vendors, and professional services suppliers. The security posture of these suppliers materially affects Cloudax’s own security posture and the trust placed in Cloudax by its customers.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 Policies for information security; A.5.19 Information security in supplier relationships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suppliers and third parties that:</w:t>
      </w:r>
    </w:p>
    <w:p>
      <w:pPr>
        <w:pStyle w:val="ListParagraph"/>
        <w:numPr>
          <w:ilvl w:val="0"/>
          <w:numId w:val="3"/>
        </w:numPr>
        <w:spacing w:lineRule="exact" w:line="280" w:before="40" w:after="40"/>
        <w:rPr/>
      </w:pPr>
      <w:r>
        <w:rPr>
          <w:rFonts w:eastAsia="Arial" w:cs="Arial"/>
          <w:color w:val="1A1A1A"/>
          <w:sz w:val="22"/>
          <w:szCs w:val="22"/>
        </w:rPr>
        <w:t>Process, store, transmit, or have access to Cloudax information.</w:t>
      </w:r>
    </w:p>
    <w:p>
      <w:pPr>
        <w:pStyle w:val="ListParagraph"/>
        <w:numPr>
          <w:ilvl w:val="0"/>
          <w:numId w:val="1"/>
        </w:numPr>
        <w:spacing w:lineRule="exact" w:line="280" w:before="40" w:after="40"/>
        <w:rPr/>
      </w:pPr>
      <w:r>
        <w:rPr>
          <w:rFonts w:eastAsia="Arial" w:cs="Arial"/>
          <w:color w:val="1A1A1A"/>
          <w:sz w:val="22"/>
          <w:szCs w:val="22"/>
        </w:rPr>
        <w:t>Provide infrastructure, platforms, or applications used by Cloudax to deliver its services.</w:t>
      </w:r>
    </w:p>
    <w:p>
      <w:pPr>
        <w:pStyle w:val="ListParagraph"/>
        <w:numPr>
          <w:ilvl w:val="0"/>
          <w:numId w:val="1"/>
        </w:numPr>
        <w:spacing w:lineRule="exact" w:line="280" w:before="40" w:after="40"/>
        <w:rPr/>
      </w:pPr>
      <w:r>
        <w:rPr>
          <w:rFonts w:eastAsia="Arial" w:cs="Arial"/>
          <w:color w:val="1A1A1A"/>
          <w:sz w:val="22"/>
          <w:szCs w:val="22"/>
        </w:rPr>
        <w:t>Develop or operate components of the Cloudax platform on Cloudax’s behalf.</w:t>
      </w:r>
    </w:p>
    <w:p>
      <w:pPr>
        <w:pStyle w:val="ListParagraph"/>
        <w:numPr>
          <w:ilvl w:val="0"/>
          <w:numId w:val="1"/>
        </w:numPr>
        <w:spacing w:lineRule="exact" w:line="280" w:before="40" w:after="40"/>
        <w:rPr/>
      </w:pPr>
      <w:r>
        <w:rPr>
          <w:rFonts w:eastAsia="Arial" w:cs="Arial"/>
          <w:color w:val="1A1A1A"/>
          <w:sz w:val="22"/>
          <w:szCs w:val="22"/>
        </w:rPr>
        <w:t>Have logical or physical access to Cloudax facilities, systems, or accounts.</w:t>
      </w:r>
    </w:p>
    <w:p>
      <w:pPr>
        <w:pStyle w:val="ListParagraph"/>
        <w:numPr>
          <w:ilvl w:val="0"/>
          <w:numId w:val="1"/>
        </w:numPr>
        <w:spacing w:lineRule="exact" w:line="280" w:before="40" w:after="40"/>
        <w:rPr/>
      </w:pPr>
      <w:r>
        <w:rPr>
          <w:rFonts w:eastAsia="Arial" w:cs="Arial"/>
          <w:color w:val="1A1A1A"/>
          <w:sz w:val="22"/>
          <w:szCs w:val="22"/>
        </w:rPr>
        <w:t>Provide professional services where personnel may be exposed to Cloudax information.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 A.5.21 Managing information security in the ICT supply chain; A.5.23 Cloud services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Supplier: </w:t>
      </w:r>
      <w:r>
        <w:rPr>
          <w:rFonts w:eastAsia="Arial" w:cs="Arial"/>
          <w:color w:val="1A1A1A"/>
          <w:sz w:val="22"/>
          <w:szCs w:val="22"/>
        </w:rPr>
        <w:t>any third party that provides goods or services to Cloudax under a contractual arrangement.</w:t>
      </w:r>
    </w:p>
    <w:p>
      <w:pPr>
        <w:pStyle w:val="ListParagraph"/>
        <w:numPr>
          <w:ilvl w:val="0"/>
          <w:numId w:val="1"/>
        </w:numPr>
        <w:spacing w:lineRule="exact" w:line="280" w:before="40" w:after="40"/>
        <w:rPr/>
      </w:pPr>
      <w:r>
        <w:rPr>
          <w:rFonts w:eastAsia="Arial" w:cs="Arial"/>
          <w:b/>
          <w:bCs/>
          <w:color w:val="1A1A1A"/>
          <w:sz w:val="22"/>
          <w:szCs w:val="22"/>
        </w:rPr>
        <w:t xml:space="preserve">Cloud service provider (CSP): </w:t>
      </w:r>
      <w:r>
        <w:rPr>
          <w:rFonts w:eastAsia="Arial" w:cs="Arial"/>
          <w:color w:val="1A1A1A"/>
          <w:sz w:val="22"/>
          <w:szCs w:val="22"/>
        </w:rPr>
        <w:t>a supplier that provides cloud computing services, including IaaS, PaaS, and SaaS.</w:t>
      </w:r>
    </w:p>
    <w:p>
      <w:pPr>
        <w:pStyle w:val="ListParagraph"/>
        <w:numPr>
          <w:ilvl w:val="0"/>
          <w:numId w:val="1"/>
        </w:numPr>
        <w:spacing w:lineRule="exact" w:line="280" w:before="40" w:after="40"/>
        <w:rPr/>
      </w:pPr>
      <w:r>
        <w:rPr>
          <w:rFonts w:eastAsia="Arial" w:cs="Arial"/>
          <w:b/>
          <w:bCs/>
          <w:color w:val="1A1A1A"/>
          <w:sz w:val="22"/>
          <w:szCs w:val="22"/>
        </w:rPr>
        <w:t xml:space="preserve">Sub-processor: </w:t>
      </w:r>
      <w:r>
        <w:rPr>
          <w:rFonts w:eastAsia="Arial" w:cs="Arial"/>
          <w:color w:val="1A1A1A"/>
          <w:sz w:val="22"/>
          <w:szCs w:val="22"/>
        </w:rPr>
        <w:t>a processor engaged by Cloudax to process personal data on behalf of customers, in line with the customer DPA.</w:t>
      </w:r>
    </w:p>
    <w:p>
      <w:pPr>
        <w:pStyle w:val="ListParagraph"/>
        <w:numPr>
          <w:ilvl w:val="0"/>
          <w:numId w:val="1"/>
        </w:numPr>
        <w:spacing w:lineRule="exact" w:line="280" w:before="40" w:after="40"/>
        <w:rPr/>
      </w:pPr>
      <w:r>
        <w:rPr>
          <w:rFonts w:eastAsia="Arial" w:cs="Arial"/>
          <w:b/>
          <w:bCs/>
          <w:color w:val="1A1A1A"/>
          <w:sz w:val="22"/>
          <w:szCs w:val="22"/>
        </w:rPr>
        <w:t xml:space="preserve">Tier: </w:t>
      </w:r>
      <w:r>
        <w:rPr>
          <w:rFonts w:eastAsia="Arial" w:cs="Arial"/>
          <w:color w:val="1A1A1A"/>
          <w:sz w:val="22"/>
          <w:szCs w:val="22"/>
        </w:rPr>
        <w:t>the categorisation of a supplier based on the criticality of the service provided and the sensitivity of information involved.</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Risk-based: </w:t>
      </w:r>
      <w:r>
        <w:rPr>
          <w:rFonts w:eastAsia="Arial" w:cs="Arial"/>
          <w:color w:val="1A1A1A"/>
          <w:sz w:val="22"/>
          <w:szCs w:val="22"/>
        </w:rPr>
        <w:t>supplier security activity is proportionate to the risk presented by the supplier.</w:t>
      </w:r>
    </w:p>
    <w:p>
      <w:pPr>
        <w:pStyle w:val="ListParagraph"/>
        <w:numPr>
          <w:ilvl w:val="0"/>
          <w:numId w:val="1"/>
        </w:numPr>
        <w:spacing w:lineRule="exact" w:line="280" w:before="40" w:after="40"/>
        <w:rPr/>
      </w:pPr>
      <w:r>
        <w:rPr>
          <w:rFonts w:eastAsia="Arial" w:cs="Arial"/>
          <w:b/>
          <w:bCs/>
          <w:color w:val="1A1A1A"/>
          <w:sz w:val="22"/>
          <w:szCs w:val="22"/>
        </w:rPr>
        <w:t xml:space="preserve">Lifecycle-wide: </w:t>
      </w:r>
      <w:r>
        <w:rPr>
          <w:rFonts w:eastAsia="Arial" w:cs="Arial"/>
          <w:color w:val="1A1A1A"/>
          <w:sz w:val="22"/>
          <w:szCs w:val="22"/>
        </w:rPr>
        <w:t>supplier security is addressed at selection, onboarding, in-life management, and termination.</w:t>
      </w:r>
    </w:p>
    <w:p>
      <w:pPr>
        <w:pStyle w:val="ListParagraph"/>
        <w:numPr>
          <w:ilvl w:val="0"/>
          <w:numId w:val="1"/>
        </w:numPr>
        <w:spacing w:lineRule="exact" w:line="280" w:before="40" w:after="40"/>
        <w:rPr/>
      </w:pPr>
      <w:r>
        <w:rPr>
          <w:rFonts w:eastAsia="Arial" w:cs="Arial"/>
          <w:b/>
          <w:bCs/>
          <w:color w:val="1A1A1A"/>
          <w:sz w:val="22"/>
          <w:szCs w:val="22"/>
        </w:rPr>
        <w:t xml:space="preserve">Contractual: </w:t>
      </w:r>
      <w:r>
        <w:rPr>
          <w:rFonts w:eastAsia="Arial" w:cs="Arial"/>
          <w:color w:val="1A1A1A"/>
          <w:sz w:val="22"/>
          <w:szCs w:val="22"/>
        </w:rPr>
        <w:t>information security obligations are flowed down to suppliers through written contracts.</w:t>
      </w:r>
    </w:p>
    <w:p>
      <w:pPr>
        <w:pStyle w:val="ListParagraph"/>
        <w:numPr>
          <w:ilvl w:val="0"/>
          <w:numId w:val="1"/>
        </w:numPr>
        <w:spacing w:lineRule="exact" w:line="280" w:before="40" w:after="40"/>
        <w:rPr/>
      </w:pPr>
      <w:r>
        <w:rPr>
          <w:rFonts w:eastAsia="Arial" w:cs="Arial"/>
          <w:b/>
          <w:bCs/>
          <w:color w:val="1A1A1A"/>
          <w:sz w:val="22"/>
          <w:szCs w:val="22"/>
        </w:rPr>
        <w:t xml:space="preserve">Verifiable: </w:t>
      </w:r>
      <w:r>
        <w:rPr>
          <w:rFonts w:eastAsia="Arial" w:cs="Arial"/>
          <w:color w:val="1A1A1A"/>
          <w:sz w:val="22"/>
          <w:szCs w:val="22"/>
        </w:rPr>
        <w:t>supplier security claims are verified through evidence proportionate to the tier.</w:t>
      </w:r>
    </w:p>
    <w:p>
      <w:pPr>
        <w:pStyle w:val="ListParagraph"/>
        <w:numPr>
          <w:ilvl w:val="0"/>
          <w:numId w:val="1"/>
        </w:numPr>
        <w:spacing w:lineRule="exact" w:line="280" w:before="40" w:after="40"/>
        <w:rPr/>
      </w:pPr>
      <w:r>
        <w:rPr>
          <w:rFonts w:eastAsia="Arial" w:cs="Arial"/>
          <w:b/>
          <w:bCs/>
          <w:color w:val="1A1A1A"/>
          <w:sz w:val="22"/>
          <w:szCs w:val="22"/>
        </w:rPr>
        <w:t xml:space="preserve">Transparent: </w:t>
      </w:r>
      <w:r>
        <w:rPr>
          <w:rFonts w:eastAsia="Arial" w:cs="Arial"/>
          <w:color w:val="1A1A1A"/>
          <w:sz w:val="22"/>
          <w:szCs w:val="22"/>
        </w:rPr>
        <w:t>the supplier landscape is documented and made available to customers and auditors as appropriate.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 Information security in supplier relationships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Information Security Lead: </w:t>
      </w:r>
      <w:r>
        <w:rPr>
          <w:rFonts w:eastAsia="Arial" w:cs="Arial"/>
          <w:color w:val="1A1A1A"/>
          <w:sz w:val="22"/>
          <w:szCs w:val="22"/>
        </w:rPr>
        <w:t>owns this Policy and the supplier security assurance programme; approves supplier engagements at Tier 1 and Tier 2.</w:t>
      </w:r>
    </w:p>
    <w:p>
      <w:pPr>
        <w:pStyle w:val="ListParagraph"/>
        <w:numPr>
          <w:ilvl w:val="0"/>
          <w:numId w:val="1"/>
        </w:numPr>
        <w:spacing w:lineRule="exact" w:line="280" w:before="40" w:after="40"/>
        <w:rPr/>
      </w:pPr>
      <w:r>
        <w:rPr>
          <w:rFonts w:eastAsia="Arial" w:cs="Arial"/>
          <w:b/>
          <w:bCs/>
          <w:color w:val="1A1A1A"/>
          <w:sz w:val="22"/>
          <w:szCs w:val="22"/>
        </w:rPr>
        <w:t xml:space="preserve">Data Protection Lead: </w:t>
      </w:r>
      <w:r>
        <w:rPr>
          <w:rFonts w:eastAsia="Arial" w:cs="Arial"/>
          <w:color w:val="1A1A1A"/>
          <w:sz w:val="22"/>
          <w:szCs w:val="22"/>
        </w:rPr>
        <w:t>approves supplier engagements involving personal data and ensures appropriate data processing agreements are in place.</w:t>
      </w:r>
    </w:p>
    <w:p>
      <w:pPr>
        <w:pStyle w:val="ListParagraph"/>
        <w:numPr>
          <w:ilvl w:val="0"/>
          <w:numId w:val="1"/>
        </w:numPr>
        <w:spacing w:lineRule="exact" w:line="280" w:before="40" w:after="40"/>
        <w:rPr/>
      </w:pPr>
      <w:r>
        <w:rPr>
          <w:rFonts w:eastAsia="Arial" w:cs="Arial"/>
          <w:b/>
          <w:bCs/>
          <w:color w:val="1A1A1A"/>
          <w:sz w:val="22"/>
          <w:szCs w:val="22"/>
        </w:rPr>
        <w:t xml:space="preserve">Engineering Lead: </w:t>
      </w:r>
      <w:r>
        <w:rPr>
          <w:rFonts w:eastAsia="Arial" w:cs="Arial"/>
          <w:color w:val="1A1A1A"/>
          <w:sz w:val="22"/>
          <w:szCs w:val="22"/>
        </w:rPr>
        <w:t>identifies technical security requirements for cloud and platform suppliers and verifies their implementation.</w:t>
      </w:r>
    </w:p>
    <w:p>
      <w:pPr>
        <w:pStyle w:val="ListParagraph"/>
        <w:numPr>
          <w:ilvl w:val="0"/>
          <w:numId w:val="1"/>
        </w:numPr>
        <w:spacing w:lineRule="exact" w:line="280" w:before="40" w:after="40"/>
        <w:rPr/>
      </w:pPr>
      <w:r>
        <w:rPr>
          <w:rFonts w:eastAsia="Arial" w:cs="Arial"/>
          <w:b/>
          <w:bCs/>
          <w:color w:val="1A1A1A"/>
          <w:sz w:val="22"/>
          <w:szCs w:val="22"/>
        </w:rPr>
        <w:t xml:space="preserve">Supplier owners: </w:t>
      </w:r>
      <w:r>
        <w:rPr>
          <w:rFonts w:eastAsia="Arial" w:cs="Arial"/>
          <w:color w:val="1A1A1A"/>
          <w:sz w:val="22"/>
          <w:szCs w:val="22"/>
        </w:rPr>
        <w:t>the named individual within Cloudax responsible for the day-to-day relationship with each supplier.</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 Roles and responsibilities; A.5.19 Supplier relationships</w:t>
      </w:r>
    </w:p>
    <w:p>
      <w:pPr>
        <w:pStyle w:val="Heading1"/>
        <w:spacing w:before="360" w:after="180"/>
        <w:rPr/>
      </w:pPr>
      <w:r>
        <w:rPr>
          <w:rFonts w:eastAsia="Arial" w:cs="Arial" w:ascii="Arial" w:hAnsi="Arial"/>
          <w:b/>
          <w:bCs/>
          <w:color w:val="0000FF"/>
          <w:sz w:val="36"/>
          <w:szCs w:val="36"/>
        </w:rPr>
        <w:t>6. Supplier Inventory and Tiering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maintains a Supplier Inventory (ISMS-REG-007) recording each supplier, the service provided, the supplier owner, the data classification involved, and the assigned tier. Suppliers are tiered as follows:</w:t>
      </w:r>
    </w:p>
    <w:p>
      <w:pPr>
        <w:pStyle w:val="ListParagraph"/>
        <w:numPr>
          <w:ilvl w:val="0"/>
          <w:numId w:val="1"/>
        </w:numPr>
        <w:spacing w:lineRule="exact" w:line="280" w:before="40" w:after="40"/>
        <w:rPr/>
      </w:pPr>
      <w:r>
        <w:rPr>
          <w:rFonts w:eastAsia="Arial" w:cs="Arial"/>
          <w:b/>
          <w:bCs/>
          <w:color w:val="1A1A1A"/>
          <w:sz w:val="22"/>
          <w:szCs w:val="22"/>
        </w:rPr>
        <w:t xml:space="preserve">Tier 1 — Critical: </w:t>
      </w:r>
      <w:r>
        <w:rPr>
          <w:rFonts w:eastAsia="Arial" w:cs="Arial"/>
          <w:color w:val="1A1A1A"/>
          <w:sz w:val="22"/>
          <w:szCs w:val="22"/>
        </w:rPr>
        <w:t>suppliers whose failure or compromise could cause severe disruption to Cloudax services or material loss of customer data (e.g. primary cloud service provider, AI model provider hosting customer data).</w:t>
      </w:r>
    </w:p>
    <w:p>
      <w:pPr>
        <w:pStyle w:val="ListParagraph"/>
        <w:numPr>
          <w:ilvl w:val="0"/>
          <w:numId w:val="1"/>
        </w:numPr>
        <w:spacing w:lineRule="exact" w:line="280" w:before="40" w:after="40"/>
        <w:rPr/>
      </w:pPr>
      <w:r>
        <w:rPr>
          <w:rFonts w:eastAsia="Arial" w:cs="Arial"/>
          <w:b/>
          <w:bCs/>
          <w:color w:val="1A1A1A"/>
          <w:sz w:val="22"/>
          <w:szCs w:val="22"/>
        </w:rPr>
        <w:t xml:space="preserve">Tier 2 — Important: </w:t>
      </w:r>
      <w:r>
        <w:rPr>
          <w:rFonts w:eastAsia="Arial" w:cs="Arial"/>
          <w:color w:val="1A1A1A"/>
          <w:sz w:val="22"/>
          <w:szCs w:val="22"/>
        </w:rPr>
        <w:t>suppliers processing or accessing Confidential or Restricted information, or supporting business-critical operations (e.g. identity provider, productivity suite, source code platform).</w:t>
      </w:r>
    </w:p>
    <w:p>
      <w:pPr>
        <w:pStyle w:val="ListParagraph"/>
        <w:numPr>
          <w:ilvl w:val="0"/>
          <w:numId w:val="1"/>
        </w:numPr>
        <w:spacing w:lineRule="exact" w:line="280" w:before="40" w:after="40"/>
        <w:rPr/>
      </w:pPr>
      <w:r>
        <w:rPr>
          <w:rFonts w:eastAsia="Arial" w:cs="Arial"/>
          <w:b/>
          <w:bCs/>
          <w:color w:val="1A1A1A"/>
          <w:sz w:val="22"/>
          <w:szCs w:val="22"/>
        </w:rPr>
        <w:t xml:space="preserve">Tier 3 — Standard: </w:t>
      </w:r>
      <w:r>
        <w:rPr>
          <w:rFonts w:eastAsia="Arial" w:cs="Arial"/>
          <w:color w:val="1A1A1A"/>
          <w:sz w:val="22"/>
          <w:szCs w:val="22"/>
        </w:rPr>
        <w:t>suppliers with limited access to Cloudax information or with non-critical roles (e.g. marketing tools without customer data).</w:t>
      </w:r>
    </w:p>
    <w:p>
      <w:pPr>
        <w:pStyle w:val="ListParagraph"/>
        <w:numPr>
          <w:ilvl w:val="0"/>
          <w:numId w:val="1"/>
        </w:numPr>
        <w:spacing w:lineRule="exact" w:line="280" w:before="40" w:after="40"/>
        <w:rPr/>
      </w:pPr>
      <w:r>
        <w:rPr>
          <w:rFonts w:eastAsia="Arial" w:cs="Arial"/>
          <w:b/>
          <w:bCs/>
          <w:color w:val="1A1A1A"/>
          <w:sz w:val="22"/>
          <w:szCs w:val="22"/>
        </w:rPr>
        <w:t xml:space="preserve">Tier 4 — Minimal: </w:t>
      </w:r>
      <w:r>
        <w:rPr>
          <w:rFonts w:eastAsia="Arial" w:cs="Arial"/>
          <w:color w:val="1A1A1A"/>
          <w:sz w:val="22"/>
          <w:szCs w:val="22"/>
        </w:rPr>
        <w:t>suppliers with no access to Cloudax information (e.g. office consumables).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 A.5.21 ICT supply chain</w:t>
      </w:r>
    </w:p>
    <w:p>
      <w:pPr>
        <w:pStyle w:val="Heading1"/>
        <w:spacing w:before="360" w:after="180"/>
        <w:rPr/>
      </w:pPr>
      <w:r>
        <w:rPr>
          <w:rFonts w:eastAsia="Arial" w:cs="Arial" w:ascii="Arial" w:hAnsi="Arial"/>
          <w:b/>
          <w:bCs/>
          <w:color w:val="0000FF"/>
          <w:sz w:val="36"/>
          <w:szCs w:val="36"/>
        </w:rPr>
        <w:t>7. Supplier Selection and Onboarding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new suppliers in scope of this Policy are onboarded through the Supplier and Cloud Service Approval Procedure (ISMS-PRC-007). Activities include:</w:t>
      </w:r>
    </w:p>
    <w:p>
      <w:pPr>
        <w:pStyle w:val="ListParagraph"/>
        <w:numPr>
          <w:ilvl w:val="0"/>
          <w:numId w:val="1"/>
        </w:numPr>
        <w:spacing w:lineRule="exact" w:line="280" w:before="40" w:after="40"/>
        <w:rPr/>
      </w:pPr>
      <w:r>
        <w:rPr>
          <w:rFonts w:eastAsia="Arial" w:cs="Arial"/>
          <w:color w:val="1A1A1A"/>
          <w:sz w:val="22"/>
          <w:szCs w:val="22"/>
        </w:rPr>
        <w:t>Identification of the data classification, processing role, and tier of the proposed engagement.</w:t>
      </w:r>
    </w:p>
    <w:p>
      <w:pPr>
        <w:pStyle w:val="ListParagraph"/>
        <w:numPr>
          <w:ilvl w:val="0"/>
          <w:numId w:val="1"/>
        </w:numPr>
        <w:spacing w:lineRule="exact" w:line="280" w:before="40" w:after="40"/>
        <w:rPr/>
      </w:pPr>
      <w:r>
        <w:rPr>
          <w:rFonts w:eastAsia="Arial" w:cs="Arial"/>
          <w:color w:val="1A1A1A"/>
          <w:sz w:val="22"/>
          <w:szCs w:val="22"/>
        </w:rPr>
        <w:t>Collection of supplier security evidence proportionate to the tier (e.g. ISO/IEC 27001 certificate, SOC 2 report, security questionnaire responses, penetration test summaries).</w:t>
      </w:r>
    </w:p>
    <w:p>
      <w:pPr>
        <w:pStyle w:val="ListParagraph"/>
        <w:numPr>
          <w:ilvl w:val="0"/>
          <w:numId w:val="1"/>
        </w:numPr>
        <w:spacing w:lineRule="exact" w:line="280" w:before="40" w:after="40"/>
        <w:rPr/>
      </w:pPr>
      <w:r>
        <w:rPr>
          <w:rFonts w:eastAsia="Arial" w:cs="Arial"/>
          <w:color w:val="1A1A1A"/>
          <w:sz w:val="22"/>
          <w:szCs w:val="22"/>
        </w:rPr>
        <w:t>Review of any open material findings, certifications, or breaches.</w:t>
      </w:r>
    </w:p>
    <w:p>
      <w:pPr>
        <w:pStyle w:val="ListParagraph"/>
        <w:numPr>
          <w:ilvl w:val="0"/>
          <w:numId w:val="1"/>
        </w:numPr>
        <w:spacing w:lineRule="exact" w:line="280" w:before="40" w:after="40"/>
        <w:rPr/>
      </w:pPr>
      <w:r>
        <w:rPr>
          <w:rFonts w:eastAsia="Arial" w:cs="Arial"/>
          <w:color w:val="1A1A1A"/>
          <w:sz w:val="22"/>
          <w:szCs w:val="22"/>
        </w:rPr>
        <w:t>For Tier 1 and Tier 2 suppliers, a written security assessment with sign-off by the Information Security Lead.</w:t>
      </w:r>
    </w:p>
    <w:p>
      <w:pPr>
        <w:pStyle w:val="ListParagraph"/>
        <w:numPr>
          <w:ilvl w:val="0"/>
          <w:numId w:val="1"/>
        </w:numPr>
        <w:spacing w:lineRule="exact" w:line="280" w:before="40" w:after="40"/>
        <w:rPr/>
      </w:pPr>
      <w:r>
        <w:rPr>
          <w:rFonts w:eastAsia="Arial" w:cs="Arial"/>
          <w:color w:val="1A1A1A"/>
          <w:sz w:val="22"/>
          <w:szCs w:val="22"/>
        </w:rPr>
        <w:t>For suppliers processing personal data, a Data Protection Lead review of the data processing agreement and any sub-processors.</w:t>
      </w:r>
    </w:p>
    <w:p>
      <w:pPr>
        <w:pStyle w:val="ListParagraph"/>
        <w:numPr>
          <w:ilvl w:val="0"/>
          <w:numId w:val="1"/>
        </w:numPr>
        <w:spacing w:lineRule="exact" w:line="280" w:before="40" w:after="40"/>
        <w:rPr/>
      </w:pPr>
      <w:r>
        <w:rPr>
          <w:rFonts w:eastAsia="Arial" w:cs="Arial"/>
          <w:color w:val="1A1A1A"/>
          <w:sz w:val="22"/>
          <w:szCs w:val="22"/>
        </w:rPr>
        <w:t>Recording of the engagement in the Supplier Inventory and the supplier-related risk register entries.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 A.5.20 Addressing information security within supplier agreements; A.5.34 Privacy and protection of PII</w:t>
      </w:r>
    </w:p>
    <w:p>
      <w:pPr>
        <w:pStyle w:val="Heading1"/>
        <w:spacing w:before="360" w:after="180"/>
        <w:rPr/>
      </w:pPr>
      <w:r>
        <w:rPr>
          <w:rFonts w:eastAsia="Arial" w:cs="Arial" w:ascii="Arial" w:hAnsi="Arial"/>
          <w:b/>
          <w:bCs/>
          <w:color w:val="0000FF"/>
          <w:sz w:val="36"/>
          <w:szCs w:val="36"/>
        </w:rPr>
        <w:t>8. Contractual Security Requirements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Cloudax’s standard supplier contracts include information security clauses appropriate to the tier, covering:</w:t>
      </w:r>
    </w:p>
    <w:p>
      <w:pPr>
        <w:pStyle w:val="ListParagraph"/>
        <w:numPr>
          <w:ilvl w:val="0"/>
          <w:numId w:val="1"/>
        </w:numPr>
        <w:spacing w:lineRule="exact" w:line="280" w:before="40" w:after="40"/>
        <w:rPr/>
      </w:pPr>
      <w:r>
        <w:rPr>
          <w:rFonts w:eastAsia="Arial" w:cs="Arial"/>
          <w:color w:val="1A1A1A"/>
          <w:sz w:val="22"/>
          <w:szCs w:val="22"/>
        </w:rPr>
        <w:t>Confidentiality and non-disclosure.</w:t>
      </w:r>
    </w:p>
    <w:p>
      <w:pPr>
        <w:pStyle w:val="ListParagraph"/>
        <w:numPr>
          <w:ilvl w:val="0"/>
          <w:numId w:val="1"/>
        </w:numPr>
        <w:spacing w:lineRule="exact" w:line="280" w:before="40" w:after="40"/>
        <w:rPr/>
      </w:pPr>
      <w:r>
        <w:rPr>
          <w:rFonts w:eastAsia="Arial" w:cs="Arial"/>
          <w:color w:val="1A1A1A"/>
          <w:sz w:val="22"/>
          <w:szCs w:val="22"/>
        </w:rPr>
        <w:t>Information security responsibilities, including alignment with recognised standards (e.g. ISO/IEC 27001, SOC 2).</w:t>
      </w:r>
    </w:p>
    <w:p>
      <w:pPr>
        <w:pStyle w:val="ListParagraph"/>
        <w:numPr>
          <w:ilvl w:val="0"/>
          <w:numId w:val="1"/>
        </w:numPr>
        <w:spacing w:lineRule="exact" w:line="280" w:before="40" w:after="40"/>
        <w:rPr/>
      </w:pPr>
      <w:r>
        <w:rPr>
          <w:rFonts w:eastAsia="Arial" w:cs="Arial"/>
          <w:color w:val="1A1A1A"/>
          <w:sz w:val="22"/>
          <w:szCs w:val="22"/>
        </w:rPr>
        <w:t>Data protection (Article 28 UK GDPR clauses where applicable, including international transfer safeguards).</w:t>
      </w:r>
    </w:p>
    <w:p>
      <w:pPr>
        <w:pStyle w:val="ListParagraph"/>
        <w:numPr>
          <w:ilvl w:val="0"/>
          <w:numId w:val="1"/>
        </w:numPr>
        <w:spacing w:lineRule="exact" w:line="280" w:before="40" w:after="40"/>
        <w:rPr/>
      </w:pPr>
      <w:r>
        <w:rPr>
          <w:rFonts w:eastAsia="Arial" w:cs="Arial"/>
          <w:color w:val="1A1A1A"/>
          <w:sz w:val="22"/>
          <w:szCs w:val="22"/>
        </w:rPr>
        <w:t>Security incident notification, including timeframes.</w:t>
      </w:r>
    </w:p>
    <w:p>
      <w:pPr>
        <w:pStyle w:val="ListParagraph"/>
        <w:numPr>
          <w:ilvl w:val="0"/>
          <w:numId w:val="1"/>
        </w:numPr>
        <w:spacing w:lineRule="exact" w:line="280" w:before="40" w:after="40"/>
        <w:rPr/>
      </w:pPr>
      <w:r>
        <w:rPr>
          <w:rFonts w:eastAsia="Arial" w:cs="Arial"/>
          <w:color w:val="1A1A1A"/>
          <w:sz w:val="22"/>
          <w:szCs w:val="22"/>
        </w:rPr>
        <w:t>Sub-processing controls, including prior approval and flow-down requirements.</w:t>
      </w:r>
    </w:p>
    <w:p>
      <w:pPr>
        <w:pStyle w:val="ListParagraph"/>
        <w:numPr>
          <w:ilvl w:val="0"/>
          <w:numId w:val="1"/>
        </w:numPr>
        <w:spacing w:lineRule="exact" w:line="280" w:before="40" w:after="40"/>
        <w:rPr/>
      </w:pPr>
      <w:r>
        <w:rPr>
          <w:rFonts w:eastAsia="Arial" w:cs="Arial"/>
          <w:color w:val="1A1A1A"/>
          <w:sz w:val="22"/>
          <w:szCs w:val="22"/>
        </w:rPr>
        <w:t>Audit and assurance rights, or equivalent third-party audit reporting.</w:t>
      </w:r>
    </w:p>
    <w:p>
      <w:pPr>
        <w:pStyle w:val="ListParagraph"/>
        <w:numPr>
          <w:ilvl w:val="0"/>
          <w:numId w:val="1"/>
        </w:numPr>
        <w:spacing w:lineRule="exact" w:line="280" w:before="40" w:after="40"/>
        <w:rPr/>
      </w:pPr>
      <w:r>
        <w:rPr>
          <w:rFonts w:eastAsia="Arial" w:cs="Arial"/>
          <w:color w:val="1A1A1A"/>
          <w:sz w:val="22"/>
          <w:szCs w:val="22"/>
        </w:rPr>
        <w:t>Return or secure deletion of Cloudax information on termination.</w:t>
      </w:r>
    </w:p>
    <w:p>
      <w:pPr>
        <w:pStyle w:val="ListParagraph"/>
        <w:numPr>
          <w:ilvl w:val="0"/>
          <w:numId w:val="1"/>
        </w:numPr>
        <w:spacing w:lineRule="exact" w:line="280" w:before="40" w:after="40"/>
        <w:rPr/>
      </w:pPr>
      <w:r>
        <w:rPr>
          <w:rFonts w:eastAsia="Arial" w:cs="Arial"/>
          <w:color w:val="1A1A1A"/>
          <w:sz w:val="22"/>
          <w:szCs w:val="22"/>
        </w:rPr>
        <w:t>Liability and indemnities for security and data protection failures.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A.5.20 Addressing information security within supplier agreements</w:t>
      </w:r>
    </w:p>
    <w:p>
      <w:pPr>
        <w:pStyle w:val="Heading1"/>
        <w:spacing w:before="360" w:after="180"/>
        <w:rPr/>
      </w:pPr>
      <w:r>
        <w:rPr>
          <w:rFonts w:eastAsia="Arial" w:cs="Arial" w:ascii="Arial" w:hAnsi="Arial"/>
          <w:b/>
          <w:bCs/>
          <w:color w:val="0000FF"/>
          <w:sz w:val="36"/>
          <w:szCs w:val="36"/>
        </w:rPr>
        <w:t>9. Cloud Service Providers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Cloudax’s services depend on cloud service providers. Specific controls applied to CSPs include:</w:t>
      </w:r>
    </w:p>
    <w:p>
      <w:pPr>
        <w:pStyle w:val="ListParagraph"/>
        <w:numPr>
          <w:ilvl w:val="0"/>
          <w:numId w:val="1"/>
        </w:numPr>
        <w:spacing w:lineRule="exact" w:line="280" w:before="40" w:after="40"/>
        <w:rPr/>
      </w:pPr>
      <w:r>
        <w:rPr>
          <w:rFonts w:eastAsia="Arial" w:cs="Arial"/>
          <w:color w:val="1A1A1A"/>
          <w:sz w:val="22"/>
          <w:szCs w:val="22"/>
        </w:rPr>
        <w:t>Use of established CSPs with mature, recognised security programmes and relevant certifications.</w:t>
      </w:r>
    </w:p>
    <w:p>
      <w:pPr>
        <w:pStyle w:val="ListParagraph"/>
        <w:numPr>
          <w:ilvl w:val="0"/>
          <w:numId w:val="1"/>
        </w:numPr>
        <w:spacing w:lineRule="exact" w:line="280" w:before="40" w:after="40"/>
        <w:rPr/>
      </w:pPr>
      <w:r>
        <w:rPr>
          <w:rFonts w:eastAsia="Arial" w:cs="Arial"/>
          <w:color w:val="1A1A1A"/>
          <w:sz w:val="22"/>
          <w:szCs w:val="22"/>
        </w:rPr>
        <w:t>A clear understanding and documentation of the shared responsibility model for each CSP service used.</w:t>
      </w:r>
    </w:p>
    <w:p>
      <w:pPr>
        <w:pStyle w:val="ListParagraph"/>
        <w:numPr>
          <w:ilvl w:val="0"/>
          <w:numId w:val="1"/>
        </w:numPr>
        <w:spacing w:lineRule="exact" w:line="280" w:before="40" w:after="40"/>
        <w:rPr/>
      </w:pPr>
      <w:r>
        <w:rPr>
          <w:rFonts w:eastAsia="Arial" w:cs="Arial"/>
          <w:color w:val="1A1A1A"/>
          <w:sz w:val="22"/>
          <w:szCs w:val="22"/>
        </w:rPr>
        <w:t>Configuration of CSP services in accordance with hardening baselines, including identity, network, encryption, and logging configuration.</w:t>
      </w:r>
    </w:p>
    <w:p>
      <w:pPr>
        <w:pStyle w:val="ListParagraph"/>
        <w:numPr>
          <w:ilvl w:val="0"/>
          <w:numId w:val="1"/>
        </w:numPr>
        <w:spacing w:lineRule="exact" w:line="280" w:before="40" w:after="40"/>
        <w:rPr/>
      </w:pPr>
      <w:r>
        <w:rPr>
          <w:rFonts w:eastAsia="Arial" w:cs="Arial"/>
          <w:color w:val="1A1A1A"/>
          <w:sz w:val="22"/>
          <w:szCs w:val="22"/>
        </w:rPr>
        <w:t>Regular review of CSP security advisories and operational status.</w:t>
      </w:r>
    </w:p>
    <w:p>
      <w:pPr>
        <w:pStyle w:val="ListParagraph"/>
        <w:numPr>
          <w:ilvl w:val="0"/>
          <w:numId w:val="1"/>
        </w:numPr>
        <w:spacing w:lineRule="exact" w:line="280" w:before="40" w:after="40"/>
        <w:rPr/>
      </w:pPr>
      <w:r>
        <w:rPr>
          <w:rFonts w:eastAsia="Arial" w:cs="Arial"/>
          <w:color w:val="1A1A1A"/>
          <w:sz w:val="22"/>
          <w:szCs w:val="22"/>
        </w:rPr>
        <w:t>Where personal data or Restricted information is processed, contractual data residency and transfer controls.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A.5.23 Information security for use of cloud services</w:t>
      </w:r>
    </w:p>
    <w:p>
      <w:pPr>
        <w:pStyle w:val="Heading1"/>
        <w:spacing w:before="360" w:after="180"/>
        <w:rPr/>
      </w:pPr>
      <w:r>
        <w:rPr>
          <w:rFonts w:eastAsia="Arial" w:cs="Arial" w:ascii="Arial" w:hAnsi="Arial"/>
          <w:b/>
          <w:bCs/>
          <w:color w:val="0000FF"/>
          <w:sz w:val="36"/>
          <w:szCs w:val="36"/>
        </w:rPr>
        <w:t>10. AI and Machine Learning Suppliers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 and ML suppliers (model providers, hosted inference services, embedding services, evaluation tools) introduce specific risks. For these suppliers, additional considerations apply:</w:t>
      </w:r>
    </w:p>
    <w:p>
      <w:pPr>
        <w:pStyle w:val="ListParagraph"/>
        <w:numPr>
          <w:ilvl w:val="0"/>
          <w:numId w:val="1"/>
        </w:numPr>
        <w:spacing w:lineRule="exact" w:line="280" w:before="40" w:after="40"/>
        <w:rPr/>
      </w:pPr>
      <w:r>
        <w:rPr>
          <w:rFonts w:eastAsia="Arial" w:cs="Arial"/>
          <w:color w:val="1A1A1A"/>
          <w:sz w:val="22"/>
          <w:szCs w:val="22"/>
        </w:rPr>
        <w:t>The data submitted to the AI service is identified, classified, and assessed against contractual permissions.</w:t>
      </w:r>
    </w:p>
    <w:p>
      <w:pPr>
        <w:pStyle w:val="ListParagraph"/>
        <w:numPr>
          <w:ilvl w:val="0"/>
          <w:numId w:val="1"/>
        </w:numPr>
        <w:spacing w:lineRule="exact" w:line="280" w:before="40" w:after="40"/>
        <w:rPr/>
      </w:pPr>
      <w:r>
        <w:rPr>
          <w:rFonts w:eastAsia="Arial" w:cs="Arial"/>
          <w:color w:val="1A1A1A"/>
          <w:sz w:val="22"/>
          <w:szCs w:val="22"/>
        </w:rPr>
        <w:t>Whether the supplier may use Cloudax inputs or customer data to train or improve models is documented and governed contractually — with default-off where supported.</w:t>
      </w:r>
    </w:p>
    <w:p>
      <w:pPr>
        <w:pStyle w:val="ListParagraph"/>
        <w:numPr>
          <w:ilvl w:val="0"/>
          <w:numId w:val="1"/>
        </w:numPr>
        <w:spacing w:lineRule="exact" w:line="280" w:before="40" w:after="40"/>
        <w:rPr/>
      </w:pPr>
      <w:r>
        <w:rPr>
          <w:rFonts w:eastAsia="Arial" w:cs="Arial"/>
          <w:color w:val="1A1A1A"/>
          <w:sz w:val="22"/>
          <w:szCs w:val="22"/>
        </w:rPr>
        <w:t>Hosting region, data residency, and international transfer safeguards are documented.</w:t>
      </w:r>
    </w:p>
    <w:p>
      <w:pPr>
        <w:pStyle w:val="ListParagraph"/>
        <w:numPr>
          <w:ilvl w:val="0"/>
          <w:numId w:val="1"/>
        </w:numPr>
        <w:spacing w:lineRule="exact" w:line="280" w:before="40" w:after="40"/>
        <w:rPr/>
      </w:pPr>
      <w:r>
        <w:rPr>
          <w:rFonts w:eastAsia="Arial" w:cs="Arial"/>
          <w:color w:val="1A1A1A"/>
          <w:sz w:val="22"/>
          <w:szCs w:val="22"/>
        </w:rPr>
        <w:t>The use of the AI supplier is recorded in the Cloudax AI Use Register and reflected in customer-facing documentation where appropriate.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A.5.23 Cloud services; A.5.34 Privacy and protection of PII; A.8.12 Data leakage prevention</w:t>
      </w:r>
    </w:p>
    <w:p>
      <w:pPr>
        <w:pStyle w:val="Heading1"/>
        <w:spacing w:before="360" w:after="180"/>
        <w:rPr/>
      </w:pPr>
      <w:r>
        <w:rPr>
          <w:rFonts w:eastAsia="Arial" w:cs="Arial" w:ascii="Arial" w:hAnsi="Arial"/>
          <w:b/>
          <w:bCs/>
          <w:color w:val="0000FF"/>
          <w:sz w:val="36"/>
          <w:szCs w:val="36"/>
        </w:rPr>
        <w:t>11. Sub-Processors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Where Cloudax engages sub-processors, the customer is informed in accordance with the relevant data processing agreement. Cloudax maintains a current list of sub-processors and notifies customers of changes in the timeframe required by the DPA.</w:t>
      </w:r>
    </w:p>
    <w:p>
      <w:pPr>
        <w:pStyle w:val="Normal"/>
        <w:spacing w:lineRule="exact" w:line="300" w:before="80" w:after="120"/>
        <w:rPr/>
      </w:pPr>
      <w:r>
        <w:rPr>
          <w:rFonts w:eastAsia="Arial" w:cs="Arial"/>
          <w:color w:val="1A1A1A"/>
          <w:sz w:val="22"/>
          <w:szCs w:val="22"/>
        </w:rPr>
        <w:t>Sub-processor engagements are subject to the same selection, contractual, and assurance requirements as direct supplier engagements, plus the data protection requirements of Article 28 UK GDPR.</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A.5.19–A.5.22; A.5.34</w:t>
      </w:r>
    </w:p>
    <w:p>
      <w:pPr>
        <w:pStyle w:val="Heading1"/>
        <w:spacing w:before="360" w:after="180"/>
        <w:rPr/>
      </w:pPr>
      <w:r>
        <w:rPr>
          <w:rFonts w:eastAsia="Arial" w:cs="Arial" w:ascii="Arial" w:hAnsi="Arial"/>
          <w:b/>
          <w:bCs/>
          <w:color w:val="0000FF"/>
          <w:sz w:val="36"/>
          <w:szCs w:val="36"/>
        </w:rPr>
        <w:t>12. Ongoing Monitoring and Assurance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Suppliers are monitored throughout the relationship in line with their tier:</w:t>
      </w:r>
    </w:p>
    <w:p>
      <w:pPr>
        <w:pStyle w:val="ListParagraph"/>
        <w:numPr>
          <w:ilvl w:val="0"/>
          <w:numId w:val="1"/>
        </w:numPr>
        <w:spacing w:lineRule="exact" w:line="280" w:before="40" w:after="40"/>
        <w:rPr/>
      </w:pPr>
      <w:r>
        <w:rPr>
          <w:rFonts w:eastAsia="Arial" w:cs="Arial"/>
          <w:color w:val="1A1A1A"/>
          <w:sz w:val="22"/>
          <w:szCs w:val="22"/>
        </w:rPr>
        <w:t>Tier 1 — review of certifications and assurance reports at least annually; review of incidents and material changes within 30 days; periodic relationship review.</w:t>
      </w:r>
    </w:p>
    <w:p>
      <w:pPr>
        <w:pStyle w:val="ListParagraph"/>
        <w:numPr>
          <w:ilvl w:val="0"/>
          <w:numId w:val="1"/>
        </w:numPr>
        <w:spacing w:lineRule="exact" w:line="280" w:before="40" w:after="40"/>
        <w:rPr/>
      </w:pPr>
      <w:r>
        <w:rPr>
          <w:rFonts w:eastAsia="Arial" w:cs="Arial"/>
          <w:color w:val="1A1A1A"/>
          <w:sz w:val="22"/>
          <w:szCs w:val="22"/>
        </w:rPr>
        <w:t>Tier 2 — review of certifications and assurance reports at least annually.</w:t>
      </w:r>
    </w:p>
    <w:p>
      <w:pPr>
        <w:pStyle w:val="ListParagraph"/>
        <w:numPr>
          <w:ilvl w:val="0"/>
          <w:numId w:val="1"/>
        </w:numPr>
        <w:spacing w:lineRule="exact" w:line="280" w:before="40" w:after="40"/>
        <w:rPr/>
      </w:pPr>
      <w:r>
        <w:rPr>
          <w:rFonts w:eastAsia="Arial" w:cs="Arial"/>
          <w:color w:val="1A1A1A"/>
          <w:sz w:val="22"/>
          <w:szCs w:val="22"/>
        </w:rPr>
        <w:t>Tier 3 and 4 — light-touch review at contract renewal or on material change.</w:t>
      </w:r>
    </w:p>
    <w:p>
      <w:pPr>
        <w:pStyle w:val="ListParagraph"/>
        <w:numPr>
          <w:ilvl w:val="0"/>
          <w:numId w:val="1"/>
        </w:numPr>
        <w:spacing w:lineRule="exact" w:line="280" w:before="40" w:after="40"/>
        <w:rPr/>
      </w:pPr>
      <w:r>
        <w:rPr>
          <w:rFonts w:eastAsia="Arial" w:cs="Arial"/>
          <w:color w:val="1A1A1A"/>
          <w:sz w:val="22"/>
          <w:szCs w:val="22"/>
        </w:rPr>
        <w:t>Subscription to security advisories, status pages, and threat intelligence relevant to key suppliers.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A.5.22 Monitoring, review and change management of supplier services</w:t>
      </w:r>
    </w:p>
    <w:p>
      <w:pPr>
        <w:pStyle w:val="Heading1"/>
        <w:spacing w:before="360" w:after="180"/>
        <w:rPr/>
      </w:pPr>
      <w:r>
        <w:rPr>
          <w:rFonts w:eastAsia="Arial" w:cs="Arial" w:ascii="Arial" w:hAnsi="Arial"/>
          <w:b/>
          <w:bCs/>
          <w:color w:val="0000FF"/>
          <w:sz w:val="36"/>
          <w:szCs w:val="36"/>
        </w:rPr>
        <w:t>13. Incident Management with Suppliers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Suppliers are required to notify Cloudax of information security incidents and personal data breaches affecting Cloudax information within the timeframes set out in the contract.</w:t>
      </w:r>
    </w:p>
    <w:p>
      <w:pPr>
        <w:pStyle w:val="ListParagraph"/>
        <w:numPr>
          <w:ilvl w:val="0"/>
          <w:numId w:val="1"/>
        </w:numPr>
        <w:spacing w:lineRule="exact" w:line="280" w:before="40" w:after="40"/>
        <w:rPr/>
      </w:pPr>
      <w:r>
        <w:rPr>
          <w:rFonts w:eastAsia="Arial" w:cs="Arial"/>
          <w:color w:val="1A1A1A"/>
          <w:sz w:val="22"/>
          <w:szCs w:val="22"/>
        </w:rPr>
        <w:t>Incidents are managed in accordance with the Information Security Incident Management Policy (ISMS-POL-007), with the supplier owner as a key point of contact.</w:t>
      </w:r>
    </w:p>
    <w:p>
      <w:pPr>
        <w:pStyle w:val="ListParagraph"/>
        <w:numPr>
          <w:ilvl w:val="0"/>
          <w:numId w:val="1"/>
        </w:numPr>
        <w:spacing w:lineRule="exact" w:line="280" w:before="40" w:after="40"/>
        <w:rPr/>
      </w:pPr>
      <w:r>
        <w:rPr>
          <w:rFonts w:eastAsia="Arial" w:cs="Arial"/>
          <w:color w:val="1A1A1A"/>
          <w:sz w:val="22"/>
          <w:szCs w:val="22"/>
        </w:rPr>
        <w:t>Where an incident affects Cloudax customers, customer notifications are coordinated by the Information Security Lead and Data Protection Lead.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A.5.24–A.5.28 Incident management; A.5.22 Supplier monitoring</w:t>
      </w:r>
    </w:p>
    <w:p>
      <w:pPr>
        <w:pStyle w:val="Heading1"/>
        <w:spacing w:before="360" w:after="180"/>
        <w:rPr/>
      </w:pPr>
      <w:r>
        <w:rPr>
          <w:rFonts w:eastAsia="Arial" w:cs="Arial" w:ascii="Arial" w:hAnsi="Arial"/>
          <w:b/>
          <w:bCs/>
          <w:color w:val="0000FF"/>
          <w:sz w:val="36"/>
          <w:szCs w:val="36"/>
        </w:rPr>
        <w:t>14. Change Management of Supplier Services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Material changes to supplier services — including changes to security controls, sub-processors, hosting regions, ownership, or legal jurisdiction — are reviewed by the Information Security Lead and, where applicable, the Data Protection Lead. Where the change materially increases risk, mitigations are agreed before the change takes effect, or the engagement is reassessed.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A.5.22 Monitoring, review and change management of supplier services</w:t>
      </w:r>
    </w:p>
    <w:p>
      <w:pPr>
        <w:pStyle w:val="Heading1"/>
        <w:spacing w:before="360" w:after="180"/>
        <w:rPr/>
      </w:pPr>
      <w:r>
        <w:rPr>
          <w:rFonts w:eastAsia="Arial" w:cs="Arial" w:ascii="Arial" w:hAnsi="Arial"/>
          <w:b/>
          <w:bCs/>
          <w:color w:val="0000FF"/>
          <w:sz w:val="36"/>
          <w:szCs w:val="36"/>
        </w:rPr>
        <w:t>15. Termination and Off-Boarding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 termination, supplier access to Cloudax systems and information is revoked promptly.</w:t>
      </w:r>
    </w:p>
    <w:p>
      <w:pPr>
        <w:pStyle w:val="ListParagraph"/>
        <w:numPr>
          <w:ilvl w:val="0"/>
          <w:numId w:val="1"/>
        </w:numPr>
        <w:spacing w:lineRule="exact" w:line="280" w:before="40" w:after="40"/>
        <w:rPr/>
      </w:pPr>
      <w:r>
        <w:rPr>
          <w:rFonts w:eastAsia="Arial" w:cs="Arial"/>
          <w:color w:val="1A1A1A"/>
          <w:sz w:val="22"/>
          <w:szCs w:val="22"/>
        </w:rPr>
        <w:t>Cloudax information held by the supplier is returned or securely deleted in accordance with the contract; written confirmation is obtained.</w:t>
      </w:r>
    </w:p>
    <w:p>
      <w:pPr>
        <w:pStyle w:val="ListParagraph"/>
        <w:numPr>
          <w:ilvl w:val="0"/>
          <w:numId w:val="1"/>
        </w:numPr>
        <w:spacing w:lineRule="exact" w:line="280" w:before="40" w:after="40"/>
        <w:rPr/>
      </w:pPr>
      <w:r>
        <w:rPr>
          <w:rFonts w:eastAsia="Arial" w:cs="Arial"/>
          <w:color w:val="1A1A1A"/>
          <w:sz w:val="22"/>
          <w:szCs w:val="22"/>
        </w:rPr>
        <w:t>The Supplier Inventory and related registers are updated.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A.5.11 Return of assets; A.8.10 Information deletion</w:t>
      </w:r>
    </w:p>
    <w:p>
      <w:pPr>
        <w:pStyle w:val="Heading1"/>
        <w:spacing w:before="360" w:after="180"/>
        <w:rPr/>
      </w:pPr>
      <w:r>
        <w:rPr>
          <w:rFonts w:eastAsia="Arial" w:cs="Arial" w:ascii="Arial" w:hAnsi="Arial"/>
          <w:b/>
          <w:bCs/>
          <w:color w:val="0000FF"/>
          <w:sz w:val="36"/>
          <w:szCs w:val="36"/>
        </w:rPr>
        <w:t>16.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 Material changes are approved by the Managing Director and recorded in Annex B.</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 7.5, 9.3; A.5.1</w:t>
      </w:r>
    </w:p>
    <w:p>
      <w:pPr>
        <w:pStyle w:val="Heading1"/>
        <w:spacing w:before="360" w:after="180"/>
        <w:rPr/>
      </w:pPr>
      <w:r>
        <w:rPr>
          <w:rFonts w:eastAsia="Arial" w:cs="Arial" w:ascii="Arial" w:hAnsi="Arial"/>
          <w:b/>
          <w:bCs/>
          <w:color w:val="0000FF"/>
          <w:sz w:val="36"/>
          <w:szCs w:val="36"/>
        </w:rPr>
        <w:t>17.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supplier engagements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ISO 27001:2022 REFERENCES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 A.5.19</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 Scope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A.5.19, A.5.21, A.5.23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 Principles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A.5.19</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5. Roles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 A.5.19</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 Inventory and Tiering</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A.5.19, A.5.21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7. Selection and Onboarding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A.5.19, A.5.20,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 Contractual Requirements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A.5.20</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 Cloud Service Providers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AI Suppliers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A.5.23, A.5.34, A.8.12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Sub-Processors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A.5.19–A.5.22,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Ongoing Monitoring</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Incident Management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A.5.24–A.5.28, A.5.22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Change Management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Termination</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A.5.11, A.8.10</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Review</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 7.5, 9.3; A.5.1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Acknowledgement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A.6.2, A.6.3,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ISMS-POL-004 Supplier Security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ISMS-POL-004 Supplier Security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2026-04-22T16:23:21Z</dcterms:created>
  <dc:creator>David Stokes</dc:creator>
  <dc:description/>
  <dc:language>en-US</dc:language>
  <cp:lastModifiedBy>David Stokes</cp:lastModifiedBy>
  <dcterms:modified xsi:type="dcterms:W3CDTF">2026-04-22T17:35:21Z</dcterms:modified>
  <cp:revision>1</cp:revision>
  <dc:subject/>
  <dc:title>Cloudax Supplier Security Policy</dc:title>
</cp:coreProperties>
</file>