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DAT608 POS Agent Fraud Detection — Data Science Workflow</w:t>
      </w:r>
    </w:p>
    <w:p>
      <w:pPr>
        <w:pStyle w:val="Heading1"/>
      </w:pPr>
      <w:r>
        <w:t>1. Problem Statement</w:t>
      </w:r>
    </w:p>
    <w:p>
      <w:r>
        <w:t>Detect fraudulent POS agent transactions in near real time across three labeled fraud patterns: cloned_card, agent_collusion, and fake_reversal, using a combination of supervised and unsupervised learning.</w:t>
      </w:r>
    </w:p>
    <w:p>
      <w:pPr>
        <w:pStyle w:val="Heading1"/>
      </w:pPr>
      <w:r>
        <w:t>2. Data Sources</w:t>
      </w:r>
    </w:p>
    <w:p>
      <w:r>
        <w:t>Synthetic transaction data is generated with realistic Nigerian distributions (state weights, LGAs, card BINs for major Nigerian banks, and POS amount bands modeled on published NIBSS statistics), and persisted to data/transactions_raw.xlsx. Reference data for terminals and merchants lives in data/reference/terminals.xlsx and data/reference/merchants.xlsx.</w:t>
      </w:r>
    </w:p>
    <w:p>
      <w:pPr>
        <w:pStyle w:val="Heading1"/>
      </w:pPr>
      <w:r>
        <w:t>3. Feature Engineering</w:t>
      </w:r>
    </w:p>
    <w:p>
      <w:pPr>
        <w:pStyle w:val="ListBullet"/>
      </w:pPr>
      <w:r>
        <w:rPr>
          <w:b/>
        </w:rPr>
        <w:t xml:space="preserve">velocity_1h: </w:t>
      </w:r>
      <w:r>
        <w:t>Transaction count on a terminal in the trailing 1-hour window.</w:t>
      </w:r>
    </w:p>
    <w:p>
      <w:pPr>
        <w:pStyle w:val="ListBullet"/>
      </w:pPr>
      <w:r>
        <w:rPr>
          <w:b/>
        </w:rPr>
        <w:t xml:space="preserve">geo_jump_km: </w:t>
      </w:r>
      <w:r>
        <w:t>Haversine distance between a terminal's current and previous transaction location.</w:t>
      </w:r>
    </w:p>
    <w:p>
      <w:pPr>
        <w:pStyle w:val="ListBullet"/>
      </w:pPr>
      <w:r>
        <w:rPr>
          <w:b/>
        </w:rPr>
        <w:t xml:space="preserve">bin_spend_rate: </w:t>
      </w:r>
      <w:r>
        <w:t>Rolling average spend for a card BIN over the trailing 1-hour window.</w:t>
      </w:r>
    </w:p>
    <w:p>
      <w:pPr>
        <w:pStyle w:val="ListBullet"/>
      </w:pPr>
      <w:r>
        <w:rPr>
          <w:b/>
        </w:rPr>
        <w:t xml:space="preserve">terminal_reversal_count: </w:t>
      </w:r>
      <w:r>
        <w:t>Count of fake_reversal-flagged transactions on a terminal in the trailing 24-hour window.</w:t>
      </w:r>
    </w:p>
    <w:p>
      <w:r>
        <w:t>Features are computed with Spark Structured Streaming windowed aggregations and persisted to data/features.xlsx.</w:t>
      </w:r>
    </w:p>
    <w:p>
      <w:pPr>
        <w:pStyle w:val="Heading1"/>
      </w:pPr>
      <w:r>
        <w:t>4. Modeling Approach</w:t>
      </w:r>
    </w:p>
    <w:p>
      <w:r>
        <w:t>Two models are trained and tracked in MLflow:</w:t>
      </w:r>
    </w:p>
    <w:p>
      <w:pPr>
        <w:pStyle w:val="ListBullet"/>
      </w:pPr>
      <w:r>
        <w:rPr>
          <w:b/>
        </w:rPr>
        <w:t xml:space="preserve">XGBoost (supervised): </w:t>
      </w:r>
      <w:r>
        <w:t>trained on labeled features joined against is_fraud from transactions_raw.xlsx.</w:t>
      </w:r>
    </w:p>
    <w:p>
      <w:pPr>
        <w:pStyle w:val="ListBullet"/>
      </w:pPr>
      <w:r>
        <w:rPr>
          <w:b/>
        </w:rPr>
        <w:t xml:space="preserve">Isolation Forest (unsupervised): </w:t>
      </w:r>
      <w:r>
        <w:t>trained on the same feature set without labels, to catch novel anomaly patterns the supervised model has not seen.</w:t>
      </w:r>
    </w:p>
    <w:p>
      <w:r>
        <w:t>At scoring time, the FastAPI service blends both models' outputs (70% XGBoost probability, 30% normalized Isolation Forest anomaly score) into a single fraud_probability, mapped to an alert tier.</w:t>
      </w:r>
    </w:p>
    <w:p>
      <w:pPr>
        <w:pStyle w:val="Heading1"/>
      </w:pPr>
      <w:r>
        <w:t>5. Evaluation</w:t>
      </w:r>
    </w:p>
    <w:p>
      <w:r>
        <w:t>Models are evaluated on a held-out 20% split using precision, recall, F1, ROC-AUC, and average precision (PR-AUC), implemented in models/evaluate.py. Feature importances are logged to MLflow via models/feature_importance.py.</w:t>
      </w:r>
    </w:p>
    <w:p>
      <w:pPr>
        <w:pStyle w:val="Heading1"/>
      </w:pPr>
      <w:r>
        <w:t>6. Alert Tiering</w:t>
      </w:r>
    </w:p>
    <w:tbl>
      <w:tblPr>
        <w:tblStyle w:val="LightGrid-Accent1"/>
        <w:tblW w:type="auto" w:w="0"/>
        <w:tblLook w:firstColumn="1" w:firstRow="1" w:lastColumn="0" w:lastRow="0" w:noHBand="0" w:noVBand="1" w:val="04A0"/>
      </w:tblPr>
      <w:tblGrid>
        <w:gridCol w:w="4320"/>
        <w:gridCol w:w="4320"/>
      </w:tblGrid>
      <w:tr>
        <w:tc>
          <w:tcPr>
            <w:tcW w:type="dxa" w:w="4320"/>
          </w:tcPr>
          <w:p>
            <w:r>
              <w:t>Tier</w:t>
            </w:r>
          </w:p>
        </w:tc>
        <w:tc>
          <w:tcPr>
            <w:tcW w:type="dxa" w:w="4320"/>
          </w:tcPr>
          <w:p>
            <w:r>
              <w:t>fraud_probability threshold</w:t>
            </w:r>
          </w:p>
        </w:tc>
      </w:tr>
      <w:tr>
        <w:tc>
          <w:tcPr>
            <w:tcW w:type="dxa" w:w="4320"/>
          </w:tcPr>
          <w:p>
            <w:r>
              <w:t>critical</w:t>
            </w:r>
          </w:p>
        </w:tc>
        <w:tc>
          <w:tcPr>
            <w:tcW w:type="dxa" w:w="4320"/>
          </w:tcPr>
          <w:p>
            <w:r>
              <w:t>&gt;= 0.85</w:t>
            </w:r>
          </w:p>
        </w:tc>
      </w:tr>
      <w:tr>
        <w:tc>
          <w:tcPr>
            <w:tcW w:type="dxa" w:w="4320"/>
          </w:tcPr>
          <w:p>
            <w:r>
              <w:t>high</w:t>
            </w:r>
          </w:p>
        </w:tc>
        <w:tc>
          <w:tcPr>
            <w:tcW w:type="dxa" w:w="4320"/>
          </w:tcPr>
          <w:p>
            <w:r>
              <w:t>&gt;= 0.60</w:t>
            </w:r>
          </w:p>
        </w:tc>
      </w:tr>
      <w:tr>
        <w:tc>
          <w:tcPr>
            <w:tcW w:type="dxa" w:w="4320"/>
          </w:tcPr>
          <w:p>
            <w:r>
              <w:t>medium</w:t>
            </w:r>
          </w:p>
        </w:tc>
        <w:tc>
          <w:tcPr>
            <w:tcW w:type="dxa" w:w="4320"/>
          </w:tcPr>
          <w:p>
            <w:r>
              <w:t>&gt;= 0.30</w:t>
            </w:r>
          </w:p>
        </w:tc>
      </w:tr>
      <w:tr>
        <w:tc>
          <w:tcPr>
            <w:tcW w:type="dxa" w:w="4320"/>
          </w:tcPr>
          <w:p>
            <w:r>
              <w:t>low</w:t>
            </w:r>
          </w:p>
        </w:tc>
        <w:tc>
          <w:tcPr>
            <w:tcW w:type="dxa" w:w="4320"/>
          </w:tcPr>
          <w:p>
            <w:r>
              <w:t>&gt;= 0.00</w:t>
            </w:r>
          </w:p>
        </w:tc>
      </w:tr>
    </w:tbl>
    <w:p>
      <w:r>
        <w:t>Only medium tier and above are surfaced as alerts by the ksqlDB alert 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