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jc w:val="center"/>
      </w:pPr>
      <w:r>
        <w:rPr>
          <w:rFonts w:ascii="Arial" w:cs="Arial" w:eastAsia="Arial" w:hAnsi="Arial"/>
          <w:b/>
          <w:bCs/>
          <w:caps/>
          <w:color w:val="1A6B3A"/>
          <w:sz w:val="52"/>
          <w:szCs w:val="52"/>
        </w:rPr>
        <w:t xml:space="preserve">TOP TENNIS PERFORMANCE ACADEMY</w:t>
      </w:r>
    </w:p>
    <w:p>
      <w:pPr>
        <w:pBdr>
          <w:bottom w:val="single" w:color="1A6B3A" w:sz="6" w:space="1"/>
        </w:pBdr>
        <w:spacing w:after="160" w:before="0"/>
      </w:pPr>
      <w:r>
        <w:t xml:space="preserve"/>
      </w:r>
    </w:p>
    <w:p>
      <w:pPr>
        <w:spacing w:after="160" w:before="0"/>
        <w:jc w:val="center"/>
      </w:pPr>
      <w:r>
        <w:rPr>
          <w:rFonts w:ascii="Arial" w:cs="Arial" w:eastAsia="Arial" w:hAnsi="Arial"/>
          <w:i/>
          <w:iCs/>
          <w:color w:val="1A1A1A"/>
          <w:sz w:val="38"/>
          <w:szCs w:val="38"/>
        </w:rPr>
        <w:t xml:space="preserve">Propuesta de Colaboración Tecnológica</w:t>
      </w:r>
    </w:p>
    <w:p>
      <w:pPr>
        <w:spacing w:after="60" w:before="0"/>
        <w:jc w:val="center"/>
      </w:pPr>
      <w:r>
        <w:rPr>
          <w:rFonts w:ascii="Arial" w:cs="Arial" w:eastAsia="Arial" w:hAnsi="Arial"/>
          <w:color w:val="555555"/>
          <w:sz w:val="26"/>
          <w:szCs w:val="26"/>
        </w:rPr>
        <w:t xml:space="preserve">Piloto 3 meses · Junio – Agosto 2026</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D6EAD9" w:val="clear"/>
            <w:tcMar>
              <w:top w:type="dxa" w:w="120"/>
              <w:left w:type="dxa" w:w="200"/>
              <w:bottom w:type="dxa" w:w="120"/>
              <w:right w:type="dxa" w:w="200"/>
            </w:tcMar>
          </w:tcPr>
          <w:p>
            <w:r>
              <w:rPr>
                <w:rFonts w:ascii="Arial" w:cs="Arial" w:eastAsia="Arial" w:hAnsi="Arial"/>
                <w:b/>
                <w:bCs/>
                <w:color w:val="1A6B3A"/>
                <w:sz w:val="20"/>
                <w:szCs w:val="20"/>
              </w:rPr>
              <w:t xml:space="preserve">Preparado por</w:t>
            </w:r>
          </w:p>
        </w:tc>
        <w:tc>
          <w:tcPr>
            <w:tcW w:type="dxa" w:w="624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b/>
                <w:bCs/>
                <w:color w:val="1A1A1A"/>
                <w:sz w:val="20"/>
                <w:szCs w:val="20"/>
              </w:rPr>
              <w:t xml:space="preserve">Marco Damián</w:t>
            </w:r>
          </w:p>
        </w:tc>
      </w:tr>
      <w:tr>
        <w:tc>
          <w:tcPr>
            <w:tcW w:type="dxa" w:w="3120"/>
            <w:tcBorders>
              <w:top w:val="none" w:color="FFFFFF" w:sz="0"/>
              <w:left w:val="none" w:color="FFFFFF" w:sz="0"/>
              <w:bottom w:val="none" w:color="FFFFFF" w:sz="0"/>
              <w:right w:val="none" w:color="FFFFFF" w:sz="0"/>
            </w:tcBorders>
            <w:shd w:fill="D6EAD9" w:val="clear"/>
            <w:tcMar>
              <w:top w:type="dxa" w:w="80"/>
              <w:left w:type="dxa" w:w="200"/>
              <w:bottom w:type="dxa" w:w="80"/>
              <w:right w:type="dxa" w:w="200"/>
            </w:tcMar>
          </w:tcPr>
          <w:p>
            <w:r>
              <w:rPr>
                <w:rFonts w:ascii="Arial" w:cs="Arial" w:eastAsia="Arial" w:hAnsi="Arial"/>
                <w:b/>
                <w:bCs/>
                <w:color w:val="1A6B3A"/>
                <w:sz w:val="20"/>
                <w:szCs w:val="20"/>
              </w:rPr>
              <w:t xml:space="preserve">Fecha</w:t>
            </w:r>
          </w:p>
        </w:tc>
        <w:tc>
          <w:tcPr>
            <w:tcW w:type="dxa" w:w="624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color w:val="1A1A1A"/>
                <w:sz w:val="20"/>
                <w:szCs w:val="20"/>
              </w:rPr>
              <w:t xml:space="preserve">Mayo 2026</w:t>
            </w:r>
          </w:p>
        </w:tc>
      </w:tr>
      <w:tr>
        <w:tc>
          <w:tcPr>
            <w:tcW w:type="dxa" w:w="3120"/>
            <w:tcBorders>
              <w:top w:val="none" w:color="FFFFFF" w:sz="0"/>
              <w:left w:val="none" w:color="FFFFFF" w:sz="0"/>
              <w:bottom w:val="none" w:color="FFFFFF" w:sz="0"/>
              <w:right w:val="none" w:color="FFFFFF" w:sz="0"/>
            </w:tcBorders>
            <w:shd w:fill="D6EAD9" w:val="clear"/>
            <w:tcMar>
              <w:top w:type="dxa" w:w="80"/>
              <w:left w:type="dxa" w:w="200"/>
              <w:bottom w:type="dxa" w:w="80"/>
              <w:right w:type="dxa" w:w="200"/>
            </w:tcMar>
          </w:tcPr>
          <w:p>
            <w:r>
              <w:rPr>
                <w:rFonts w:ascii="Arial" w:cs="Arial" w:eastAsia="Arial" w:hAnsi="Arial"/>
                <w:b/>
                <w:bCs/>
                <w:color w:val="1A6B3A"/>
                <w:sz w:val="20"/>
                <w:szCs w:val="20"/>
              </w:rPr>
              <w:t xml:space="preserve">Modalidad</w:t>
            </w:r>
          </w:p>
        </w:tc>
        <w:tc>
          <w:tcPr>
            <w:tcW w:type="dxa" w:w="624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color w:val="1A1A1A"/>
                <w:sz w:val="20"/>
                <w:szCs w:val="20"/>
              </w:rPr>
              <w:t xml:space="preserve">Retainer mensual · Piloto 3 meses con revisión</w:t>
            </w:r>
          </w:p>
        </w:tc>
      </w:tr>
    </w:tbl>
    <w:p>
      <w:pPr>
        <w:spacing w:after="80" w:before="0"/>
      </w:pPr>
      <w:r>
        <w:t xml:space="preserve"/>
      </w:r>
    </w:p>
    <w:p>
      <w:r>
        <w:br w:type="page"/>
      </w:r>
    </w:p>
    <w:p>
      <w:pPr>
        <w:pStyle w:val="Heading1"/>
        <w:spacing w:after="160" w:before="320"/>
      </w:pPr>
      <w:r>
        <w:rPr>
          <w:rFonts w:ascii="Arial" w:cs="Arial" w:eastAsia="Arial" w:hAnsi="Arial"/>
          <w:b/>
          <w:bCs/>
          <w:color w:val="1A6B3A"/>
          <w:sz w:val="32"/>
          <w:szCs w:val="32"/>
        </w:rPr>
        <w:t xml:space="preserve">1. Contexto y visión del proyecto</w:t>
      </w:r>
    </w:p>
    <w:p>
      <w:pPr>
        <w:pBdr>
          <w:bottom w:val="single" w:color="1A6B3A" w:sz="6" w:space="1"/>
        </w:pBdr>
        <w:spacing w:after="160" w:before="0"/>
      </w:pPr>
      <w:r>
        <w:t xml:space="preserve"/>
      </w:r>
    </w:p>
    <w:p>
      <w:pPr>
        <w:spacing w:after="80" w:before="80"/>
      </w:pPr>
      <w:r>
        <w:rPr>
          <w:rFonts w:ascii="Arial" w:cs="Arial" w:eastAsia="Arial" w:hAnsi="Arial"/>
          <w:color w:val="1A1A1A"/>
          <w:sz w:val="22"/>
          <w:szCs w:val="22"/>
        </w:rPr>
        <w:t xml:space="preserve">Las academias de alto rendimiento en México y América Latina tienen un problema estructural: los coaches tienen el método, pero no tienen la evidencia. Sin evidencia documentada, la academia no puede ser tomada en serio por universidades en Estados Unidos, no puede justificar lo que cobra, y no puede atraer patrocinadores serios. Todo descansa en la palabra del coach.</w:t>
      </w:r>
    </w:p>
    <w:p>
      <w:pPr>
        <w:spacing w:after="40" w:before="0"/>
      </w:pPr>
      <w:r>
        <w:t xml:space="preserve"/>
      </w:r>
    </w:p>
    <w:p>
      <w:pPr>
        <w:spacing w:after="80" w:before="80"/>
      </w:pPr>
      <w:r>
        <w:rPr>
          <w:rFonts w:ascii="Arial" w:cs="Arial" w:eastAsia="Arial" w:hAnsi="Arial"/>
          <w:color w:val="1A1A1A"/>
          <w:sz w:val="22"/>
          <w:szCs w:val="22"/>
        </w:rPr>
        <w:t xml:space="preserve">La plataforma que se está construyendo resuelve exactamente eso. No agrega datos que ya existen: los crea. Observaciones técnicas y tácticas del coach, reportes de psicología, nutrición y fisioterapia, resultados de fitness, y la propia voz del atleta sobre su proceso. El resultado es un expediente completo y verificable de cada atleta que convierte a Top Tennis de "confíenos" a "aquí está la evidencia".</w:t>
      </w:r>
    </w:p>
    <w:p>
      <w:pPr>
        <w:spacing w:after="40" w:before="0"/>
      </w:pPr>
      <w:r>
        <w:t xml:space="preserve"/>
      </w:r>
    </w:p>
    <w:p>
      <w:pPr>
        <w:spacing w:after="80" w:before="80"/>
      </w:pPr>
      <w:r>
        <w:rPr>
          <w:rFonts w:ascii="Arial" w:cs="Arial" w:eastAsia="Arial" w:hAnsi="Arial"/>
          <w:b/>
          <w:bCs/>
          <w:color w:val="1A1A1A"/>
          <w:sz w:val="22"/>
          <w:szCs w:val="22"/>
        </w:rPr>
        <w:t xml:space="preserve">El objetivo estratégico es convertir a Top Tennis Performance Academy en la primera fuente confiable de talento tenístico para universidades en Estados Unidos desde América Latina, una categoría que hoy ninguna academia en la región ocupa.</w:t>
      </w:r>
    </w:p>
    <w:p>
      <w:pPr>
        <w:spacing w:after="40" w:before="0"/>
      </w:pPr>
      <w:r>
        <w:t xml:space="preserve"/>
      </w:r>
    </w:p>
    <w:p>
      <w:pPr>
        <w:pStyle w:val="Heading2"/>
        <w:spacing w:after="120" w:before="240"/>
      </w:pPr>
      <w:r>
        <w:rPr>
          <w:rFonts w:ascii="Arial" w:cs="Arial" w:eastAsia="Arial" w:hAnsi="Arial"/>
          <w:b/>
          <w:bCs/>
          <w:color w:val="1A1A1A"/>
          <w:sz w:val="26"/>
          <w:szCs w:val="26"/>
        </w:rPr>
        <w:t xml:space="preserve">Audiencias y propuesta de valor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Audiencia</w:t>
            </w:r>
          </w:p>
        </w:tc>
        <w:tc>
          <w:tcPr>
            <w:tcW w:type="dxa" w:w="3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Qué necesita</w:t>
            </w:r>
          </w:p>
        </w:tc>
        <w:tc>
          <w:tcPr>
            <w:tcW w:type="dxa" w:w="39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Qué entrega la plataforma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Coach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Visibilidad del desarrollo de cada atleta para personalizar el entrenamiento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Expediente completo, reportes por dimensión, historial de progreso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Atleta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Entender su avance y construir su narrativa hacia universidades en USA</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Dashboard personal, PTF post-torneo, acceso a sus reportes y métricas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Padre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Ver el retorno de su inversión de forma transparente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Vista de solo lectura del progreso, reportes del coach, estado general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Sponsor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Evidencia de impacto que justifique su apoyo económico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Reportes del equipo, métricas de progresión, colocaciones en torneos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Recruiter / Universidad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Señales más allá del ranking para evaluar al atleta completo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Talent Card exportable con expediente completo del atleta</w:t>
            </w:r>
          </w:p>
        </w:tc>
      </w:tr>
    </w:tbl>
    <w:p>
      <w:pPr>
        <w:spacing w:after="60" w:before="0"/>
      </w:pPr>
      <w:r>
        <w:t xml:space="preserve"/>
      </w:r>
    </w:p>
    <w:p>
      <w:pPr>
        <w:pStyle w:val="Heading2"/>
        <w:spacing w:after="120" w:before="240"/>
      </w:pPr>
      <w:r>
        <w:rPr>
          <w:rFonts w:ascii="Arial" w:cs="Arial" w:eastAsia="Arial" w:hAnsi="Arial"/>
          <w:b/>
          <w:bCs/>
          <w:color w:val="1A1A1A"/>
          <w:sz w:val="26"/>
          <w:szCs w:val="26"/>
        </w:rPr>
        <w:t xml:space="preserve">Prototipo de referencia</w:t>
      </w:r>
    </w:p>
    <w:p>
      <w:pPr>
        <w:spacing w:after="80" w:before="80"/>
      </w:pPr>
      <w:r>
        <w:rPr>
          <w:rFonts w:ascii="Arial" w:cs="Arial" w:eastAsia="Arial" w:hAnsi="Arial"/>
          <w:color w:val="1A1A1A"/>
          <w:sz w:val="22"/>
          <w:szCs w:val="22"/>
        </w:rPr>
        <w:t xml:space="preserve">La siguiente vista es un prototipo navegable que ilustra la visión del portal del atleta — el expediente en acción con métricas, PTF, ejercicios asignados y metas personales:</w:t>
      </w:r>
    </w:p>
    <w:p>
      <w:pPr>
        <w:spacing w:after="20" w:before="0"/>
      </w:pPr>
      <w:r>
        <w:t xml:space="preserve"/>
      </w:r>
    </w:p>
    <w:p>
      <w:pPr>
        <w:spacing w:after="80" w:before="80"/>
      </w:pPr>
      <w:r>
        <w:rPr>
          <w:rFonts w:ascii="Arial" w:cs="Arial" w:eastAsia="Arial" w:hAnsi="Arial"/>
          <w:b/>
          <w:bCs/>
          <w:color w:val="1A1A1A"/>
          <w:sz w:val="22"/>
          <w:szCs w:val="22"/>
        </w:rPr>
        <w:t xml:space="preserve">Ver prototipo: </w:t>
      </w:r>
      <w:hyperlink w:history="1" r:id="rIdvdkrsoehrmytidggmdxhy">
        <w:r>
          <w:rPr>
            <w:rStyle w:val="Hyperlink"/>
            <w:rFonts w:ascii="Arial" w:cs="Arial" w:eastAsia="Arial" w:hAnsi="Arial"/>
            <w:sz w:val="22"/>
            <w:szCs w:val="22"/>
          </w:rPr>
          <w:t xml:space="preserve">agantoniolar-lgtm.github.io/top-tenis-performance-academy/expediente-atleta.html</w:t>
        </w:r>
      </w:hyperlink>
    </w:p>
    <w:p>
      <w:pPr>
        <w:spacing w:after="20" w:before="0"/>
      </w:pPr>
      <w:r>
        <w:t xml:space="preserve"/>
      </w:r>
    </w:p>
    <w:p>
      <w:pPr>
        <w:spacing w:after="80" w:before="80"/>
      </w:pPr>
      <w:r>
        <w:rPr>
          <w:rFonts w:ascii="Arial" w:cs="Arial" w:eastAsia="Arial" w:hAnsi="Arial"/>
          <w:i/>
          <w:iCs/>
          <w:color w:val="555555"/>
          <w:sz w:val="22"/>
          <w:szCs w:val="22"/>
        </w:rPr>
        <w:t xml:space="preserve">Este prototipo representa el estado objetivo al finalizar el piloto de 3 meses: un portal funcional con datos reales, autenticación por rol y los flujos de captura de información operando en producción.</w:t>
      </w:r>
    </w:p>
    <w:p>
      <w:pPr>
        <w:spacing w:after="80" w:before="0"/>
      </w:pPr>
      <w:r>
        <w:t xml:space="preserve"/>
      </w:r>
    </w:p>
    <w:p>
      <w:r>
        <w:br w:type="page"/>
      </w:r>
    </w:p>
    <w:p>
      <w:pPr>
        <w:pStyle w:val="Heading1"/>
        <w:spacing w:after="160" w:before="320"/>
      </w:pPr>
      <w:r>
        <w:rPr>
          <w:rFonts w:ascii="Arial" w:cs="Arial" w:eastAsia="Arial" w:hAnsi="Arial"/>
          <w:b/>
          <w:bCs/>
          <w:color w:val="1A6B3A"/>
          <w:sz w:val="32"/>
          <w:szCs w:val="32"/>
        </w:rPr>
        <w:t xml:space="preserve">2. Alcance de trabajo — Piloto 3 meses</w:t>
      </w:r>
    </w:p>
    <w:p>
      <w:pPr>
        <w:pBdr>
          <w:bottom w:val="single" w:color="1A6B3A" w:sz="6" w:space="1"/>
        </w:pBdr>
        <w:spacing w:after="160" w:before="0"/>
      </w:pPr>
      <w:r>
        <w:t xml:space="preserve"/>
      </w:r>
    </w:p>
    <w:p>
      <w:pPr>
        <w:spacing w:after="80" w:before="80"/>
      </w:pPr>
      <w:r>
        <w:rPr>
          <w:rFonts w:ascii="Arial" w:cs="Arial" w:eastAsia="Arial" w:hAnsi="Arial"/>
          <w:color w:val="1A1A1A"/>
          <w:sz w:val="22"/>
          <w:szCs w:val="22"/>
        </w:rPr>
        <w:t xml:space="preserve">El trabajo del piloto está estructurado en tres fases que siguen la lógica de dependencias técnicas del producto. Cada feature pasa por cuatro etapas: diseño, desarrollo, pruebas y lanzamiento interno. Las fechas asumen inicio el 1 de junio de 2026.</w:t>
      </w:r>
    </w:p>
    <w:p>
      <w:pPr>
        <w:spacing w:after="60" w:before="0"/>
      </w:pPr>
      <w:r>
        <w:t xml:space="preserve"/>
      </w:r>
    </w:p>
    <w:p>
      <w:pPr>
        <w:pStyle w:val="Heading2"/>
        <w:spacing w:after="120" w:before="240"/>
      </w:pPr>
      <w:r>
        <w:rPr>
          <w:rFonts w:ascii="Arial" w:cs="Arial" w:eastAsia="Arial" w:hAnsi="Arial"/>
          <w:b/>
          <w:bCs/>
          <w:color w:val="1A1A1A"/>
          <w:sz w:val="26"/>
          <w:szCs w:val="26"/>
        </w:rPr>
        <w:t xml:space="preserve">Fase 1 · Junio 2026 — Cimientos técnicos</w:t>
      </w:r>
    </w:p>
    <w:p>
      <w:pPr>
        <w:spacing w:after="80" w:before="0"/>
      </w:pPr>
      <w:r>
        <w:rPr>
          <w:rFonts w:ascii="Arial" w:cs="Arial" w:eastAsia="Arial" w:hAnsi="Arial"/>
          <w:i/>
          <w:iCs/>
          <w:color w:val="444444"/>
          <w:sz w:val="22"/>
          <w:szCs w:val="22"/>
        </w:rPr>
        <w:t xml:space="preserve">Objetivo: convertir el prototipo con datos simulados en un sistema real conectado a una base de datos y con autenticación funcional.</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300"/>
        <w:gridCol w:w="1300"/>
        <w:gridCol w:w="1300"/>
        <w:gridCol w:w="1760"/>
      </w:tblGrid>
      <w:tr>
        <w:tc>
          <w:tcPr>
            <w:tcW w:type="dxa" w:w="15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Semana</w:t>
            </w:r>
          </w:p>
        </w:tc>
        <w:tc>
          <w:tcPr>
            <w:tcW w:type="dxa" w:w="2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Entregable</w:t>
            </w:r>
          </w:p>
        </w:tc>
        <w:tc>
          <w:tcPr>
            <w:tcW w:type="dxa" w:w="13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Diseño</w:t>
            </w:r>
          </w:p>
        </w:tc>
        <w:tc>
          <w:tcPr>
            <w:tcW w:type="dxa" w:w="13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Desarrollo</w:t>
            </w:r>
          </w:p>
        </w:tc>
        <w:tc>
          <w:tcPr>
            <w:tcW w:type="dxa" w:w="13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Testing</w:t>
            </w:r>
          </w:p>
        </w:tc>
        <w:tc>
          <w:tcPr>
            <w:tcW w:type="dxa" w:w="17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Lanzamiento</w:t>
            </w:r>
          </w:p>
        </w:tc>
      </w:tr>
      <w:tr>
        <w:tc>
          <w:tcPr>
            <w:tcW w:type="dxa" w:w="15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Sem 1–2
(Jun 1–14)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Auth real con Supabase: login, sesión persistente, rutas protegidas por rol (Coach, Atleta, Padre, Admin, Especialista, Sponsor)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Jun 1–3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Jun 4–10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Jun 11–13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Jun 14</w:t>
            </w:r>
          </w:p>
        </w:tc>
      </w:tr>
      <w:tr>
        <w:tc>
          <w:tcPr>
            <w:tcW w:type="dxa" w:w="15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Sem 3–4
(Jun 15–28)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Expediente del atleta conectado a DB: reemplazar todos los datos dummy, esquema de BD real, relaciones entre tablas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Jun 15–16</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Jun 17–24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Jun 25–27</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Jun 28</w:t>
            </w:r>
          </w:p>
        </w:tc>
      </w:tr>
      <w:tr>
        <w:tc>
          <w:tcPr>
            <w:tcW w:type="dxa" w:w="15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Sem 4
(Jun 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Sitio público (landing page) conectado a DB real: resultados, atletas destacados, métricas reales de la academia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Jun 15–16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Jun 17–26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Jun 27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Jun 28</w:t>
            </w:r>
          </w:p>
        </w:tc>
      </w:tr>
    </w:tbl>
    <w:p>
      <w:pPr>
        <w:spacing w:after="40" w:before="0"/>
      </w:pPr>
      <w:r>
        <w:t xml:space="preserve"/>
      </w:r>
    </w:p>
    <w:p>
      <w:pPr>
        <w:pStyle w:val="ListParagraph"/>
        <w:numPr>
          <w:ilvl w:val="0"/>
          <w:numId w:val="2"/>
        </w:numPr>
      </w:pPr>
      <w:r>
        <w:rPr>
          <w:rFonts w:ascii="Arial" w:cs="Arial" w:eastAsia="Arial" w:hAnsi="Arial"/>
          <w:color w:val="1A1A1A"/>
          <w:sz w:val="22"/>
          <w:szCs w:val="22"/>
        </w:rPr>
        <w:t xml:space="preserve">Trabajo técnico implicado: diseño del esquema de BD (tablas, relaciones, políticas de seguridad), configuración de Supabase, implementación de Row Level Security por rol, migración de datos dummy a estructura real, conexión del frontend React a los nuevos endpoints.</w:t>
      </w:r>
    </w:p>
    <w:p>
      <w:pPr>
        <w:spacing w:after="80" w:before="0"/>
      </w:pPr>
      <w:r>
        <w:t xml:space="preserve"/>
      </w:r>
    </w:p>
    <w:p>
      <w:pPr>
        <w:pStyle w:val="Heading2"/>
        <w:spacing w:after="120" w:before="240"/>
      </w:pPr>
      <w:r>
        <w:rPr>
          <w:rFonts w:ascii="Arial" w:cs="Arial" w:eastAsia="Arial" w:hAnsi="Arial"/>
          <w:b/>
          <w:bCs/>
          <w:color w:val="1A1A1A"/>
          <w:sz w:val="26"/>
          <w:szCs w:val="26"/>
        </w:rPr>
        <w:t xml:space="preserve">Fase 2 · Julio 2026 — Flujos de captura de datos</w:t>
      </w:r>
    </w:p>
    <w:p>
      <w:pPr>
        <w:spacing w:after="80" w:before="0"/>
      </w:pPr>
      <w:r>
        <w:rPr>
          <w:rFonts w:ascii="Arial" w:cs="Arial" w:eastAsia="Arial" w:hAnsi="Arial"/>
          <w:i/>
          <w:iCs/>
          <w:color w:val="444444"/>
          <w:sz w:val="22"/>
          <w:szCs w:val="22"/>
        </w:rPr>
        <w:t xml:space="preserve">Objetivo: activar los flujos de entrada de datos que permiten a coaches y especialistas generar el expediente real de cada atleta.</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300"/>
        <w:gridCol w:w="1300"/>
        <w:gridCol w:w="1300"/>
        <w:gridCol w:w="1760"/>
      </w:tblGrid>
      <w:tr>
        <w:tc>
          <w:tcPr>
            <w:tcW w:type="dxa" w:w="15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Semana</w:t>
            </w:r>
          </w:p>
        </w:tc>
        <w:tc>
          <w:tcPr>
            <w:tcW w:type="dxa" w:w="2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Entregable</w:t>
            </w:r>
          </w:p>
        </w:tc>
        <w:tc>
          <w:tcPr>
            <w:tcW w:type="dxa" w:w="13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Diseño</w:t>
            </w:r>
          </w:p>
        </w:tc>
        <w:tc>
          <w:tcPr>
            <w:tcW w:type="dxa" w:w="13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Desarrollo</w:t>
            </w:r>
          </w:p>
        </w:tc>
        <w:tc>
          <w:tcPr>
            <w:tcW w:type="dxa" w:w="13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Testing</w:t>
            </w:r>
          </w:p>
        </w:tc>
        <w:tc>
          <w:tcPr>
            <w:tcW w:type="dxa" w:w="17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Lanzamiento</w:t>
            </w:r>
          </w:p>
        </w:tc>
      </w:tr>
      <w:tr>
        <w:tc>
          <w:tcPr>
            <w:tcW w:type="dxa" w:w="15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Sem 5–6
(Jul 1–12)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Formulario de reporte del coach (NuevoReporte): 5 dimensiones, calificaciones 1–5, notas cualitativas, áreas de oportunidad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Jul 1–2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Jul 3–9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Jul 10–11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Jul 12</w:t>
            </w:r>
          </w:p>
        </w:tc>
      </w:tr>
      <w:tr>
        <w:tc>
          <w:tcPr>
            <w:tcW w:type="dxa" w:w="15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Sem 6–7
(Jul 8–19)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PTF (Post-Torneo Form): diseño de campos con los coaches, implementación del formulario de reflexión del atleta, guardado y visualización en expediente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Jul 8–9</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Jul 10–16</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Jul 17–18</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Jul 19</w:t>
            </w:r>
          </w:p>
        </w:tc>
      </w:tr>
      <w:tr>
        <w:tc>
          <w:tcPr>
            <w:tcW w:type="dxa" w:w="15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Sem 7–8
(Jul 15–26)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Reportes de especialistas (Psicólogo, Nutriólogo, Fisioterapeuta, Preparador físico): vistas por especialista, campos configurables, tests físicos estandarizados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Jul 15–16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Jul 17–23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Jul 24–25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Jul 26</w:t>
            </w:r>
          </w:p>
        </w:tc>
      </w:tr>
    </w:tbl>
    <w:p>
      <w:pPr>
        <w:spacing w:after="40" w:before="0"/>
      </w:pPr>
      <w:r>
        <w:t xml:space="preserve"/>
      </w:r>
    </w:p>
    <w:p>
      <w:pPr>
        <w:pStyle w:val="ListParagraph"/>
        <w:numPr>
          <w:ilvl w:val="0"/>
          <w:numId w:val="2"/>
        </w:numPr>
      </w:pPr>
      <w:r>
        <w:rPr>
          <w:rFonts w:ascii="Arial" w:cs="Arial" w:eastAsia="Arial" w:hAnsi="Arial"/>
          <w:color w:val="1A1A1A"/>
          <w:sz w:val="22"/>
          <w:szCs w:val="22"/>
        </w:rPr>
        <w:t xml:space="preserve">Trabajo técnico implicado: diseño colaborativo de los campos del PTF con el equipo de coaches, formularios React conectados a Supabase, validaciones, permisos por rol para cada tipo de reporte, historial de versiones de reportes.</w:t>
      </w:r>
    </w:p>
    <w:p>
      <w:pPr>
        <w:spacing w:after="80" w:before="0"/>
      </w:pPr>
      <w:r>
        <w:t xml:space="preserve"/>
      </w:r>
    </w:p>
    <w:p>
      <w:pPr>
        <w:pStyle w:val="Heading2"/>
        <w:spacing w:after="120" w:before="240"/>
      </w:pPr>
      <w:r>
        <w:rPr>
          <w:rFonts w:ascii="Arial" w:cs="Arial" w:eastAsia="Arial" w:hAnsi="Arial"/>
          <w:b/>
          <w:bCs/>
          <w:color w:val="1A1A1A"/>
          <w:sz w:val="26"/>
          <w:szCs w:val="26"/>
        </w:rPr>
        <w:t xml:space="preserve">Fase 3 · Agosto 2026 — Capa de presentación y lanzamiento</w:t>
      </w:r>
    </w:p>
    <w:p>
      <w:pPr>
        <w:spacing w:after="80" w:before="0"/>
      </w:pPr>
      <w:r>
        <w:rPr>
          <w:rFonts w:ascii="Arial" w:cs="Arial" w:eastAsia="Arial" w:hAnsi="Arial"/>
          <w:i/>
          <w:iCs/>
          <w:color w:val="444444"/>
          <w:sz w:val="22"/>
          <w:szCs w:val="22"/>
        </w:rPr>
        <w:t xml:space="preserve">Objetivo: construir la capa de valor diferenciador — la Talent Card — y dejar el sistema listo para operar con usuarios reales.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300"/>
        <w:gridCol w:w="1300"/>
        <w:gridCol w:w="1300"/>
        <w:gridCol w:w="1760"/>
      </w:tblGrid>
      <w:tr>
        <w:tc>
          <w:tcPr>
            <w:tcW w:type="dxa" w:w="15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Semana</w:t>
            </w:r>
          </w:p>
        </w:tc>
        <w:tc>
          <w:tcPr>
            <w:tcW w:type="dxa" w:w="2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Entregable</w:t>
            </w:r>
          </w:p>
        </w:tc>
        <w:tc>
          <w:tcPr>
            <w:tcW w:type="dxa" w:w="13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Diseño</w:t>
            </w:r>
          </w:p>
        </w:tc>
        <w:tc>
          <w:tcPr>
            <w:tcW w:type="dxa" w:w="13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Desarrollo</w:t>
            </w:r>
          </w:p>
        </w:tc>
        <w:tc>
          <w:tcPr>
            <w:tcW w:type="dxa" w:w="13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Testing</w:t>
            </w:r>
          </w:p>
        </w:tc>
        <w:tc>
          <w:tcPr>
            <w:tcW w:type="dxa" w:w="17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Lanzamiento</w:t>
            </w:r>
          </w:p>
        </w:tc>
      </w:tr>
      <w:tr>
        <w:tc>
          <w:tcPr>
            <w:tcW w:type="dxa" w:w="15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Sem 9–10
(Jul 27 – Ago 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Talent Card: documento exportable (PDF/vista web) con expediente completo del atleta para recruiters universitarios en USA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Jul 27–28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Jul 29 – Ago 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Ago 6–8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Ago 9</w:t>
            </w:r>
          </w:p>
        </w:tc>
      </w:tr>
      <w:tr>
        <w:tc>
          <w:tcPr>
            <w:tcW w:type="dxa" w:w="15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Sem 11
(Ago 10–16)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Dashboards con datos reales por rol + flujo de subida de video en ejercicios asíncronos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Ago 10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Ago 11–14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Ago 15</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Ago 16</w:t>
            </w:r>
          </w:p>
        </w:tc>
      </w:tr>
      <w:tr>
        <w:tc>
          <w:tcPr>
            <w:tcW w:type="dxa" w:w="15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Sem 12
(Ago 17–23)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QA integral, corrección de errores, deploy a producción, onboarding de primeros usuarios reales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Ago 17–19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Ago 20–22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Ago 23</w:t>
            </w:r>
          </w:p>
        </w:tc>
      </w:tr>
    </w:tbl>
    <w:p>
      <w:pPr>
        <w:spacing w:after="40" w:before="0"/>
      </w:pPr>
      <w:r>
        <w:t xml:space="preserve"/>
      </w:r>
    </w:p>
    <w:p>
      <w:pPr>
        <w:pStyle w:val="ListParagraph"/>
        <w:numPr>
          <w:ilvl w:val="0"/>
          <w:numId w:val="2"/>
        </w:numPr>
      </w:pPr>
      <w:r>
        <w:rPr>
          <w:rFonts w:ascii="Arial" w:cs="Arial" w:eastAsia="Arial" w:hAnsi="Arial"/>
          <w:color w:val="1A1A1A"/>
          <w:sz w:val="22"/>
          <w:szCs w:val="22"/>
        </w:rPr>
        <w:t xml:space="preserve">Trabajo técnico implicado: generación de PDF desde datos dinámicos, diseño de la vista de la Talent Card, configuración del hosting y dominio, pruebas de carga básica, onboarding y capacitación inicial de coaches y atletas.</w:t>
      </w:r>
    </w:p>
    <w:p>
      <w:pPr>
        <w:spacing w:after="80" w:before="0"/>
      </w:pPr>
      <w:r>
        <w:t xml:space="preserve"/>
      </w:r>
    </w:p>
    <w:p>
      <w:r>
        <w:br w:type="page"/>
      </w:r>
    </w:p>
    <w:p>
      <w:pPr>
        <w:pStyle w:val="Heading1"/>
        <w:spacing w:after="160" w:before="320"/>
      </w:pPr>
      <w:r>
        <w:rPr>
          <w:rFonts w:ascii="Arial" w:cs="Arial" w:eastAsia="Arial" w:hAnsi="Arial"/>
          <w:b/>
          <w:bCs/>
          <w:color w:val="1A6B3A"/>
          <w:sz w:val="32"/>
          <w:szCs w:val="32"/>
        </w:rPr>
        <w:t xml:space="preserve">3. Justificación del valor técnico</w:t>
      </w:r>
    </w:p>
    <w:p>
      <w:pPr>
        <w:pBdr>
          <w:bottom w:val="single" w:color="1A6B3A" w:sz="6" w:space="1"/>
        </w:pBdr>
        <w:spacing w:after="160" w:before="0"/>
      </w:pPr>
      <w:r>
        <w:t xml:space="preserve"/>
      </w:r>
    </w:p>
    <w:p>
      <w:pPr>
        <w:spacing w:after="80" w:before="80"/>
      </w:pPr>
      <w:r>
        <w:rPr>
          <w:rFonts w:ascii="Arial" w:cs="Arial" w:eastAsia="Arial" w:hAnsi="Arial"/>
          <w:color w:val="1A1A1A"/>
          <w:sz w:val="22"/>
          <w:szCs w:val="22"/>
        </w:rPr>
        <w:t xml:space="preserve">Construir software de alto rendimiento no se limita a escribir código. Implica decisiones de arquitectura que afectan la seguridad de los datos, la escalabilidad del sistema y la experiencia de los usuarios por años. A continuación se detallan las dimensiones técnicas que definen este proyecto.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Área técnica</w:t>
            </w:r>
          </w:p>
        </w:tc>
        <w:tc>
          <w:tcPr>
            <w:tcW w:type="dxa" w:w="65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Qué se construye y por qué importa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Base de datos relacional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Diseño del esquema completo de Supabase: tablas de atletas, reportes, torneos, ejercicios, especialistas y roles. Incluye relaciones, índices y políticas de Row Level Security que garantizan que cada usuario solo accede a sus propios datos. Una BD mal diseñada ahora implica migraciones costosas después.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Autenticación y roles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Implementación de auth real con JWT, sesiones persistentes y rutas protegidas en el frontend. Seis roles distintos (Atleta, Coach, Padre, Especialista, Admin, Sponsor) con permisos granulares. Sin esto el portal no puede salir a producción.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Seguridad de datos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Configuración de Row Level Security en Supabase para que ningún usuario pueda leer datos que no le pertenecen. Los datos de menores de edad y reportes médicos requieren protección especial. Esto es crítico para cumplir con prácticas mínimas de privacidad.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Integración frontend-backend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Migración de todos los datos dummy a endpoints reales. Manejo de estados de carga, errores y sincronización entre el cliente React y la base de datos. Incluye optimización de consultas para que el portal sea rápido con datos reales.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Generación de PDFs dinámicos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La Talent Card se genera como PDF desde datos reales del expediente del atleta. Requiere diseño del layout, lógica de selección de contenido, y exportación confiable. Este es el entregable de mayor valor para recruiters universitarios.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Deploy y hosting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Configuración del ambiente de producción, dominio, variables de entorno, pipelines básicos de deploy. Sin esto el trabajo existe solo en la computadora del desarrollador.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Testing y QA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Cada feature pasa por pruebas funcionales antes de lanzarse. Se prueban flujos críticos: login por rol, creación de reportes, acceso al expediente, generación de Talent Card. Esto reduce el riesgo de errores en producción con usuarios reales.</w:t>
            </w:r>
          </w:p>
        </w:tc>
      </w:tr>
    </w:tbl>
    <w:p>
      <w:pPr>
        <w:spacing w:after="80" w:before="0"/>
      </w:pPr>
      <w:r>
        <w:t xml:space="preserve"/>
      </w:r>
    </w:p>
    <w:p>
      <w:pPr>
        <w:spacing w:after="80" w:before="80"/>
      </w:pPr>
      <w:r>
        <w:rPr>
          <w:rFonts w:ascii="Arial" w:cs="Arial" w:eastAsia="Arial" w:hAnsi="Arial"/>
          <w:i/>
          <w:iCs/>
          <w:color w:val="555555"/>
          <w:sz w:val="22"/>
          <w:szCs w:val="22"/>
        </w:rPr>
        <w:t xml:space="preserve">Para referencia: un proyecto de esta envergadura con una agencia o consultora tecnológica en México tiene un costo de mercado de $400,000 a $600,000 MXN para la primera versión funcional. Esta propuesta ofrece el mismo resultado con un socio técnico interno que conoce el negocio, las audiencias y la visión estratégica desde el primer día.</w:t>
      </w:r>
    </w:p>
    <w:p>
      <w:pPr>
        <w:spacing w:after="80" w:before="0"/>
      </w:pPr>
      <w:r>
        <w:t xml:space="preserve"/>
      </w:r>
    </w:p>
    <w:p>
      <w:r>
        <w:br w:type="page"/>
      </w:r>
    </w:p>
    <w:p>
      <w:pPr>
        <w:pStyle w:val="Heading1"/>
        <w:spacing w:after="160" w:before="320"/>
      </w:pPr>
      <w:r>
        <w:rPr>
          <w:rFonts w:ascii="Arial" w:cs="Arial" w:eastAsia="Arial" w:hAnsi="Arial"/>
          <w:b/>
          <w:bCs/>
          <w:color w:val="1A6B3A"/>
          <w:sz w:val="32"/>
          <w:szCs w:val="32"/>
        </w:rPr>
        <w:t xml:space="preserve">4. Propuesta económica</w:t>
      </w:r>
    </w:p>
    <w:p>
      <w:pPr>
        <w:pBdr>
          <w:bottom w:val="single" w:color="1A6B3A" w:sz="6" w:space="1"/>
        </w:pBdr>
        <w:spacing w:after="160" w:before="0"/>
      </w:pPr>
      <w:r>
        <w:t xml:space="preserve"/>
      </w:r>
    </w:p>
    <w:p>
      <w:pPr>
        <w:spacing w:after="80" w:before="80"/>
      </w:pPr>
      <w:r>
        <w:rPr>
          <w:rFonts w:ascii="Arial" w:cs="Arial" w:eastAsia="Arial" w:hAnsi="Arial"/>
          <w:color w:val="1A1A1A"/>
          <w:sz w:val="22"/>
          <w:szCs w:val="22"/>
        </w:rPr>
        <w:t xml:space="preserve">La propuesta está estructurada como un retainer mensual para el piloto de 3 meses, con un esquema mixto que reconoce el valor del acceso al entrenamiento como parte de la compensación total.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c>
          <w:tcPr>
            <w:tcW w:type="dxa" w:w="39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Concepto</w:t>
            </w:r>
          </w:p>
        </w:tc>
        <w:tc>
          <w:tcPr>
            <w:tcW w:type="dxa" w:w="27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Por mes</w:t>
            </w:r>
          </w:p>
        </w:tc>
        <w:tc>
          <w:tcPr>
            <w:tcW w:type="dxa" w:w="27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Total 3 meses</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Retainer en efectivo (antes de IVA)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1A1A1A"/>
                <w:sz w:val="20"/>
                <w:szCs w:val="20"/>
              </w:rPr>
              <w:t xml:space="preserve">$18,000 MXN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1A1A1A"/>
                <w:sz w:val="20"/>
                <w:szCs w:val="20"/>
              </w:rPr>
              <w:t xml:space="preserve">$54,000 MXN</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IVA (16%)</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1A1A1A"/>
                <w:sz w:val="20"/>
                <w:szCs w:val="20"/>
              </w:rPr>
              <w:t xml:space="preserve">$2,880 MXN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1A1A1A"/>
                <w:sz w:val="20"/>
                <w:szCs w:val="20"/>
              </w:rPr>
              <w:t xml:space="preserve">$8,640 MXN</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Total facturable en efectivo (con IVA)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bCs/>
                <w:color w:val="1A1A1A"/>
                <w:sz w:val="20"/>
                <w:szCs w:val="20"/>
              </w:rPr>
              <w:t xml:space="preserve">$20,880 MXN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right"/>
            </w:pPr>
            <w:r>
              <w:rPr>
                <w:rFonts w:ascii="Arial" w:cs="Arial" w:eastAsia="Arial" w:hAnsi="Arial"/>
                <w:b/>
                <w:bCs/>
                <w:color w:val="1A1A1A"/>
                <w:sz w:val="20"/>
                <w:szCs w:val="20"/>
              </w:rPr>
              <w:t xml:space="preserve">$62,640 MXN</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Entrenamiento en academia (valor en especie, no aplica IVA)</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1A1A1A"/>
                <w:sz w:val="20"/>
                <w:szCs w:val="20"/>
              </w:rPr>
              <w:t xml:space="preserve">$5,999 MXN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right"/>
            </w:pPr>
            <w:r>
              <w:rPr>
                <w:rFonts w:ascii="Arial" w:cs="Arial" w:eastAsia="Arial" w:hAnsi="Arial"/>
                <w:b w:val="false"/>
                <w:bCs w:val="false"/>
                <w:color w:val="1A1A1A"/>
                <w:sz w:val="20"/>
                <w:szCs w:val="20"/>
              </w:rPr>
              <w:t xml:space="preserve">$17,997 MXN</w:t>
            </w:r>
          </w:p>
        </w:tc>
      </w:tr>
      <w:tr>
        <w:tc>
          <w:tcPr>
            <w:tcW w:type="dxa" w:w="39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Valor total del paquete mensual</w:t>
            </w:r>
          </w:p>
        </w:tc>
        <w:tc>
          <w:tcPr>
            <w:tcW w:type="dxa" w:w="27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right"/>
            </w:pPr>
            <w:r>
              <w:rPr>
                <w:rFonts w:ascii="Arial" w:cs="Arial" w:eastAsia="Arial" w:hAnsi="Arial"/>
                <w:b/>
                <w:bCs/>
                <w:color w:val="FFFFFF"/>
                <w:sz w:val="20"/>
                <w:szCs w:val="20"/>
              </w:rPr>
              <w:t xml:space="preserve">$26,879 MXN</w:t>
            </w:r>
          </w:p>
        </w:tc>
        <w:tc>
          <w:tcPr>
            <w:tcW w:type="dxa" w:w="27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right"/>
            </w:pPr>
            <w:r>
              <w:rPr>
                <w:rFonts w:ascii="Arial" w:cs="Arial" w:eastAsia="Arial" w:hAnsi="Arial"/>
                <w:b/>
                <w:bCs/>
                <w:color w:val="FFFFFF"/>
                <w:sz w:val="20"/>
                <w:szCs w:val="20"/>
              </w:rPr>
              <w:t xml:space="preserve">$80,637 MXN</w:t>
            </w:r>
          </w:p>
        </w:tc>
      </w:tr>
    </w:tbl>
    <w:p>
      <w:pPr>
        <w:spacing w:after="80" w:before="0"/>
      </w:pPr>
      <w:r>
        <w:t xml:space="preserve"/>
      </w:r>
    </w:p>
    <w:p>
      <w:pPr>
        <w:pStyle w:val="Heading2"/>
        <w:spacing w:after="120" w:before="240"/>
      </w:pPr>
      <w:r>
        <w:rPr>
          <w:rFonts w:ascii="Arial" w:cs="Arial" w:eastAsia="Arial" w:hAnsi="Arial"/>
          <w:b/>
          <w:bCs/>
          <w:color w:val="1A1A1A"/>
          <w:sz w:val="26"/>
          <w:szCs w:val="26"/>
        </w:rPr>
        <w:t xml:space="preserve">Referencia de mercado</w:t>
      </w:r>
    </w:p>
    <w:p>
      <w:pPr>
        <w:spacing w:after="80" w:before="80"/>
      </w:pPr>
      <w:r>
        <w:rPr>
          <w:rFonts w:ascii="Arial" w:cs="Arial" w:eastAsia="Arial" w:hAnsi="Arial"/>
          <w:color w:val="1A1A1A"/>
          <w:sz w:val="22"/>
          <w:szCs w:val="22"/>
        </w:rPr>
        <w:t xml:space="preserve">La tarifa refleja un descuento significativo respecto al costo real de este perfil en el mercado, reconociendo que la academia está en etapa de arranque: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c>
          <w:tcPr>
            <w:tcW w:type="dxa" w:w="39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Escenario de referencia</w:t>
            </w:r>
          </w:p>
        </w:tc>
        <w:tc>
          <w:tcPr>
            <w:tcW w:type="dxa" w:w="27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Costo mensual estimado</w:t>
            </w:r>
          </w:p>
        </w:tc>
        <w:tc>
          <w:tcPr>
            <w:tcW w:type="dxa" w:w="27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Comparado con esta propuesta</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Consultor tech senior (mercado freelance México)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$25,000–32,000 MXN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–30 a –45%</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Agencia de desarrollo en México</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$40,000–60,000 MXN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–55 a –70%</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Proyecto llave en mano (agencia)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$500,000 MXN (total)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1A1A1A"/>
                <w:sz w:val="20"/>
                <w:szCs w:val="20"/>
              </w:rPr>
              <w:t xml:space="preserve">Esta propuesta: $81k total</w:t>
            </w:r>
          </w:p>
        </w:tc>
      </w:tr>
    </w:tbl>
    <w:p>
      <w:pPr>
        <w:spacing w:after="80" w:before="0"/>
      </w:pPr>
      <w:r>
        <w:t xml:space="preserve"/>
      </w:r>
    </w:p>
    <w:p>
      <w:r>
        <w:br w:type="page"/>
      </w:r>
    </w:p>
    <w:p>
      <w:pPr>
        <w:pStyle w:val="Heading1"/>
        <w:spacing w:after="160" w:before="320"/>
      </w:pPr>
      <w:r>
        <w:rPr>
          <w:rFonts w:ascii="Arial" w:cs="Arial" w:eastAsia="Arial" w:hAnsi="Arial"/>
          <w:b/>
          <w:bCs/>
          <w:color w:val="1A6B3A"/>
          <w:sz w:val="32"/>
          <w:szCs w:val="32"/>
        </w:rPr>
        <w:t xml:space="preserve">5. Condiciones del piloto</w:t>
      </w:r>
    </w:p>
    <w:p>
      <w:pPr>
        <w:pBdr>
          <w:bottom w:val="single" w:color="1A6B3A" w:sz="6" w:space="1"/>
        </w:pBdr>
        <w:spacing w:after="160" w:before="0"/>
      </w:pPr>
      <w:r>
        <w:t xml:space="preserve"/>
      </w:r>
    </w:p>
    <w:p>
      <w:pPr>
        <w:pStyle w:val="Heading2"/>
        <w:spacing w:after="120" w:before="240"/>
      </w:pPr>
      <w:r>
        <w:rPr>
          <w:rFonts w:ascii="Arial" w:cs="Arial" w:eastAsia="Arial" w:hAnsi="Arial"/>
          <w:b/>
          <w:bCs/>
          <w:color w:val="1A1A1A"/>
          <w:sz w:val="26"/>
          <w:szCs w:val="26"/>
        </w:rPr>
        <w:t xml:space="preserve">Términos generales</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vAlign w:val="center"/>
          </w:tcPr>
          <w:p>
            <w:pPr>
              <w:spacing w:after="0" w:before="0"/>
              <w:jc w:val="left"/>
            </w:pPr>
            <w:r>
              <w:rPr>
                <w:rFonts w:ascii="Arial" w:cs="Arial" w:eastAsia="Arial" w:hAnsi="Arial"/>
                <w:b/>
                <w:bCs/>
                <w:color w:val="1A6B3A"/>
                <w:sz w:val="20"/>
                <w:szCs w:val="20"/>
              </w:rPr>
              <w:t xml:space="preserve">Duración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3 meses (Junio, Julio y Agosto 2026), con revisión conjunta al finalizar para acordar continuación y ajuste de condiciones.</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vAlign w:val="center"/>
          </w:tcPr>
          <w:p>
            <w:pPr>
              <w:spacing w:after="0" w:before="0"/>
              <w:jc w:val="left"/>
            </w:pPr>
            <w:r>
              <w:rPr>
                <w:rFonts w:ascii="Arial" w:cs="Arial" w:eastAsia="Arial" w:hAnsi="Arial"/>
                <w:b/>
                <w:bCs/>
                <w:color w:val="1A6B3A"/>
                <w:sz w:val="20"/>
                <w:szCs w:val="20"/>
              </w:rPr>
              <w:t xml:space="preserve">Dedicación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5 a 10 horas semanales de trabajo técnico, enfocadas en los entregables descritos en el calendario.</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vAlign w:val="center"/>
          </w:tcPr>
          <w:p>
            <w:pPr>
              <w:spacing w:after="0" w:before="0"/>
              <w:jc w:val="left"/>
            </w:pPr>
            <w:r>
              <w:rPr>
                <w:rFonts w:ascii="Arial" w:cs="Arial" w:eastAsia="Arial" w:hAnsi="Arial"/>
                <w:b/>
                <w:bCs/>
                <w:color w:val="1A6B3A"/>
                <w:sz w:val="20"/>
                <w:szCs w:val="20"/>
              </w:rPr>
              <w:t xml:space="preserve">Forma de pago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El retainer en efectivo ($18,000 MXN) se cubre los primeros 5 días hábiles de cada mes. El entrenamiento ($5,999 MXN en especie) se activa al inicio del piloto.</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vAlign w:val="center"/>
          </w:tcPr>
          <w:p>
            <w:pPr>
              <w:spacing w:after="0" w:before="0"/>
              <w:jc w:val="left"/>
            </w:pPr>
            <w:r>
              <w:rPr>
                <w:rFonts w:ascii="Arial" w:cs="Arial" w:eastAsia="Arial" w:hAnsi="Arial"/>
                <w:b/>
                <w:bCs/>
                <w:color w:val="1A6B3A"/>
                <w:sz w:val="20"/>
                <w:szCs w:val="20"/>
              </w:rPr>
              <w:t xml:space="preserve">Acceso y herramientas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La academia proporciona acceso a los sistemas necesarios (cuentas, dominios, información de usuarios piloto). Marco proporciona el stack tecnológico y las herramientas de desarrollo.</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vAlign w:val="center"/>
          </w:tcPr>
          <w:p>
            <w:pPr>
              <w:spacing w:after="0" w:before="0"/>
              <w:jc w:val="left"/>
            </w:pPr>
            <w:r>
              <w:rPr>
                <w:rFonts w:ascii="Arial" w:cs="Arial" w:eastAsia="Arial" w:hAnsi="Arial"/>
                <w:b/>
                <w:bCs/>
                <w:color w:val="1A6B3A"/>
                <w:sz w:val="20"/>
                <w:szCs w:val="20"/>
              </w:rPr>
              <w:t xml:space="preserve">Propiedad intelectual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Top Tennis Performance Academy es titular de todos los activos digitales específicos generados bajo este acuerdo: base de datos, contenidos, información de atletas, configuraciones y marca visual. Marco Damián retiene los derechos sobre la arquitectura de software, componentes genéricos y metodología de desarrollo, garantizando en todo momento que ningún dato, contenido ni información confidencial de Top Tennis sea compartido o transferido a terceros.</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vAlign w:val="center"/>
          </w:tcPr>
          <w:p>
            <w:pPr>
              <w:spacing w:after="0" w:before="0"/>
              <w:jc w:val="left"/>
            </w:pPr>
            <w:r>
              <w:rPr>
                <w:rFonts w:ascii="Arial" w:cs="Arial" w:eastAsia="Arial" w:hAnsi="Arial"/>
                <w:b/>
                <w:bCs/>
                <w:color w:val="1A6B3A"/>
                <w:sz w:val="20"/>
                <w:szCs w:val="20"/>
              </w:rPr>
              <w:t xml:space="preserve">Costos de infraestructura y servicios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Los costos de hosting, servicios en la nube y herramientas externas necesarios para operar la plataforma corren por cuenta de la academia. Esto incluye, de forma enunciativa mas no limitativa: Supabase (base de datos y autenticación), plataforma de hosting (Vercel, Netlify o equivalente), uso adicional de Claude Code para levantar desarrollos por hito, y cualquier API de terceros necesaria para el funcionamiento del producto (ej. UTR, servicios de correo, almacenamiento de video). Marco coordinará la selección de estos servicios para optimizar costos, pero la contratación y pago es responsabilidad de la academia.</w:t>
            </w:r>
          </w:p>
        </w:tc>
      </w:tr>
    </w:tbl>
    <w:p>
      <w:pPr>
        <w:spacing w:after="20" w:before="0"/>
      </w:pPr>
      <w:r>
        <w:t xml:space="preserve"/>
      </w:r>
    </w:p>
    <w:p>
      <w:pPr>
        <w:spacing w:after="60" w:before="0"/>
      </w:pPr>
      <w:r>
        <w:t xml:space="preserve"/>
      </w:r>
    </w:p>
    <w:p>
      <w:pPr>
        <w:pStyle w:val="Heading2"/>
        <w:spacing w:after="120" w:before="240"/>
      </w:pPr>
      <w:r>
        <w:rPr>
          <w:rFonts w:ascii="Arial" w:cs="Arial" w:eastAsia="Arial" w:hAnsi="Arial"/>
          <w:b/>
          <w:bCs/>
          <w:color w:val="1A1A1A"/>
          <w:sz w:val="26"/>
          <w:szCs w:val="26"/>
        </w:rPr>
        <w:t xml:space="preserve">Lo que incluye el piloto</w:t>
      </w:r>
    </w:p>
    <w:p>
      <w:pPr>
        <w:spacing w:after="20" w:before="0"/>
      </w:pPr>
      <w:r>
        <w:t xml:space="preserve"/>
      </w:r>
    </w:p>
    <w:p>
      <w:pPr>
        <w:pStyle w:val="ListParagraph"/>
        <w:numPr>
          <w:ilvl w:val="0"/>
          <w:numId w:val="2"/>
        </w:numPr>
        <w:spacing w:after="60" w:before="60"/>
      </w:pPr>
      <w:r>
        <w:rPr>
          <w:rFonts w:ascii="Arial" w:cs="Arial" w:eastAsia="Arial" w:hAnsi="Arial"/>
          <w:color w:val="1A1A1A"/>
          <w:sz w:val="22"/>
          <w:szCs w:val="22"/>
        </w:rPr>
        <w:t xml:space="preserve">Diseño e implementación de todas las épicas descritas en el calendario.</w:t>
      </w:r>
    </w:p>
    <w:p>
      <w:pPr>
        <w:pStyle w:val="ListParagraph"/>
        <w:numPr>
          <w:ilvl w:val="0"/>
          <w:numId w:val="2"/>
        </w:numPr>
        <w:spacing w:after="60" w:before="60"/>
      </w:pPr>
      <w:r>
        <w:rPr>
          <w:rFonts w:ascii="Arial" w:cs="Arial" w:eastAsia="Arial" w:hAnsi="Arial"/>
          <w:color w:val="1A1A1A"/>
          <w:sz w:val="22"/>
          <w:szCs w:val="22"/>
        </w:rPr>
        <w:t xml:space="preserve">Decisiones de arquitectura técnica (base de datos, auth, hosting) alineadas con el crecimiento futuro del producto.</w:t>
      </w:r>
    </w:p>
    <w:p>
      <w:pPr>
        <w:pStyle w:val="ListParagraph"/>
        <w:numPr>
          <w:ilvl w:val="0"/>
          <w:numId w:val="2"/>
        </w:numPr>
        <w:spacing w:after="60" w:before="60"/>
      </w:pPr>
      <w:r>
        <w:rPr>
          <w:rFonts w:ascii="Arial" w:cs="Arial" w:eastAsia="Arial" w:hAnsi="Arial"/>
          <w:color w:val="1A1A1A"/>
          <w:sz w:val="22"/>
          <w:szCs w:val="22"/>
        </w:rPr>
        <w:t xml:space="preserve">Sesiones de alineación con el equipo de coaches para diseñar los campos del PTF y los reportes de especialistas.</w:t>
      </w:r>
    </w:p>
    <w:p>
      <w:pPr>
        <w:pStyle w:val="ListParagraph"/>
        <w:numPr>
          <w:ilvl w:val="0"/>
          <w:numId w:val="2"/>
        </w:numPr>
        <w:spacing w:after="60" w:before="60"/>
      </w:pPr>
      <w:r>
        <w:rPr>
          <w:rFonts w:ascii="Arial" w:cs="Arial" w:eastAsia="Arial" w:hAnsi="Arial"/>
          <w:color w:val="1A1A1A"/>
          <w:sz w:val="22"/>
          <w:szCs w:val="22"/>
        </w:rPr>
        <w:t xml:space="preserve">Documentación técnica básica del sistema entregado.</w:t>
      </w:r>
    </w:p>
    <w:p>
      <w:pPr>
        <w:pStyle w:val="ListParagraph"/>
        <w:numPr>
          <w:ilvl w:val="0"/>
          <w:numId w:val="2"/>
        </w:numPr>
        <w:spacing w:after="60" w:before="60"/>
      </w:pPr>
      <w:r>
        <w:rPr>
          <w:rFonts w:ascii="Arial" w:cs="Arial" w:eastAsia="Arial" w:hAnsi="Arial"/>
          <w:color w:val="1A1A1A"/>
          <w:sz w:val="22"/>
          <w:szCs w:val="22"/>
        </w:rPr>
        <w:t xml:space="preserve">Testing funcional de cada feature antes de su lanzamiento interno.</w:t>
      </w:r>
    </w:p>
    <w:p>
      <w:pPr>
        <w:pStyle w:val="ListParagraph"/>
        <w:numPr>
          <w:ilvl w:val="0"/>
          <w:numId w:val="2"/>
        </w:numPr>
        <w:spacing w:after="60" w:before="60"/>
      </w:pPr>
      <w:r>
        <w:rPr>
          <w:rFonts w:ascii="Arial" w:cs="Arial" w:eastAsia="Arial" w:hAnsi="Arial"/>
          <w:color w:val="1A1A1A"/>
          <w:sz w:val="22"/>
          <w:szCs w:val="22"/>
        </w:rPr>
        <w:t xml:space="preserve">Deploy del sistema a producción al finalizar la Fase 3.</w:t>
      </w:r>
    </w:p>
    <w:p>
      <w:pPr>
        <w:spacing w:after="60" w:before="0"/>
      </w:pPr>
      <w:r>
        <w:t xml:space="preserve"/>
      </w:r>
    </w:p>
    <w:p>
      <w:pPr>
        <w:pStyle w:val="Heading2"/>
        <w:spacing w:after="120" w:before="240"/>
      </w:pPr>
      <w:r>
        <w:rPr>
          <w:rFonts w:ascii="Arial" w:cs="Arial" w:eastAsia="Arial" w:hAnsi="Arial"/>
          <w:b/>
          <w:bCs/>
          <w:color w:val="1A1A1A"/>
          <w:sz w:val="26"/>
          <w:szCs w:val="26"/>
        </w:rPr>
        <w:t xml:space="preserve">Lo que no incluye</w:t>
      </w:r>
    </w:p>
    <w:p>
      <w:pPr>
        <w:spacing w:after="20" w:before="0"/>
      </w:pPr>
      <w:r>
        <w:t xml:space="preserve"/>
      </w:r>
    </w:p>
    <w:p>
      <w:pPr>
        <w:pStyle w:val="ListParagraph"/>
        <w:numPr>
          <w:ilvl w:val="0"/>
          <w:numId w:val="2"/>
        </w:numPr>
        <w:spacing w:after="60" w:before="60"/>
      </w:pPr>
      <w:r>
        <w:rPr>
          <w:rFonts w:ascii="Arial" w:cs="Arial" w:eastAsia="Arial" w:hAnsi="Arial"/>
          <w:color w:val="1A1A1A"/>
          <w:sz w:val="22"/>
          <w:szCs w:val="22"/>
        </w:rPr>
        <w:t xml:space="preserve">Diseño gráfico o branding (logotipos, paletas de color, identidad visual).</w:t>
      </w:r>
    </w:p>
    <w:p>
      <w:pPr>
        <w:pStyle w:val="ListParagraph"/>
        <w:numPr>
          <w:ilvl w:val="0"/>
          <w:numId w:val="2"/>
        </w:numPr>
        <w:spacing w:after="60" w:before="60"/>
      </w:pPr>
      <w:r>
        <w:rPr>
          <w:rFonts w:ascii="Arial" w:cs="Arial" w:eastAsia="Arial" w:hAnsi="Arial"/>
          <w:color w:val="1A1A1A"/>
          <w:sz w:val="22"/>
          <w:szCs w:val="22"/>
        </w:rPr>
        <w:t xml:space="preserve">Gestión de redes sociales o marketing digital.</w:t>
      </w:r>
    </w:p>
    <w:p>
      <w:pPr>
        <w:pStyle w:val="ListParagraph"/>
        <w:numPr>
          <w:ilvl w:val="0"/>
          <w:numId w:val="2"/>
        </w:numPr>
        <w:spacing w:after="60" w:before="60"/>
      </w:pPr>
      <w:r>
        <w:rPr>
          <w:rFonts w:ascii="Arial" w:cs="Arial" w:eastAsia="Arial" w:hAnsi="Arial"/>
          <w:color w:val="1A1A1A"/>
          <w:sz w:val="22"/>
          <w:szCs w:val="22"/>
        </w:rPr>
        <w:t xml:space="preserve">Soporte técnico de usuarios fuera del horario de trabajo acordado.</w:t>
      </w:r>
    </w:p>
    <w:p>
      <w:pPr>
        <w:pStyle w:val="ListParagraph"/>
        <w:numPr>
          <w:ilvl w:val="0"/>
          <w:numId w:val="2"/>
        </w:numPr>
        <w:spacing w:after="60" w:before="60"/>
      </w:pPr>
      <w:r>
        <w:rPr>
          <w:rFonts w:ascii="Arial" w:cs="Arial" w:eastAsia="Arial" w:hAnsi="Arial"/>
          <w:color w:val="1A1A1A"/>
          <w:sz w:val="22"/>
          <w:szCs w:val="22"/>
        </w:rPr>
        <w:t xml:space="preserve">Integraciones con plataformas externas no descritas en el alcance (ej. AMTP, sistemas de pago). La integración con UTR puede considerarse dentro del alcance siempre que UTR exponga una API accesible y el costo de uso sea razonable para el presupuesto del proyecto.</w:t>
      </w:r>
    </w:p>
    <w:p>
      <w:pPr>
        <w:pStyle w:val="ListParagraph"/>
        <w:numPr>
          <w:ilvl w:val="0"/>
          <w:numId w:val="2"/>
        </w:numPr>
        <w:spacing w:after="60" w:before="60"/>
      </w:pPr>
      <w:r>
        <w:rPr>
          <w:rFonts w:ascii="Arial" w:cs="Arial" w:eastAsia="Arial" w:hAnsi="Arial"/>
          <w:color w:val="1A1A1A"/>
          <w:sz w:val="22"/>
          <w:szCs w:val="22"/>
        </w:rPr>
        <w:t xml:space="preserve">Costos de infraestructura y servicios externos: hosting, Supabase, uso de Claude Code para desarrollos por hito, APIs de terceros y cualquier herramienta adicional necesaria para operar la plataforma. Estos costos son cubiertos directamente por la academia.</w:t>
      </w:r>
    </w:p>
    <w:p>
      <w:pPr>
        <w:spacing w:after="80" w:before="0"/>
      </w:pPr>
      <w:r>
        <w:t xml:space="preserve"/>
      </w:r>
    </w:p>
    <w:p>
      <w:r>
        <w:br w:type="page"/>
      </w:r>
    </w:p>
    <w:p>
      <w:pPr>
        <w:pStyle w:val="Heading1"/>
        <w:spacing w:after="160" w:before="320"/>
      </w:pPr>
      <w:r>
        <w:rPr>
          <w:rFonts w:ascii="Arial" w:cs="Arial" w:eastAsia="Arial" w:hAnsi="Arial"/>
          <w:b/>
          <w:bCs/>
          <w:color w:val="1A6B3A"/>
          <w:sz w:val="32"/>
          <w:szCs w:val="32"/>
        </w:rPr>
        <w:t xml:space="preserve">6. Prerrequisitos para el arranque de junio</w:t>
      </w:r>
    </w:p>
    <w:p>
      <w:pPr>
        <w:pBdr>
          <w:bottom w:val="single" w:color="1A6B3A" w:sz="6" w:space="1"/>
        </w:pBdr>
        <w:spacing w:after="160" w:before="0"/>
      </w:pPr>
      <w:r>
        <w:t xml:space="preserve"/>
      </w:r>
    </w:p>
    <w:p>
      <w:pPr>
        <w:spacing w:after="80" w:before="80"/>
      </w:pPr>
      <w:r>
        <w:rPr>
          <w:rFonts w:ascii="Arial" w:cs="Arial" w:eastAsia="Arial" w:hAnsi="Arial"/>
          <w:color w:val="1A1A1A"/>
          <w:sz w:val="22"/>
          <w:szCs w:val="22"/>
        </w:rPr>
        <w:t xml:space="preserve">El desarrollo arranca en junio de 2026. Para poder iniciar en tiempo y forma, la academia debe proveer los siguientes elementos antes del 1 de junio. Cada item sin entregar retrasa su módulo correspondiente.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Prerrequisito</w:t>
            </w:r>
          </w:p>
        </w:tc>
        <w:tc>
          <w:tcPr>
            <w:tcW w:type="dxa" w:w="43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Detalle</w:t>
            </w:r>
          </w:p>
        </w:tc>
        <w:tc>
          <w:tcPr>
            <w:tcW w:type="dxa" w:w="18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Afecta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Brand Kit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Logo en vectores (SVG/PDF) en sus versiones positivo, negativo e ícono. Paleta de colores con códigos hex. Tipografías. Lema institucional (ej. eslogan o tagline oficial). Tono de comunicación.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6B3A"/>
                <w:sz w:val="20"/>
                <w:szCs w:val="20"/>
              </w:rPr>
              <w:t xml:space="preserve">Landing page · Portal (UI)</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Fotografías y video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Fotos profesionales de coaches, atletas entrenando e instalaciones. Videos institucionales o highlights de atletas (si existen). Sin esto la landing queda con placeholders.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6B3A"/>
                <w:sz w:val="20"/>
                <w:szCs w:val="20"/>
              </w:rPr>
              <w:t xml:space="preserve">Landing 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Acceso al dominio (DNS)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Acceso al panel del registrador (GoDaddy, Namecheap, o el que usen) para apuntar el dominio al hosting. El dominio sigue siendo propiedad de TT. Si aún no tienen dominio, adquirirlo es el primer paso.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6B3A"/>
                <w:sz w:val="20"/>
                <w:szCs w:val="20"/>
              </w:rPr>
              <w:t xml:space="preserve">Deploy / Lanzamiento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Documentos legales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Aviso de Privacidad (obligatorio por LFPDPPP), Términos y Condiciones de Uso, y consentimiento parental para atletas menores de edad. Deben ser redactados por un abogado con experiencia en protección de datos. Marco los integra técnicamente una vez redactados.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6B3A"/>
                <w:sz w:val="20"/>
                <w:szCs w:val="20"/>
              </w:rPr>
              <w:t xml:space="preserve">Auth · Registro de usuarios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Lista de usuarios piloto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Nombres y correos de los primeros coaches, atletas y padres que van a usar el sistema desde el inicio. Mínimo: 2 coaches + 3-5 atletas con sus padres. Necesario para el onboarding de la Fase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6B3A"/>
                <w:sz w:val="20"/>
                <w:szCs w:val="20"/>
              </w:rPr>
              <w:t xml:space="preserve">Fase 3 · Lanzamiento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Cuenta de correo institucional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Una dirección de correo de la academia (ej. hola@toptennis.mx o similar) para el envío de notificaciones, confirmaciones de cuenta y comunicaciones del sistema. Si no existe, se crea junto con el dominio.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6B3A"/>
                <w:sz w:val="20"/>
                <w:szCs w:val="20"/>
              </w:rPr>
              <w:t xml:space="preserve">Auth · Notificaciones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A1A1A"/>
                <w:sz w:val="20"/>
                <w:szCs w:val="20"/>
              </w:rPr>
              <w:t xml:space="preserve">Cuestionario de producto completado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pPr>
            <w:r>
              <w:rPr>
                <w:rFonts w:ascii="Arial" w:cs="Arial" w:eastAsia="Arial" w:hAnsi="Arial"/>
                <w:color w:val="1A1A1A"/>
                <w:sz w:val="20"/>
                <w:szCs w:val="20"/>
              </w:rPr>
              <w:t xml:space="preserve">Es necesario que el equipo responda este cuestionario antes de iniciar el desarrollo. Define las dimensiones de evaluación, los campos del PTF, el contenido del sitio público y el perfil de los primeros usuarios. Sin estas respuestas no hay congruencia entre el equipo y el desarrollo.</w:t>
            </w:r>
          </w:p>
          <w:p>
            <w:pPr>
              <w:spacing w:after="0" w:before="40"/>
            </w:pPr>
            <w:hyperlink w:history="1" r:id="rIdmjujo1vta-z7vvpso4quw">
              <w:r>
                <w:rPr>
                  <w:rStyle w:val="Hyperlink"/>
                  <w:rFonts w:ascii="Arial" w:cs="Arial" w:eastAsia="Arial" w:hAnsi="Arial"/>
                  <w:b/>
                  <w:bCs/>
                  <w:sz w:val="20"/>
                  <w:szCs w:val="20"/>
                </w:rPr>
                <w:t xml:space="preserve">Abrir cuestionario de producto →</w:t>
              </w:r>
            </w:hyperlink>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6B3A"/>
                <w:sz w:val="20"/>
                <w:szCs w:val="20"/>
              </w:rPr>
              <w:t xml:space="preserve">Todas las fases</w:t>
            </w:r>
          </w:p>
        </w:tc>
      </w:tr>
    </w:tbl>
    <w:p>
      <w:pPr>
        <w:spacing w:after="60" w:before="0"/>
      </w:pPr>
      <w:r>
        <w:t xml:space="preserve"/>
      </w:r>
    </w:p>
    <w:p>
      <w:pPr>
        <w:spacing w:after="80" w:before="80"/>
      </w:pPr>
      <w:r>
        <w:rPr>
          <w:rFonts w:ascii="Arial" w:cs="Arial" w:eastAsia="Arial" w:hAnsi="Arial"/>
          <w:i/>
          <w:iCs/>
          <w:color w:val="555555"/>
          <w:sz w:val="22"/>
          <w:szCs w:val="22"/>
        </w:rPr>
        <w:t xml:space="preserve">Nota: el repositorio de código se crea desde cero al inicio del proyecto. El copy del sitio público (textos de secciones, propuesta de valor, programas) se elabora con base en las respuestas al cuestionario de producto y queda en manos de Marco. Google Analytics se configura al momento del deploy de la landing.</w:t>
      </w:r>
    </w:p>
    <w:p>
      <w:pPr>
        <w:spacing w:after="120" w:before="0"/>
      </w:pPr>
      <w:r>
        <w:t xml:space="preserve"/>
      </w:r>
    </w:p>
    <w:p>
      <w:pPr>
        <w:pBdr>
          <w:bottom w:val="single" w:color="1A6B3A" w:sz="6" w:space="1"/>
        </w:pBdr>
        <w:spacing w:after="160" w:before="0"/>
      </w:pPr>
      <w:r>
        <w:t xml:space="preserve"/>
      </w:r>
    </w:p>
    <w:p>
      <w:pPr>
        <w:spacing w:after="80" w:before="160"/>
        <w:jc w:val="center"/>
      </w:pPr>
      <w:r>
        <w:rPr>
          <w:rFonts w:ascii="Arial" w:cs="Arial" w:eastAsia="Arial" w:hAnsi="Arial"/>
          <w:b/>
          <w:bCs/>
          <w:color w:val="1A1A1A"/>
          <w:sz w:val="28"/>
          <w:szCs w:val="28"/>
        </w:rPr>
        <w:t xml:space="preserve">Marco Damián</w:t>
      </w:r>
    </w:p>
    <w:p>
      <w:pPr>
        <w:spacing w:after="80" w:before="0"/>
        <w:jc w:val="center"/>
      </w:pPr>
      <w:r>
        <w:rPr>
          <w:rFonts w:ascii="Arial" w:cs="Arial" w:eastAsia="Arial" w:hAnsi="Arial"/>
          <w:i/>
          <w:iCs/>
          <w:color w:val="666666"/>
          <w:sz w:val="22"/>
          <w:szCs w:val="22"/>
        </w:rPr>
        <w:t xml:space="preserve">Professional Vibe Coder · Top Tennis Performance Academy</w:t>
      </w:r>
    </w:p>
    <w:p>
      <w:pPr>
        <w:spacing w:after="0" w:before="0"/>
        <w:jc w:val="center"/>
      </w:pPr>
      <w:r>
        <w:rPr>
          <w:rFonts w:ascii="Arial" w:cs="Arial" w:eastAsia="Arial" w:hAnsi="Arial"/>
          <w:color w:val="1A6B3A"/>
          <w:sz w:val="20"/>
          <w:szCs w:val="20"/>
        </w:rPr>
        <w:t xml:space="preserve">agantoniolar@gmail.com</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A" w:sz="4" w:space="4"/>
      </w:pBdr>
      <w:spacing w:after="0" w:before="100"/>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4" w:space="4"/>
      </w:pBdr>
      <w:tabs>
        <w:tab w:val="right" w:pos="9360"/>
      </w:tabs>
      <w:spacing w:after="100" w:before="0"/>
    </w:pPr>
    <w:r>
      <w:rPr>
        <w:rFonts w:ascii="Arial" w:cs="Arial" w:eastAsia="Arial" w:hAnsi="Arial"/>
        <w:b/>
        <w:bCs/>
        <w:color w:val="1A6B3A"/>
        <w:sz w:val="18"/>
        <w:szCs w:val="18"/>
      </w:rPr>
      <w:t xml:space="preserve">Top Tennis Performance Academy</w:t>
    </w:r>
    <w:r>
      <w:rPr>
        <w:sz w:val="18"/>
        <w:szCs w:val="18"/>
      </w:rPr>
      <w:t xml:space="preserve">	</w:t>
    </w:r>
    <w:r>
      <w:rPr>
        <w:rFonts w:ascii="Arial" w:cs="Arial" w:eastAsia="Arial" w:hAnsi="Arial"/>
        <w:i/>
        <w:iCs/>
        <w:color w:val="666666"/>
        <w:sz w:val="18"/>
        <w:szCs w:val="18"/>
      </w:rPr>
      <w:t xml:space="preserve">Propuesta de Colaboración Tecnológica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6B3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dkrsoehrmytidggmdxhy" Type="http://schemas.openxmlformats.org/officeDocument/2006/relationships/hyperlink" Target="https://agantoniolar-lgtm.github.io/top-tenis-performance-academy/expediente-atleta.html" TargetMode="External"/><Relationship Id="rIdmjujo1vta-z7vvpso4quw" Type="http://schemas.openxmlformats.org/officeDocument/2006/relationships/hyperlink" Target="https://docs.google.com/document/d/137gJwt1D6k7ur79LIZ7tLKkEVtL7DMMpuKCedEuI7Rc/edit?usp=sharin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2026-05-17T17:03:48.352Z</dcterms:created>
  <dcterms:modified xsi:type="dcterms:W3CDTF">2026-05-17T17:03:48.352Z</dcterms:modified>
</cp:coreProperties>
</file>

<file path=docProps/custom.xml><?xml version="1.0" encoding="utf-8"?>
<Properties xmlns="http://schemas.openxmlformats.org/officeDocument/2006/custom-properties" xmlns:vt="http://schemas.openxmlformats.org/officeDocument/2006/docPropsVTypes"/>
</file>