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50711"/>
  <w:body>
    <w:p w14:paraId="6EC93065" w14:textId="77777777" w:rsidR="00947E41" w:rsidRDefault="00FA5244">
      <w:pPr>
        <w:spacing w:after="300"/>
      </w:pPr>
      <w:r>
        <w:rPr>
          <w:rFonts w:ascii="Century Gothic" w:eastAsia="Century Gothic" w:hAnsi="Century Gothic" w:cs="Century Gothic"/>
          <w:b/>
          <w:bCs/>
          <w:color w:val="38BDF8"/>
          <w:sz w:val="40"/>
          <w:szCs w:val="40"/>
        </w:rPr>
        <w:t>Índice</w:t>
      </w:r>
    </w:p>
    <w:p w14:paraId="6A05A809" w14:textId="77777777" w:rsidR="00947E41" w:rsidRDefault="00947E41">
      <w:pPr>
        <w:pBdr>
          <w:bottom w:val="single" w:sz="14" w:space="1" w:color="C084FC"/>
        </w:pBdr>
        <w:spacing w:before="60" w:after="240"/>
      </w:pPr>
    </w:p>
    <w:p w14:paraId="0B86ADBA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1.  </w:t>
      </w:r>
      <w:r>
        <w:rPr>
          <w:sz w:val="24"/>
          <w:szCs w:val="24"/>
        </w:rPr>
        <w:t>Resumen Ejecutivo y Propósito del Módulo de Catálogo de Categorías</w:t>
      </w:r>
    </w:p>
    <w:p w14:paraId="0782B15E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2.  </w:t>
      </w:r>
      <w:r>
        <w:rPr>
          <w:sz w:val="24"/>
          <w:szCs w:val="24"/>
        </w:rPr>
        <w:t>Desglose Explicativo Módulo por Módulo</w:t>
      </w:r>
    </w:p>
    <w:p w14:paraId="1C03447B" w14:textId="77777777" w:rsidR="00947E41" w:rsidRDefault="00FA5244">
      <w:pPr>
        <w:spacing w:after="180"/>
      </w:pPr>
      <w:r>
        <w:rPr>
          <w:b/>
          <w:bCs/>
          <w:color w:val="C084FC"/>
          <w:sz w:val="24"/>
          <w:szCs w:val="24"/>
        </w:rPr>
        <w:t xml:space="preserve">3.  </w:t>
      </w:r>
      <w:r>
        <w:rPr>
          <w:sz w:val="24"/>
          <w:szCs w:val="24"/>
        </w:rPr>
        <w:t>Conclusión y Próximos Pasos para Autorización</w:t>
      </w:r>
    </w:p>
    <w:p w14:paraId="5A39BBE3" w14:textId="77777777" w:rsidR="00947E41" w:rsidRDefault="00FA5244">
      <w:r>
        <w:br w:type="page"/>
      </w:r>
    </w:p>
    <w:p w14:paraId="41C8F396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7004B8C0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1. </w:t>
      </w:r>
      <w:r>
        <w:rPr>
          <w:rFonts w:ascii="Century Gothic" w:eastAsia="Century Gothic" w:hAnsi="Century Gothic" w:cs="Century Gothic"/>
          <w:b/>
          <w:bCs/>
          <w:color w:val="38BDF8"/>
        </w:rPr>
        <w:t>Resumen Ejecutivo y Propósito del Módulo de Catálogo de Categorías</w:t>
      </w:r>
    </w:p>
    <w:p w14:paraId="64A2C9B3" w14:textId="77777777" w:rsidR="00947E41" w:rsidRDefault="00FA5244">
      <w:pPr>
        <w:keepNext/>
        <w:spacing w:after="200" w:line="300" w:lineRule="auto"/>
        <w:jc w:val="both"/>
      </w:pPr>
      <w:r>
        <w:rPr>
          <w:b/>
          <w:bCs/>
        </w:rPr>
        <w:t>Estimado Cliente,</w:t>
      </w:r>
    </w:p>
    <w:p w14:paraId="25983417" w14:textId="77777777" w:rsidR="00947E41" w:rsidRDefault="00FA5244">
      <w:pPr>
        <w:spacing w:after="200" w:line="300" w:lineRule="auto"/>
        <w:jc w:val="both"/>
      </w:pPr>
      <w:r>
        <w:t>El presente documento expone la propuesta de mapeo funcional y arquitectura del Módulo de Categorías de la aplicación control-gastos. Esta vista ha sido meticulosamente concebida para brindar al usuario control total sobre la clasificación semántica y visual de sus operaciones financieras (ingresos y gastos), permitiéndole estructurar rubros indispensables con iconos temáticos, códigos cromáticos únicos y salvaguardas estrictas de integridad referencial.</w:t>
      </w:r>
    </w:p>
    <w:p w14:paraId="239C9E48" w14:textId="77777777" w:rsidR="00947E41" w:rsidRDefault="00FA5244">
      <w:pPr>
        <w:spacing w:after="200" w:line="300" w:lineRule="auto"/>
        <w:jc w:val="both"/>
      </w:pPr>
      <w:r>
        <w:t>Bajo una sofisticada interfaz construida bajo la filosofía Glassmorphism 4K configurada en tonos cian (#38BDF8), violeta (#C084FC) y verde esmeralda (#34D399) sobre un fondo medianoche (#070918), el módulo ofrece filtrado instantáneo por tipo de flujo contable, métricas de transacciones mensuales asociadas y un mecanismo de reasignación asistida que impide la orfandad de registros contables.</w:t>
      </w:r>
    </w:p>
    <w:p w14:paraId="72A3D3EC" w14:textId="77777777" w:rsidR="00947E41" w:rsidRDefault="00947E41">
      <w:pPr>
        <w:spacing w:after="200"/>
      </w:pPr>
    </w:p>
    <w:p w14:paraId="0D0B940D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6B7E335F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2. </w:t>
      </w:r>
      <w:r>
        <w:rPr>
          <w:rFonts w:ascii="Century Gothic" w:eastAsia="Century Gothic" w:hAnsi="Century Gothic" w:cs="Century Gothic"/>
          <w:b/>
          <w:bCs/>
          <w:color w:val="38BDF8"/>
        </w:rPr>
        <w:t>Desglose Explicativo Módulo por Módulo</w:t>
      </w:r>
    </w:p>
    <w:p w14:paraId="71C65A2B" w14:textId="77777777" w:rsidR="00947E41" w:rsidRDefault="00FA5244">
      <w:pPr>
        <w:spacing w:after="200" w:line="300" w:lineRule="auto"/>
        <w:jc w:val="both"/>
      </w:pPr>
      <w:r>
        <w:t>A continuación, se detalla la función de cada sección de la vista de categorías, el beneficio comercial para el cliente y la captura de pantalla correspondiente generada en alta resolución a partir del código real del proyecto:</w:t>
      </w:r>
    </w:p>
    <w:p w14:paraId="6AE2FE26" w14:textId="62867474" w:rsidR="30405C11" w:rsidRDefault="30405C11" w:rsidP="05AEF724">
      <w:pPr>
        <w:spacing w:after="200" w:line="300" w:lineRule="auto"/>
        <w:jc w:val="both"/>
      </w:pPr>
      <w:r>
        <w:rPr>
          <w:noProof/>
        </w:rPr>
        <w:lastRenderedPageBreak/>
        <w:drawing>
          <wp:inline distT="0" distB="0" distL="0" distR="0" wp14:anchorId="315A52EC" wp14:editId="0F5397D1">
            <wp:extent cx="5400000" cy="5130000"/>
            <wp:effectExtent l="0" t="0" r="0" b="0"/>
            <wp:docPr id="64882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2301" name="Picture 648823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947E41" w:rsidRDefault="00947E41">
      <w:pPr>
        <w:spacing w:after="120"/>
      </w:pPr>
    </w:p>
    <w:p w14:paraId="60061E4C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3A7FC367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Módulo 1: </w:t>
      </w:r>
      <w:r>
        <w:rPr>
          <w:rFonts w:ascii="Century Gothic" w:eastAsia="Century Gothic" w:hAnsi="Century Gothic" w:cs="Century Gothic"/>
          <w:b/>
          <w:bCs/>
          <w:color w:val="38BDF8"/>
        </w:rPr>
        <w:t>Sidebar con Navegación y Acceso Directo a Categorías</w:t>
      </w:r>
    </w:p>
    <w:p w14:paraId="79AF15EB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Es el menú de navegación principal y persistente de la plataforma. Presenta el logotipo oficial de control-gastos, el Menú Principal (Dashboard, desplegable de Transacciones, Presupuestos y Categorías activo resaltado en cápsula azul neón), la sección de Analítica (Informes &amp; Reportes), Sistema (Configuración) y la tarjeta de perfil de usuario activo con credenciales institucionales.</w:t>
      </w:r>
      <w:r>
        <w:t>Es el menú de navegación principal y persistente de la plataforma. Presenta el logotipo oficial de control-gastos, el Menú Principal (Dashboard, desplegable de Transacciones, Presupuestos y Categorías activo resaltado en cápsula azul neón), la sección de Analítica (Informes &amp; Reportes), Sistema (Configuración) y la tarjeta de perfil de usuario activo con credenciales institucionales.</w:t>
      </w:r>
    </w:p>
    <w:p w14:paraId="4E0A88AB" w14:textId="77777777" w:rsidR="00947E41" w:rsidRDefault="00FA5244">
      <w:pPr>
        <w:spacing w:after="160" w:line="300" w:lineRule="auto"/>
        <w:jc w:val="both"/>
      </w:pPr>
      <w:r w:rsidRPr="05AEF724">
        <w:rPr>
          <w:b/>
          <w:bCs/>
          <w:color w:val="38BDF8"/>
        </w:rPr>
        <w:t xml:space="preserve">Proporciona una navegación ergonómica y unificada que permite alternar instantáneamente entre la administración de categorías, presupuestos y registros transaccionales sin perder contexto ni recargar la </w:t>
      </w:r>
      <w:r w:rsidRPr="05AEF724">
        <w:rPr>
          <w:b/>
          <w:bCs/>
          <w:color w:val="38BDF8"/>
        </w:rPr>
        <w:lastRenderedPageBreak/>
        <w:t>vista.</w:t>
      </w:r>
      <w:r>
        <w:t>Proporciona una navegación ergonómica y unificada que permite alternar instantáneamente entre la administración de categorías, presupuestos y registros transaccionales sin perder contexto ni recargar la vista.</w:t>
      </w:r>
    </w:p>
    <w:p w14:paraId="4B94D5A5" w14:textId="32FBAF99" w:rsidR="00947E41" w:rsidRDefault="3E02ABFC" w:rsidP="05AEF724">
      <w:pPr>
        <w:spacing w:after="320"/>
      </w:pPr>
      <w:r>
        <w:rPr>
          <w:noProof/>
        </w:rPr>
        <w:drawing>
          <wp:inline distT="0" distB="0" distL="0" distR="0" wp14:anchorId="38DCCECD" wp14:editId="1E536852">
            <wp:extent cx="1500000" cy="5555555"/>
            <wp:effectExtent l="0" t="0" r="0" b="0"/>
            <wp:docPr id="10383412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41246" name="Picture 1038341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555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042A9553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Módulo 2: </w:t>
      </w:r>
      <w:r>
        <w:rPr>
          <w:rFonts w:ascii="Century Gothic" w:eastAsia="Century Gothic" w:hAnsi="Century Gothic" w:cs="Century Gothic"/>
          <w:b/>
          <w:bCs/>
          <w:color w:val="38BDF8"/>
        </w:rPr>
        <w:t>Encabezado Superior (Topbar), Campana de Notificaciones y Control de Sesión</w:t>
      </w:r>
    </w:p>
    <w:p w14:paraId="458DB4AA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Mantiene la ruta de navegación contextual ('Control de Gastos — Catálogo de Categorías'), el botón de colapso de la barra lateral (☰), la campana interactiva de notificaciones con badge dinámico de avisos pendientes, el indicador de 'Sesión Activa' en verde esmeralda y el botón de acceso rápido 'Cerrar Sesión'.</w:t>
      </w:r>
      <w:r>
        <w:t>Mantiene la ruta de navegación contextual ('Control de Gastos — Catálogo de Categorías'), el botón de colapso de la barra lateral (☰), la campana interactiva de notificaciones con badge dinámico de avisos pendientes, el indicador de 'Sesión Activa' en verde esmeralda y el botón de acceso rápido 'Cerrar Sesión'.</w:t>
      </w:r>
    </w:p>
    <w:p w14:paraId="45FB0818" w14:textId="2498C22E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lastRenderedPageBreak/>
        <w:t xml:space="preserve">Valor para el Cliente: </w:t>
      </w:r>
      <w:r>
        <w:t>Garantiza supervisión en tiempo real de recordatorios de corte y alertas de pago, asegurando la autenticación y la integridad de las operaciones contables sensibles.</w:t>
      </w:r>
      <w:r w:rsidR="17158C58">
        <w:rPr>
          <w:noProof/>
        </w:rPr>
        <w:drawing>
          <wp:inline distT="0" distB="0" distL="0" distR="0" wp14:anchorId="49C63C2F" wp14:editId="482EC067">
            <wp:extent cx="6381750" cy="335881"/>
            <wp:effectExtent l="0" t="0" r="0" b="0"/>
            <wp:docPr id="762190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0641" name="Picture 7621906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3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1CB" w14:textId="7636F039" w:rsidR="00947E41" w:rsidRDefault="00947E41" w:rsidP="05AEF724">
      <w:pPr>
        <w:pBdr>
          <w:bottom w:val="single" w:sz="8" w:space="1" w:color="6366F1"/>
        </w:pBdr>
        <w:spacing w:before="60" w:after="240"/>
      </w:pPr>
    </w:p>
    <w:p w14:paraId="60D546A4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Hero Header y Botón de Creación Rápida</w:t>
      </w:r>
      <w:r>
        <w:rPr>
          <w:rFonts w:ascii="Century Gothic" w:eastAsia="Century Gothic" w:hAnsi="Century Gothic" w:cs="Century Gothic"/>
          <w:b/>
          <w:bCs/>
          <w:color w:val="38BDF8"/>
        </w:rPr>
        <w:t>Hero Header y Botón de Creación Rápida</w:t>
      </w:r>
    </w:p>
    <w:p w14:paraId="20592A5C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Presenta el badge interactivo con pulso de estatus ('Centro de Personalización Financiera'), el título principal de la pantalla ('Gestor Inteligente de Categorías'), la descripción descriptiva del propósito y el botón de acción principal '+ Nueva Categoría' con gradiente cian-púrpura.</w:t>
      </w:r>
      <w:r>
        <w:t>Presenta el badge interactivo con pulso de estatus ('Centro de Personalización Financiera'), el título principal de la pantalla ('Gestor Inteligente de Categorías'), la descripción descriptiva del propósito y el botón de acción principal '+ Nueva Categoría' con gradiente cian-púrpura.</w:t>
      </w:r>
    </w:p>
    <w:p w14:paraId="57E6A2EE" w14:textId="6EE749B4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Ofrece una inmediata jerarquía visual que orienta al usuario y le permite registrar nuevas etiquetas contables en 1 solo clic sin navegar a pantallas intermedias.</w:t>
      </w:r>
      <w:r>
        <w:t>Ofrece una inmediata jerarquía visual que orienta al usuario y le permite registrar nuevas etiquetas contables en 1 solo clic sin navegar a pantallas intermedias.</w:t>
      </w:r>
    </w:p>
    <w:p w14:paraId="62486C05" w14:textId="51DBFF28" w:rsidR="00947E41" w:rsidRDefault="69A2B8BA" w:rsidP="05AEF724">
      <w:pPr>
        <w:spacing w:after="160" w:line="300" w:lineRule="auto"/>
        <w:jc w:val="both"/>
      </w:pPr>
      <w:r>
        <w:rPr>
          <w:noProof/>
        </w:rPr>
        <w:drawing>
          <wp:inline distT="0" distB="0" distL="0" distR="0" wp14:anchorId="587C396C" wp14:editId="1CE37F90">
            <wp:extent cx="6381750" cy="527813"/>
            <wp:effectExtent l="0" t="0" r="0" b="0"/>
            <wp:docPr id="1861683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83115" name="Picture 1861683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2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52C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0416D032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Barra de Control, Pestañas de Flujo y Buscador Instantáneo</w:t>
      </w:r>
      <w:r>
        <w:rPr>
          <w:rFonts w:ascii="Century Gothic" w:eastAsia="Century Gothic" w:hAnsi="Century Gothic" w:cs="Century Gothic"/>
          <w:b/>
          <w:bCs/>
          <w:color w:val="38BDF8"/>
        </w:rPr>
        <w:t>Barra de Control, Pestañas de Flujo y Buscador Instantáneo</w:t>
      </w:r>
    </w:p>
    <w:p w14:paraId="141732ED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Integra la botonera segmentada de filtrado por flujo financiero y el campo de búsqueda dinámico:</w:t>
      </w:r>
      <w:r>
        <w:t>Integra la botonera segmentada de filtrado por flujo financiero y el campo de búsqueda dinámico:</w:t>
      </w:r>
    </w:p>
    <w:p w14:paraId="472BF656" w14:textId="77777777" w:rsidR="00947E41" w:rsidRDefault="00FA5244">
      <w:pPr>
        <w:pStyle w:val="Prrafodelista"/>
        <w:numPr>
          <w:ilvl w:val="0"/>
          <w:numId w:val="2"/>
        </w:numPr>
        <w:spacing w:after="120" w:line="290" w:lineRule="auto"/>
      </w:pPr>
      <w:r>
        <w:t>Pestaña 'Gastos' (🔴 Egresos): Filtra las categorías de costos y consumos mostrando un badge con el conteo dinámico de elementos activos.</w:t>
      </w:r>
    </w:p>
    <w:p w14:paraId="210FD248" w14:textId="77777777" w:rsidR="00947E41" w:rsidRDefault="00FA5244">
      <w:pPr>
        <w:pStyle w:val="Prrafodelista"/>
        <w:numPr>
          <w:ilvl w:val="0"/>
          <w:numId w:val="2"/>
        </w:numPr>
        <w:spacing w:after="120" w:line="290" w:lineRule="auto"/>
      </w:pPr>
      <w:r>
        <w:t>Pestaña 'Ingresos' (🟢 Entradas): Muestra las categorías asociadas a fuentes de remuneración (salario, bonificaciones, rentas e inversiones).</w:t>
      </w:r>
    </w:p>
    <w:p w14:paraId="4B99056E" w14:textId="0BE904F6" w:rsidR="00947E41" w:rsidRDefault="00FA5244" w:rsidP="05AEF724">
      <w:pPr>
        <w:pStyle w:val="Prrafodelista"/>
        <w:numPr>
          <w:ilvl w:val="0"/>
          <w:numId w:val="2"/>
        </w:numPr>
        <w:spacing w:after="120" w:line="290" w:lineRule="auto"/>
      </w:pPr>
      <w:r>
        <w:t>Buscador Predictivo en Tiempo Real: Permite localizar al instante cualquier categoría mediante filtrado por texto con ícono SVG y debounce inmediato.</w:t>
      </w:r>
    </w:p>
    <w:p w14:paraId="061C70C5" w14:textId="77777777" w:rsidR="0053386A" w:rsidRDefault="006529D5">
      <w:pPr>
        <w:pStyle w:val="Prrafodelista"/>
        <w:numPr>
          <w:ilvl w:val="0"/>
          <w:numId w:val="2"/>
        </w:numPr>
        <w:spacing w:after="120" w:line="290" w:lineRule="auto"/>
      </w:pPr>
      <w:r>
        <w:t>Botón de Limpieza Inmediata (✕): Restaura instantáneamente la visualización completa del catálogo al cancelar el criterio de búsqueda.</w:t>
      </w:r>
    </w:p>
    <w:p w14:paraId="731AFE77" w14:textId="3EDB7342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Optimización extrema del tiempo de gestión; permite alternar y localizar conceptos en menos de un segundo sin provocar recargas de página.</w:t>
      </w:r>
      <w:r>
        <w:t xml:space="preserve">Optimización extrema del tiempo de gestión; permite alternar y localizar </w:t>
      </w:r>
      <w:r>
        <w:lastRenderedPageBreak/>
        <w:t>conceptos en menos de un segundo sin provocar recargas de página.</w:t>
      </w:r>
      <w:r w:rsidR="47732D04">
        <w:rPr>
          <w:noProof/>
        </w:rPr>
        <w:drawing>
          <wp:inline distT="0" distB="0" distL="0" distR="0" wp14:anchorId="5D699D29" wp14:editId="3D90AEFC">
            <wp:extent cx="6381750" cy="935670"/>
            <wp:effectExtent l="0" t="0" r="0" b="0"/>
            <wp:docPr id="2006915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5802" name="Picture 20069158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3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F00" w14:textId="77777777" w:rsidR="00947E41" w:rsidRDefault="00947E41">
      <w:pPr>
        <w:spacing w:after="320"/>
      </w:pPr>
    </w:p>
    <w:p w14:paraId="3461D779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53F34613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Cuadrícula Glassmorphism de Tarjetas de Categorías</w:t>
      </w:r>
      <w:r>
        <w:rPr>
          <w:rFonts w:ascii="Century Gothic" w:eastAsia="Century Gothic" w:hAnsi="Century Gothic" w:cs="Century Gothic"/>
          <w:b/>
          <w:bCs/>
          <w:color w:val="38BDF8"/>
        </w:rPr>
        <w:t>Cuadrícula Glassmorphism de Tarjetas de Categorías</w:t>
      </w:r>
    </w:p>
    <w:p w14:paraId="6DE0ECFF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Organiza las categorías en tarjetas translúcidas con resplandor perimetral reactivo (--cat-glow). Cada tarjeta incluye: avatar con símbolo/emoji temático, distintivo de tipo ('Sistema' vs 'Personalizada'), botones de edición y eliminación, dot de color representativo, métricas de transacciones asociadas, gasto acumulado en el mes (expresado en Quetzales 'Q XX.XX') y botón de acceso directo a Presupuestos.</w:t>
      </w:r>
      <w:r>
        <w:t>Organiza las categorías en tarjetas translúcidas con resplandor perimetral reactivo (--cat-glow). Cada tarjeta incluye: avatar con símbolo/emoji temático, distintivo de tipo ('Sistema' vs 'Personalizada'), botones de edición y eliminación, dot de color representativo, métricas de transacciones asociadas, gasto acumulado en el mes (expresado en Quetzales 'Q XX.XX') y botón de acceso directo a Presupuestos.Organiza las categorías en tarjetas translúcidas con resplandor perimetral reactivo (--cat-glow). Cada tarjeta incluye: avatar con símbolo/emoji temático, distintivo de tipo ('Sistema' vs 'Personalizada'), botones de edición y eliminación, dot de color representativo, métricas de transacciones asociadas, gasto acumulado en el mes (expresado en Quetzales 'Q XX.XX') y botón de acceso directo a Presupuestos.</w:t>
      </w:r>
    </w:p>
    <w:p w14:paraId="6A2C0376" w14:textId="0968C6CC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Proporciona visibilidad analítica inmediata sobre qué categorías concentran mayor volumen transaccional y monto monetario, permitiendo auditar y sincronizar límites con el módulo de presupuestos.</w:t>
      </w:r>
      <w:r>
        <w:t xml:space="preserve">Proporciona visibilidad analítica inmediata sobre qué categorías concentran mayor volumen transaccional y monto monetario, </w:t>
      </w:r>
      <w:r>
        <w:lastRenderedPageBreak/>
        <w:t>permitiendo auditar y sincronizar límites con el módulo de presupuestos.</w:t>
      </w:r>
      <w:r w:rsidR="2F28E334">
        <w:rPr>
          <w:noProof/>
        </w:rPr>
        <w:drawing>
          <wp:inline distT="0" distB="0" distL="0" distR="0" wp14:anchorId="354E6F83" wp14:editId="7DA14D91">
            <wp:extent cx="6381750" cy="2591086"/>
            <wp:effectExtent l="0" t="0" r="0" b="0"/>
            <wp:docPr id="1509639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9087" name="Picture 15096390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5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278" w14:textId="77777777" w:rsidR="00947E41" w:rsidRDefault="00947E41">
      <w:pPr>
        <w:spacing w:after="320"/>
      </w:pPr>
    </w:p>
    <w:p w14:paraId="7216E814" w14:textId="48F90523" w:rsidR="05AEF724" w:rsidRDefault="05AEF724" w:rsidP="05AEF724">
      <w:pPr>
        <w:spacing w:after="320"/>
      </w:pPr>
    </w:p>
    <w:p w14:paraId="1FC39945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204F749A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Modal Interactivo de Creación y Edición de Categorías</w:t>
      </w:r>
      <w:r>
        <w:rPr>
          <w:rFonts w:ascii="Century Gothic" w:eastAsia="Century Gothic" w:hAnsi="Century Gothic" w:cs="Century Gothic"/>
          <w:b/>
          <w:bCs/>
          <w:color w:val="38BDF8"/>
        </w:rPr>
        <w:t>Modal Interactivo de Creación y Edición de Categorías</w:t>
      </w:r>
    </w:p>
    <w:p w14:paraId="1AF9A99A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Ventana modal emergente con efecto backdrop-blur que permite registrar o actualizar categorías mediante un asistente completo: 1) Nombre de la categoría (con límite y validación); 2) Tipo de Flujo (🔴 Egresos vs 🟢 Ingresos); 3) Cuadrícula de 19 iconos curados; 4) Paleta de 9 colores distintivos; 5) Componente 'Vista Previa' en tiempo real; y 6) Botones de acción 'Cancelar' y 'Crear Categoría'.</w:t>
      </w:r>
      <w:r>
        <w:t>Ventana modal emergente con efecto backdrop-blur que permite registrar o actualizar categorías mediante un asistente completo: 1) Nombre de la categoría (con límite y validación); 2) Tipo de Flujo (🔴 Egresos vs 🟢 Ingresos); 3) Cuadrícula de 19 iconos curados; 4) Paleta de 9 colores distintivos; 5) Componente 'Vista Previa' en tiempo real; y 6) Botones de acción 'Cancelar' y 'Crear Categoría'.</w:t>
      </w:r>
    </w:p>
    <w:p w14:paraId="72622C30" w14:textId="0F0E3476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Flexibilidad absoluta para modelar la estructura contable a las necesidades del cliente, asegurando coherencia visual inmediata gracias a la previsualización interactiva.</w:t>
      </w:r>
      <w:r>
        <w:t>Flexibilidad absoluta para modelar la estructura contable a las necesidades del cliente, asegurando coherencia visual inmediata gracias a la previsualización interactiva.</w:t>
      </w:r>
    </w:p>
    <w:p w14:paraId="34CE0A41" w14:textId="7B59915A" w:rsidR="00947E41" w:rsidRDefault="75BE8CC9" w:rsidP="05AEF724">
      <w:pPr>
        <w:spacing w:after="160" w:line="300" w:lineRule="auto"/>
        <w:jc w:val="both"/>
      </w:pPr>
      <w:r>
        <w:rPr>
          <w:noProof/>
        </w:rPr>
        <w:lastRenderedPageBreak/>
        <w:drawing>
          <wp:inline distT="0" distB="0" distL="0" distR="0" wp14:anchorId="647AACBC" wp14:editId="57658276">
            <wp:extent cx="6381750" cy="2687052"/>
            <wp:effectExtent l="0" t="0" r="0" b="0"/>
            <wp:docPr id="523514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4162" name="Picture 5235141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68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F3C5" w14:textId="77777777" w:rsidR="00947E41" w:rsidRDefault="00947E41">
      <w:pPr>
        <w:pBdr>
          <w:bottom w:val="single" w:sz="8" w:space="1" w:color="6366F1"/>
        </w:pBdr>
        <w:spacing w:before="60" w:after="240"/>
      </w:pPr>
    </w:p>
    <w:p w14:paraId="49F74B41" w14:textId="77777777" w:rsidR="00947E41" w:rsidRDefault="00FA5244">
      <w:pPr>
        <w:pStyle w:val="Ttulo2"/>
        <w:keepNext/>
        <w:spacing w:before="40" w:after="180"/>
      </w:pPr>
      <w:r>
        <w:rPr>
          <w:rFonts w:ascii="Century Gothic" w:eastAsia="Century Gothic" w:hAnsi="Century Gothic" w:cs="Century Gothic"/>
          <w:b/>
          <w:bCs/>
          <w:color w:val="C084FC"/>
        </w:rPr>
        <w:t>Modal de Eliminación Segura y Reasignación de Historial</w:t>
      </w:r>
      <w:r>
        <w:rPr>
          <w:rFonts w:ascii="Century Gothic" w:eastAsia="Century Gothic" w:hAnsi="Century Gothic" w:cs="Century Gothic"/>
          <w:b/>
          <w:bCs/>
          <w:color w:val="38BDF8"/>
        </w:rPr>
        <w:t>Modal de Eliminación Segura y Reasignación de Historial</w:t>
      </w:r>
    </w:p>
    <w:p w14:paraId="52BAD72F" w14:textId="77777777" w:rsidR="00947E41" w:rsidRDefault="00FA5244">
      <w:pPr>
        <w:spacing w:after="160" w:line="300" w:lineRule="auto"/>
        <w:jc w:val="both"/>
      </w:pPr>
      <w:r>
        <w:rPr>
          <w:b/>
          <w:bCs/>
          <w:color w:val="38BDF8"/>
        </w:rPr>
        <w:t>Mecanismo de seguridad financiera y protección de integridad referencial. Cuando el usuario intenta eliminar una categoría que posee transacciones vinculadas, el sistema advierte el riesgo y despliega un selector obligatorio para reasignar automáticamente todo el historial transaccional a una categoría receptora (ej. 'Gastos Varios / General'), previniendo registros huérfanos o descuadres contables.</w:t>
      </w:r>
      <w:r>
        <w:t>Mecanismo de seguridad financiera y protección de integridad referencial. Cuando el usuario intenta eliminar una categoría que posee transacciones vinculadas, el sistema advierte el riesgo y despliega un selector obligatorio para reasignar automáticamente todo el historial transaccional a una categoría receptora (ej. 'Gastos Varios / General'), previniendo registros huérfanos o descuadres contables.</w:t>
      </w:r>
    </w:p>
    <w:p w14:paraId="08BC6CEF" w14:textId="671A87FD" w:rsidR="00947E41" w:rsidRDefault="00FA5244" w:rsidP="05AEF724">
      <w:pPr>
        <w:spacing w:after="160" w:line="300" w:lineRule="auto"/>
        <w:jc w:val="both"/>
      </w:pPr>
      <w:r w:rsidRPr="05AEF724">
        <w:rPr>
          <w:b/>
          <w:bCs/>
          <w:color w:val="38BDF8"/>
        </w:rPr>
        <w:t>Integridad patrimonial garantizada; el cliente tiene la certeza de que ninguna transacción histórica se perderá o corromperá al reorganizar su catálogo.</w:t>
      </w:r>
      <w:r>
        <w:t xml:space="preserve">Integridad patrimonial garantizada; el cliente tiene la certeza de que </w:t>
      </w:r>
      <w:r>
        <w:lastRenderedPageBreak/>
        <w:t>ninguna transacción histórica se perderá o corromperá al reorganizar su catálogo.</w:t>
      </w:r>
      <w:r w:rsidR="4E0CFAE6">
        <w:rPr>
          <w:noProof/>
        </w:rPr>
        <w:drawing>
          <wp:inline distT="0" distB="0" distL="0" distR="0" wp14:anchorId="74F55AB8" wp14:editId="623288E0">
            <wp:extent cx="3800000" cy="4062068"/>
            <wp:effectExtent l="0" t="0" r="0" b="0"/>
            <wp:docPr id="713465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5193" name="Picture 7134651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40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947E41" w:rsidRDefault="00947E41">
      <w:pPr>
        <w:spacing w:after="320"/>
      </w:pPr>
    </w:p>
    <w:p w14:paraId="5997CC1D" w14:textId="77777777" w:rsidR="00947E41" w:rsidRDefault="00947E41">
      <w:pPr>
        <w:pBdr>
          <w:bottom w:val="single" w:sz="16" w:space="1" w:color="38BDF8"/>
        </w:pBdr>
        <w:spacing w:before="60" w:after="240"/>
      </w:pPr>
    </w:p>
    <w:p w14:paraId="081D1C15" w14:textId="77777777" w:rsidR="00947E41" w:rsidRDefault="00FA5244">
      <w:pPr>
        <w:pStyle w:val="Ttulo1"/>
        <w:keepNext/>
        <w:spacing w:before="40" w:after="220"/>
      </w:pPr>
      <w:r>
        <w:rPr>
          <w:rFonts w:ascii="Century Gothic" w:eastAsia="Century Gothic" w:hAnsi="Century Gothic" w:cs="Century Gothic"/>
          <w:b/>
          <w:bCs/>
          <w:color w:val="C084FC"/>
        </w:rPr>
        <w:t xml:space="preserve">3. </w:t>
      </w:r>
      <w:r>
        <w:rPr>
          <w:rFonts w:ascii="Century Gothic" w:eastAsia="Century Gothic" w:hAnsi="Century Gothic" w:cs="Century Gothic"/>
          <w:b/>
          <w:bCs/>
          <w:color w:val="38BDF8"/>
        </w:rPr>
        <w:t>Conclusión y Próximos Pasos para Autorización</w:t>
      </w:r>
    </w:p>
    <w:p w14:paraId="1DD14642" w14:textId="77777777" w:rsidR="00947E41" w:rsidRDefault="00FA5244">
      <w:pPr>
        <w:spacing w:after="200" w:line="300" w:lineRule="auto"/>
        <w:jc w:val="both"/>
      </w:pPr>
      <w:r>
        <w:t>El Módulo de Catálogo de Categorías de control-gastos consolida la columna vertebral de organización y análisis de toda la plataforma. Al combinar una interfaz Glassmorphism ultramoderna con estrictas reglas de integridad de datos y reasignación asistida, se ofrece al usuario una experiencia ergonómica, segura y visualmente inspiradora.</w:t>
      </w:r>
    </w:p>
    <w:p w14:paraId="754A1EEB" w14:textId="77777777" w:rsidR="00947E41" w:rsidRDefault="00FA5244">
      <w:pPr>
        <w:spacing w:after="200" w:line="300" w:lineRule="auto"/>
        <w:jc w:val="both"/>
      </w:pPr>
      <w:r>
        <w:t>Quedamos a su entera disposición para recibir su retroalimentación y autorización formal para el despliegue final.</w:t>
      </w:r>
    </w:p>
    <w:p w14:paraId="110FFD37" w14:textId="77777777" w:rsidR="00947E41" w:rsidRDefault="00947E41">
      <w:pPr>
        <w:spacing w:after="400"/>
      </w:pPr>
    </w:p>
    <w:p w14:paraId="75CD6BD8" w14:textId="77777777" w:rsidR="00947E41" w:rsidRDefault="00FA5244">
      <w:pPr>
        <w:spacing w:after="40"/>
      </w:pPr>
      <w:r>
        <w:rPr>
          <w:rFonts w:ascii="Century Gothic" w:eastAsia="Century Gothic" w:hAnsi="Century Gothic" w:cs="Century Gothic"/>
          <w:b/>
          <w:bCs/>
          <w:color w:val="FFFFFF"/>
          <w:sz w:val="24"/>
          <w:szCs w:val="24"/>
        </w:rPr>
        <w:t>André Paolo García Valdéz</w:t>
      </w:r>
    </w:p>
    <w:p w14:paraId="09836C31" w14:textId="77777777" w:rsidR="00947E41" w:rsidRDefault="00FA5244">
      <w:pPr>
        <w:spacing w:after="40"/>
      </w:pPr>
      <w:r>
        <w:rPr>
          <w:i/>
          <w:iCs/>
          <w:color w:val="38BDF8"/>
          <w:sz w:val="20"/>
          <w:szCs w:val="20"/>
        </w:rPr>
        <w:t>Desarrollador del Proyecto control-gastos</w:t>
      </w:r>
    </w:p>
    <w:p w14:paraId="3F3122A3" w14:textId="77777777" w:rsidR="00947E41" w:rsidRDefault="00FA5244">
      <w:r>
        <w:rPr>
          <w:color w:val="9AA5C9"/>
          <w:sz w:val="20"/>
          <w:szCs w:val="20"/>
        </w:rPr>
        <w:t>Carné: 2022075 — Sección: IN5AM</w:t>
      </w:r>
    </w:p>
    <w:sectPr w:rsidR="00947E41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300" w:right="1100" w:bottom="12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2385" w14:textId="77777777" w:rsidR="00A408DB" w:rsidRDefault="00A408DB">
      <w:r>
        <w:separator/>
      </w:r>
    </w:p>
  </w:endnote>
  <w:endnote w:type="continuationSeparator" w:id="0">
    <w:p w14:paraId="0C345DF1" w14:textId="77777777" w:rsidR="00A408DB" w:rsidRDefault="00A40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374D" w14:textId="0164BF91" w:rsidR="00947E41" w:rsidRDefault="00FA5244">
    <w:pPr>
      <w:pBdr>
        <w:top w:val="single" w:sz="8" w:space="6" w:color="6366F1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2</w:t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3</w:t>
    </w:r>
    <w:r>
      <w:rPr>
        <w:b/>
        <w:bCs/>
        <w:color w:val="38BDF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1F50C" w14:textId="344197CB" w:rsidR="00947E41" w:rsidRDefault="00FA5244">
    <w:pPr>
      <w:pBdr>
        <w:top w:val="single" w:sz="8" w:space="6" w:color="6366F1"/>
      </w:pBdr>
      <w:jc w:val="center"/>
    </w:pPr>
    <w:r>
      <w:rPr>
        <w:color w:val="9AA5C9"/>
        <w:sz w:val="16"/>
        <w:szCs w:val="16"/>
      </w:rPr>
      <w:t xml:space="preserve">André Paolo García Valdéz  ·  </w:t>
    </w:r>
    <w:r>
      <w:rPr>
        <w:b/>
        <w:bCs/>
        <w:color w:val="38BDF8"/>
        <w:sz w:val="16"/>
        <w:szCs w:val="16"/>
      </w:rPr>
      <w:t xml:space="preserve">Página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PAGE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1</w:t>
    </w:r>
    <w:r>
      <w:rPr>
        <w:b/>
        <w:bCs/>
        <w:color w:val="38BDF8"/>
        <w:sz w:val="16"/>
        <w:szCs w:val="16"/>
      </w:rPr>
      <w:fldChar w:fldCharType="end"/>
    </w:r>
    <w:r>
      <w:rPr>
        <w:b/>
        <w:bCs/>
        <w:color w:val="38BDF8"/>
        <w:sz w:val="16"/>
        <w:szCs w:val="16"/>
      </w:rPr>
      <w:t xml:space="preserve"> de </w:t>
    </w:r>
    <w:r>
      <w:rPr>
        <w:b/>
        <w:bCs/>
        <w:color w:val="38BDF8"/>
        <w:sz w:val="16"/>
        <w:szCs w:val="16"/>
      </w:rPr>
      <w:fldChar w:fldCharType="begin"/>
    </w:r>
    <w:r>
      <w:rPr>
        <w:b/>
        <w:bCs/>
        <w:color w:val="38BDF8"/>
        <w:sz w:val="16"/>
        <w:szCs w:val="16"/>
      </w:rPr>
      <w:instrText>NUMPAGES</w:instrText>
    </w:r>
    <w:r>
      <w:rPr>
        <w:b/>
        <w:bCs/>
        <w:color w:val="38BDF8"/>
        <w:sz w:val="16"/>
        <w:szCs w:val="16"/>
      </w:rPr>
      <w:fldChar w:fldCharType="separate"/>
    </w:r>
    <w:r w:rsidR="00716A69">
      <w:rPr>
        <w:b/>
        <w:bCs/>
        <w:noProof/>
        <w:color w:val="38BDF8"/>
        <w:sz w:val="16"/>
        <w:szCs w:val="16"/>
      </w:rPr>
      <w:t>2</w:t>
    </w:r>
    <w:r>
      <w:rPr>
        <w:b/>
        <w:bCs/>
        <w:color w:val="38BDF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D75E" w14:textId="77777777" w:rsidR="00A408DB" w:rsidRDefault="00A408DB">
      <w:r>
        <w:separator/>
      </w:r>
    </w:p>
  </w:footnote>
  <w:footnote w:type="continuationSeparator" w:id="0">
    <w:p w14:paraId="19B1193E" w14:textId="77777777" w:rsidR="00A408DB" w:rsidRDefault="00A408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7AE9" w14:textId="77777777" w:rsidR="00947E41" w:rsidRDefault="00FA5244">
    <w:pPr>
      <w:pBdr>
        <w:bottom w:val="single" w:sz="8" w:space="6" w:color="38BDF8"/>
      </w:pBdr>
      <w:tabs>
        <w:tab w:val="right" w:pos="9026"/>
      </w:tabs>
    </w:pPr>
    <w:r>
      <w:rPr>
        <w:noProof/>
      </w:rPr>
      <w:drawing>
        <wp:inline distT="0" distB="0" distL="0" distR="0" wp14:anchorId="58B37704" wp14:editId="07777777">
          <wp:extent cx="209550" cy="209550"/>
          <wp:effectExtent l="0" t="0" r="0" b="0"/>
          <wp:docPr id="267233705" name="Imagen 267233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CATEGORÍAS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05A34" w14:textId="77777777" w:rsidR="00947E41" w:rsidRDefault="00FA5244">
    <w:pPr>
      <w:pBdr>
        <w:bottom w:val="single" w:sz="8" w:space="6" w:color="38BDF8"/>
      </w:pBdr>
      <w:tabs>
        <w:tab w:val="right" w:pos="9026"/>
      </w:tabs>
    </w:pPr>
    <w:r>
      <w:rPr>
        <w:noProof/>
      </w:rPr>
      <w:drawing>
        <wp:inline distT="0" distB="0" distL="0" distR="0" wp14:anchorId="4CED7F46" wp14:editId="07777777">
          <wp:extent cx="209550" cy="209550"/>
          <wp:effectExtent l="0" t="0" r="0" b="0"/>
          <wp:docPr id="1819165561" name="Imagen 1819165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AA5C9"/>
        <w:sz w:val="16"/>
        <w:szCs w:val="16"/>
      </w:rPr>
      <w:t xml:space="preserve">  PROPUESTA CATEGORÍAS · CONTROL DE GASTOS</w:t>
    </w:r>
    <w:r>
      <w:rPr>
        <w:sz w:val="16"/>
        <w:szCs w:val="16"/>
      </w:rPr>
      <w:tab/>
    </w:r>
    <w:r>
      <w:rPr>
        <w:b/>
        <w:bCs/>
        <w:color w:val="C084FC"/>
        <w:sz w:val="16"/>
        <w:szCs w:val="16"/>
      </w:rPr>
      <w:t>AUTORIZACIÓN DE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3CBD"/>
    <w:multiLevelType w:val="hybridMultilevel"/>
    <w:tmpl w:val="FFFFFFFF"/>
    <w:lvl w:ilvl="0" w:tplc="9B102A9C">
      <w:start w:val="1"/>
      <w:numFmt w:val="decimal"/>
      <w:lvlText w:val="%1."/>
      <w:lvlJc w:val="left"/>
      <w:pPr>
        <w:ind w:left="576" w:hanging="360"/>
      </w:pPr>
      <w:rPr>
        <w:b/>
        <w:bCs/>
        <w:color w:val="38BDF8"/>
      </w:rPr>
    </w:lvl>
    <w:lvl w:ilvl="1" w:tplc="FD926942">
      <w:numFmt w:val="decimal"/>
      <w:lvlText w:val=""/>
      <w:lvlJc w:val="left"/>
    </w:lvl>
    <w:lvl w:ilvl="2" w:tplc="6A0E0B0A">
      <w:numFmt w:val="decimal"/>
      <w:lvlText w:val=""/>
      <w:lvlJc w:val="left"/>
    </w:lvl>
    <w:lvl w:ilvl="3" w:tplc="BD423A0A">
      <w:numFmt w:val="decimal"/>
      <w:lvlText w:val=""/>
      <w:lvlJc w:val="left"/>
    </w:lvl>
    <w:lvl w:ilvl="4" w:tplc="1E1A4004">
      <w:numFmt w:val="decimal"/>
      <w:lvlText w:val=""/>
      <w:lvlJc w:val="left"/>
    </w:lvl>
    <w:lvl w:ilvl="5" w:tplc="28D26542">
      <w:numFmt w:val="decimal"/>
      <w:lvlText w:val=""/>
      <w:lvlJc w:val="left"/>
    </w:lvl>
    <w:lvl w:ilvl="6" w:tplc="ECCE1C5E">
      <w:numFmt w:val="decimal"/>
      <w:lvlText w:val=""/>
      <w:lvlJc w:val="left"/>
    </w:lvl>
    <w:lvl w:ilvl="7" w:tplc="8ED27D9C">
      <w:numFmt w:val="decimal"/>
      <w:lvlText w:val=""/>
      <w:lvlJc w:val="left"/>
    </w:lvl>
    <w:lvl w:ilvl="8" w:tplc="46C08C7C">
      <w:numFmt w:val="decimal"/>
      <w:lvlText w:val=""/>
      <w:lvlJc w:val="left"/>
    </w:lvl>
  </w:abstractNum>
  <w:abstractNum w:abstractNumId="1" w15:restartNumberingAfterBreak="0">
    <w:nsid w:val="552C530F"/>
    <w:multiLevelType w:val="hybridMultilevel"/>
    <w:tmpl w:val="FFFFFFFF"/>
    <w:lvl w:ilvl="0" w:tplc="80745B86">
      <w:start w:val="1"/>
      <w:numFmt w:val="bullet"/>
      <w:lvlText w:val="●"/>
      <w:lvlJc w:val="left"/>
      <w:pPr>
        <w:ind w:left="720" w:hanging="360"/>
      </w:pPr>
    </w:lvl>
    <w:lvl w:ilvl="1" w:tplc="986AB4E2">
      <w:start w:val="1"/>
      <w:numFmt w:val="bullet"/>
      <w:lvlText w:val="○"/>
      <w:lvlJc w:val="left"/>
      <w:pPr>
        <w:ind w:left="1440" w:hanging="360"/>
      </w:pPr>
    </w:lvl>
    <w:lvl w:ilvl="2" w:tplc="EF4E4BDC">
      <w:start w:val="1"/>
      <w:numFmt w:val="bullet"/>
      <w:lvlText w:val="■"/>
      <w:lvlJc w:val="left"/>
      <w:pPr>
        <w:ind w:left="2160" w:hanging="360"/>
      </w:pPr>
    </w:lvl>
    <w:lvl w:ilvl="3" w:tplc="A81E343C">
      <w:start w:val="1"/>
      <w:numFmt w:val="bullet"/>
      <w:lvlText w:val="●"/>
      <w:lvlJc w:val="left"/>
      <w:pPr>
        <w:ind w:left="2880" w:hanging="360"/>
      </w:pPr>
    </w:lvl>
    <w:lvl w:ilvl="4" w:tplc="3E68B052">
      <w:start w:val="1"/>
      <w:numFmt w:val="bullet"/>
      <w:lvlText w:val="○"/>
      <w:lvlJc w:val="left"/>
      <w:pPr>
        <w:ind w:left="3600" w:hanging="360"/>
      </w:pPr>
    </w:lvl>
    <w:lvl w:ilvl="5" w:tplc="ADD65B60">
      <w:start w:val="1"/>
      <w:numFmt w:val="bullet"/>
      <w:lvlText w:val="■"/>
      <w:lvlJc w:val="left"/>
      <w:pPr>
        <w:ind w:left="4320" w:hanging="360"/>
      </w:pPr>
    </w:lvl>
    <w:lvl w:ilvl="6" w:tplc="C512C0B4">
      <w:start w:val="1"/>
      <w:numFmt w:val="bullet"/>
      <w:lvlText w:val="●"/>
      <w:lvlJc w:val="left"/>
      <w:pPr>
        <w:ind w:left="5040" w:hanging="360"/>
      </w:pPr>
    </w:lvl>
    <w:lvl w:ilvl="7" w:tplc="6EA8A3D6">
      <w:start w:val="1"/>
      <w:numFmt w:val="bullet"/>
      <w:lvlText w:val="●"/>
      <w:lvlJc w:val="left"/>
      <w:pPr>
        <w:ind w:left="5760" w:hanging="360"/>
      </w:pPr>
    </w:lvl>
    <w:lvl w:ilvl="8" w:tplc="C4629C98">
      <w:start w:val="1"/>
      <w:numFmt w:val="bullet"/>
      <w:lvlText w:val="●"/>
      <w:lvlJc w:val="left"/>
      <w:pPr>
        <w:ind w:left="6480" w:hanging="360"/>
      </w:pPr>
    </w:lvl>
  </w:abstractNum>
  <w:num w:numId="1" w16cid:durableId="583077882">
    <w:abstractNumId w:val="1"/>
    <w:lvlOverride w:ilvl="0">
      <w:startOverride w:val="1"/>
    </w:lvlOverride>
  </w:num>
  <w:num w:numId="2" w16cid:durableId="175194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E41"/>
    <w:rsid w:val="00154D66"/>
    <w:rsid w:val="001C3D73"/>
    <w:rsid w:val="00447391"/>
    <w:rsid w:val="004A1C16"/>
    <w:rsid w:val="00516A27"/>
    <w:rsid w:val="0053386A"/>
    <w:rsid w:val="005C6857"/>
    <w:rsid w:val="006529D5"/>
    <w:rsid w:val="0069073F"/>
    <w:rsid w:val="00716A69"/>
    <w:rsid w:val="007E43E0"/>
    <w:rsid w:val="00947E41"/>
    <w:rsid w:val="009E5478"/>
    <w:rsid w:val="00A408DB"/>
    <w:rsid w:val="00B05637"/>
    <w:rsid w:val="00DE18D3"/>
    <w:rsid w:val="00E6443F"/>
    <w:rsid w:val="00F45277"/>
    <w:rsid w:val="00FA5244"/>
    <w:rsid w:val="05AEF724"/>
    <w:rsid w:val="150BEF43"/>
    <w:rsid w:val="17158C58"/>
    <w:rsid w:val="1BB8D292"/>
    <w:rsid w:val="2693CE77"/>
    <w:rsid w:val="2BB737BF"/>
    <w:rsid w:val="2F28E334"/>
    <w:rsid w:val="30405C11"/>
    <w:rsid w:val="3E02ABFC"/>
    <w:rsid w:val="41A4C58B"/>
    <w:rsid w:val="41FA0BDF"/>
    <w:rsid w:val="45281C25"/>
    <w:rsid w:val="47732D04"/>
    <w:rsid w:val="4D04EDCE"/>
    <w:rsid w:val="4E0CFAE6"/>
    <w:rsid w:val="69A2B8BA"/>
    <w:rsid w:val="75BE8CC9"/>
    <w:rsid w:val="777E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6E27BFB"/>
  <w15:docId w15:val="{FA94EE58-8BE6-433C-9E80-0CDC812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DCE3F7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1444</Words>
  <Characters>9006</Characters>
  <Application>Microsoft Office Word</Application>
  <DocSecurity>0</DocSecurity>
  <Lines>148</Lines>
  <Paragraphs>41</Paragraphs>
  <ScaleCrop>false</ScaleCrop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Paolo .</cp:lastModifiedBy>
  <cp:revision>8</cp:revision>
  <dcterms:created xsi:type="dcterms:W3CDTF">2026-08-26T13:37:00Z</dcterms:created>
  <dcterms:modified xsi:type="dcterms:W3CDTF">2026-09-14T07:49:00Z</dcterms:modified>
</cp:coreProperties>
</file>