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50711"/>
  <w:body>
    <w:p w14:paraId="6EC93065" w14:textId="77777777" w:rsidR="00947E41" w:rsidRDefault="00FA5244">
      <w:pPr>
        <w:spacing w:after="300"/>
      </w:pPr>
      <w:r>
        <w:rPr>
          <w:rFonts w:ascii="Century Gothic" w:eastAsia="Century Gothic" w:hAnsi="Century Gothic" w:cs="Century Gothic"/>
          <w:b/>
          <w:bCs/>
          <w:color w:val="38BDF8"/>
          <w:sz w:val="40"/>
          <w:szCs w:val="40"/>
        </w:rPr>
        <w:t>Índice</w:t>
      </w:r>
    </w:p>
    <w:p w14:paraId="6A05A809" w14:textId="77777777" w:rsidR="00947E41" w:rsidRDefault="00947E41">
      <w:pPr>
        <w:pBdr>
          <w:bottom w:val="single" w:sz="14" w:space="1" w:color="C084FC"/>
        </w:pBdr>
        <w:spacing w:before="60" w:after="240"/>
      </w:pPr>
    </w:p>
    <w:p w14:paraId="0B86ADBA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1.  </w:t>
      </w:r>
      <w:r>
        <w:rPr>
          <w:sz w:val="24"/>
          <w:szCs w:val="24"/>
        </w:rPr>
        <w:t>Resumen Ejecutivo y Propósito del Módulo de Informes &amp; Inteligencia Financiera</w:t>
      </w:r>
    </w:p>
    <w:p w14:paraId="0782B15E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2.  </w:t>
      </w:r>
      <w:r>
        <w:rPr>
          <w:sz w:val="24"/>
          <w:szCs w:val="24"/>
        </w:rPr>
        <w:t>Desglose Explicativo Módulo por Módulo</w:t>
      </w:r>
    </w:p>
    <w:p w14:paraId="1C03447B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3.  </w:t>
      </w:r>
      <w:r>
        <w:rPr>
          <w:sz w:val="24"/>
          <w:szCs w:val="24"/>
        </w:rPr>
        <w:t>Conclusión y Próximos Pasos para Autorización</w:t>
      </w:r>
    </w:p>
    <w:p w14:paraId="5A39BBE3" w14:textId="77777777" w:rsidR="00947E41" w:rsidRDefault="00FA5244">
      <w:r>
        <w:br w:type="page"/>
      </w:r>
    </w:p>
    <w:p w14:paraId="41C8F396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7004B8C0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1. </w:t>
      </w:r>
      <w:r>
        <w:rPr>
          <w:rFonts w:ascii="Century Gothic" w:eastAsia="Century Gothic" w:hAnsi="Century Gothic" w:cs="Century Gothic"/>
          <w:b/>
          <w:bCs/>
          <w:color w:val="38BDF8"/>
        </w:rPr>
        <w:t>Resumen Ejecutivo y Propósito del Módulo de Informes &amp; Inteligencia Financiera</w:t>
      </w:r>
    </w:p>
    <w:p w14:paraId="64A2C9B3" w14:textId="77777777" w:rsidR="00947E41" w:rsidRDefault="00FA5244">
      <w:pPr>
        <w:keepNext/>
        <w:spacing w:after="200" w:line="300" w:lineRule="auto"/>
        <w:jc w:val="both"/>
      </w:pPr>
      <w:r>
        <w:rPr>
          <w:b/>
          <w:bCs/>
        </w:rPr>
        <w:t>Estimado Cliente,</w:t>
      </w:r>
    </w:p>
    <w:p w14:paraId="25983417" w14:textId="77777777" w:rsidR="00947E41" w:rsidRDefault="00FA5244">
      <w:pPr>
        <w:spacing w:after="200" w:line="300" w:lineRule="auto"/>
        <w:jc w:val="both"/>
      </w:pPr>
      <w:r>
        <w:t>El presente documento expone la propuesta de mapeo funcional y arquitectura del Módulo de Informes &amp; Reportes Financieros de la aplicación control-gastos. Esta vista ha sido diseñada como el centro neurálgico de inteligencia financiera, auditoría analítica y contingencia patrimonial, integrando analítica descriptiva, balance neto en vivo, segregación por medios de pago y herramientas profesionales de exportación y respaldo.</w:t>
      </w:r>
    </w:p>
    <w:p w14:paraId="239C9E48" w14:textId="77777777" w:rsidR="00947E41" w:rsidRDefault="00FA5244">
      <w:pPr>
        <w:spacing w:after="200" w:line="300" w:lineRule="auto"/>
        <w:jc w:val="both"/>
      </w:pPr>
      <w:r>
        <w:t>Bajo una sofisticada interfaz construida bajo la filosofía Glassmorphism 4K configurada en tonos cian (#38BDF8), violeta (#C084FC) y verde esmeralda (#34D399) sobre un fondo medianoche (#070918), el módulo ofrece filtrado temporal granular, KPIs de superávit/déficit en tiempo real, gráficos vectoriales SVG y una suite completa para exportar en PDF formal, CSV para Excel y backups íntegros en JSON con garantía transaccional ACID en PostgreSQL.</w:t>
      </w:r>
    </w:p>
    <w:p w14:paraId="72A3D3EC" w14:textId="77777777" w:rsidR="00947E41" w:rsidRDefault="00947E41">
      <w:pPr>
        <w:spacing w:after="200"/>
      </w:pPr>
    </w:p>
    <w:p w14:paraId="0D0B940D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6B7E335F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2. </w:t>
      </w:r>
      <w:r>
        <w:rPr>
          <w:rFonts w:ascii="Century Gothic" w:eastAsia="Century Gothic" w:hAnsi="Century Gothic" w:cs="Century Gothic"/>
          <w:b/>
          <w:bCs/>
          <w:color w:val="38BDF8"/>
        </w:rPr>
        <w:t>Desglose Explicativo Módulo por Módulo</w:t>
      </w:r>
    </w:p>
    <w:p w14:paraId="71C65A2B" w14:textId="77777777" w:rsidR="00947E41" w:rsidRDefault="00FA5244">
      <w:pPr>
        <w:spacing w:after="200" w:line="300" w:lineRule="auto"/>
        <w:jc w:val="both"/>
      </w:pPr>
      <w:r>
        <w:t>A continuación, se detalla la función de cada sección de la vista de informes y reportes, el beneficio comercial para el cliente y la captura de pantalla correspondiente generada en alta resolución a partir del código real del proyecto:</w:t>
      </w:r>
    </w:p>
    <w:p w14:paraId="6AE2FE26" w14:textId="62867474" w:rsidR="30405C11" w:rsidRDefault="30405C11" w:rsidP="05AEF724">
      <w:pPr>
        <w:spacing w:after="200" w:line="300" w:lineRule="auto"/>
        <w:jc w:val="both"/>
      </w:pPr>
      <w:r>
        <w:rPr>
          <w:noProof/>
        </w:rPr>
        <w:lastRenderedPageBreak/>
        <w:drawing>
          <wp:inline distT="0" distB="0" distL="0" distR="0" wp14:anchorId="315A52EC" wp14:editId="0F5397D1">
            <wp:extent cx="5400000" cy="5130000"/>
            <wp:effectExtent l="0" t="0" r="0" b="0"/>
            <wp:docPr id="64882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2301" name="Picture 648823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947E41" w:rsidRDefault="00947E41">
      <w:pPr>
        <w:spacing w:after="120"/>
      </w:pPr>
    </w:p>
    <w:p w14:paraId="60061E4C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3A7FC367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Sidebar con Navegación y Acceso Directo a Informes &amp; Reportes</w:t>
      </w:r>
      <w:r>
        <w:rPr>
          <w:rFonts w:ascii="Century Gothic" w:eastAsia="Century Gothic" w:hAnsi="Century Gothic" w:cs="Century Gothic"/>
          <w:b/>
          <w:bCs/>
          <w:color w:val="38BDF8"/>
        </w:rPr>
        <w:t>Sidebar con Navegación y Acceso Directo a Informes &amp; Reportes</w:t>
      </w:r>
    </w:p>
    <w:p w14:paraId="79AF15EB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Es el menú de navegación lateral persistente de la plataforma. Presenta el logotipo corporativo de control-gastos, el Menú Principal (Dashboard, Transacciones, Presupuestos, Categorías), la sección de Analítica con el botón activo resaltado en cápsula azul neón ('Informes &amp; Reportes'), el acceso a Sistema ('Configuración') y el pie con la tarjeta del perfil de usuario y sesión activa.</w:t>
      </w:r>
      <w:r>
        <w:t>Es el menú de navegación lateral persistente de la plataforma. Presenta el logotipo corporativo de control-gastos, el Menú Principal (Dashboard, Transacciones, Presupuestos, Categorías), la sección de Analítica con el botón activo resaltado en cápsula azul neón ('Informes &amp; Reportes'), el acceso a Sistema ('Configuración') y el pie con la tarjeta del perfil de usuario y sesión activa.</w:t>
      </w:r>
    </w:p>
    <w:p w14:paraId="4E0A88AB" w14:textId="77777777" w:rsidR="00947E41" w:rsidRDefault="00FA5244">
      <w:pPr>
        <w:spacing w:after="160" w:line="300" w:lineRule="auto"/>
        <w:jc w:val="both"/>
      </w:pPr>
      <w:r w:rsidRPr="05AEF724">
        <w:rPr>
          <w:b/>
          <w:bCs/>
          <w:color w:val="38BDF8"/>
        </w:rPr>
        <w:t xml:space="preserve">Brinda una navegación ejecutiva ágil que permite alternar inmediatamente entre la auditoría de reportes y los módulos operativos de registro contable sin fricciones ni recargas completas.Brinda una navegación ejecutiva </w:t>
      </w:r>
      <w:r w:rsidRPr="05AEF724">
        <w:rPr>
          <w:b/>
          <w:bCs/>
          <w:color w:val="38BDF8"/>
        </w:rPr>
        <w:lastRenderedPageBreak/>
        <w:t>ágil que permite alternar inmediatamente entre la auditoría de reportes y los módulos operativos de registro contable sin fricciones ni recargas completas.</w:t>
      </w:r>
      <w:r>
        <w:t>Brinda una navegación ejecutiva ágil que permite alternar inmediatamente entre la auditoría de reportes y los módulos operativos de registro contable sin fricciones ni recargas completas.</w:t>
      </w:r>
    </w:p>
    <w:p w14:paraId="4B94D5A5" w14:textId="32FBAF99" w:rsidR="00947E41" w:rsidRDefault="3E02ABFC" w:rsidP="05AEF724">
      <w:pPr>
        <w:spacing w:after="320"/>
      </w:pPr>
      <w:r>
        <w:rPr>
          <w:noProof/>
        </w:rPr>
        <w:drawing>
          <wp:inline distT="0" distB="0" distL="0" distR="0" wp14:anchorId="38DCCECD" wp14:editId="1E536852">
            <wp:extent cx="1500000" cy="5555555"/>
            <wp:effectExtent l="0" t="0" r="0" b="0"/>
            <wp:docPr id="10383412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41246" name="Picture 1038341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55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042A9553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Módulo 2: </w:t>
      </w:r>
      <w:r>
        <w:rPr>
          <w:rFonts w:ascii="Century Gothic" w:eastAsia="Century Gothic" w:hAnsi="Century Gothic" w:cs="Century Gothic"/>
          <w:b/>
          <w:bCs/>
          <w:color w:val="38BDF8"/>
        </w:rPr>
        <w:t>Encabezado Superior (Topbar), Campana de Notificaciones y Control de Sesión</w:t>
      </w:r>
    </w:p>
    <w:p w14:paraId="458DB4AA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Mantiene la ruta de navegación contextual ('Control de Gastos — Informes &amp; Reportes'), el botón de colapso de la barra lateral, la campana interactiva de notificaciones con contador dinámico de avisos, el indicador de 'Sesión Activa' en verde esmeralda y el botón directo 'Cerrar Sesión'.</w:t>
      </w:r>
      <w:r>
        <w:t xml:space="preserve">Mantiene la ruta de navegación contextual ('Control de Gastos — Informes &amp; Reportes'), el botón de colapso de la barra lateral, la campana interactiva de </w:t>
      </w:r>
      <w:r>
        <w:lastRenderedPageBreak/>
        <w:t>notificaciones con contador dinámico de avisos, el indicador de 'Sesión Activa' en verde esmeralda y el botón directo 'Cerrar Sesión'.</w:t>
      </w:r>
    </w:p>
    <w:p w14:paraId="45FB0818" w14:textId="2498C22E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 xml:space="preserve">Valor para el Cliente: </w:t>
      </w:r>
      <w:r>
        <w:t>Garantiza supervisión en tiempo real de recordatorios de corte y alertas de pago, asegurando la autenticación y la integridad de las operaciones contables sensibles.</w:t>
      </w:r>
      <w:r w:rsidR="17158C58">
        <w:rPr>
          <w:noProof/>
        </w:rPr>
        <w:drawing>
          <wp:inline distT="0" distB="0" distL="0" distR="0" wp14:anchorId="49C63C2F" wp14:editId="482EC067">
            <wp:extent cx="6381750" cy="335881"/>
            <wp:effectExtent l="0" t="0" r="0" b="0"/>
            <wp:docPr id="762190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0641" name="Picture 7621906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3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31CB" w14:textId="7636F039" w:rsidR="00947E41" w:rsidRDefault="00947E41" w:rsidP="05AEF724">
      <w:pPr>
        <w:pBdr>
          <w:bottom w:val="single" w:sz="8" w:space="1" w:color="6366F1"/>
        </w:pBdr>
        <w:spacing w:before="60" w:after="240"/>
      </w:pPr>
    </w:p>
    <w:p w14:paraId="60D546A4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Encabezado de Vista y Toolbar de Acciones Rápidas</w:t>
      </w:r>
      <w:r>
        <w:rPr>
          <w:rFonts w:ascii="Century Gothic" w:eastAsia="Century Gothic" w:hAnsi="Century Gothic" w:cs="Century Gothic"/>
          <w:b/>
          <w:bCs/>
          <w:color w:val="38BDF8"/>
        </w:rPr>
        <w:t>Encabezado de Vista y Toolbar de Acciones Rápidas</w:t>
      </w:r>
    </w:p>
    <w:p w14:paraId="20592A5C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Presenta el título de la vista ('Informes &amp; Inteligencia Financiera'), el resumen descriptivo ('Consolidado analítico, auditoría de flujo de caja, desglose por medio de pago y gestión de respaldos') y la barra superior de acciones con botones de acceso directo: 'Backup JSON', 'Restaurar Copia' y 'Volver al Dashboard'.</w:t>
      </w:r>
      <w:r>
        <w:t>Presenta el título de la vista ('Informes &amp; Inteligencia Financiera'), el resumen descriptivo ('Consolidado analítico, auditoría de flujo de caja, desglose por medio de pago y gestión de respaldos') y la barra superior de acciones con botones de acceso directo: 'Backup JSON', 'Restaurar Copia' y 'Volver al Dashboard'.</w:t>
      </w:r>
    </w:p>
    <w:p w14:paraId="57E6A2EE" w14:textId="6EE749B4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Garantiza acceso inmediato en un solo clic a las herramientas más críticas de respaldo y contingencia de la base de datos sin obligar al usuario a desplazarse al final de la página.</w:t>
      </w:r>
      <w:r>
        <w:t>Garantiza acceso inmediato en un solo clic a las herramientas más críticas de respaldo y contingencia de la base de datos sin obligar al usuario a desplazarse al final de la página.</w:t>
      </w:r>
    </w:p>
    <w:p w14:paraId="62486C05" w14:textId="51DBFF28" w:rsidR="00947E41" w:rsidRDefault="69A2B8BA" w:rsidP="05AEF724">
      <w:pPr>
        <w:spacing w:after="160" w:line="300" w:lineRule="auto"/>
        <w:jc w:val="both"/>
      </w:pPr>
      <w:r>
        <w:rPr>
          <w:noProof/>
        </w:rPr>
        <w:drawing>
          <wp:inline distT="0" distB="0" distL="0" distR="0" wp14:anchorId="587C396C" wp14:editId="1CE37F90">
            <wp:extent cx="6381750" cy="527813"/>
            <wp:effectExtent l="0" t="0" r="0" b="0"/>
            <wp:docPr id="1861683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83115" name="Picture 1861683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2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52C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0416D032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Panel Horizontal de Filtros Paramétricos y Rango Temporal</w:t>
      </w:r>
      <w:r>
        <w:rPr>
          <w:rFonts w:ascii="Century Gothic" w:eastAsia="Century Gothic" w:hAnsi="Century Gothic" w:cs="Century Gothic"/>
          <w:b/>
          <w:bCs/>
          <w:color w:val="38BDF8"/>
        </w:rPr>
        <w:t>Panel Horizontal de Filtros Paramétricos y Rango Temporal</w:t>
      </w:r>
    </w:p>
    <w:p w14:paraId="141732ED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Permite acotar y filtrar la totalidad del informe financiero mediante controles ergonómicos combinados:</w:t>
      </w:r>
      <w:r>
        <w:t>Permite acotar y filtrar la totalidad del informe financiero mediante controles ergonómicos combinados:</w:t>
      </w:r>
    </w:p>
    <w:p w14:paraId="472BF656" w14:textId="77777777" w:rsidR="00947E41" w:rsidRDefault="00FA5244">
      <w:pPr>
        <w:pStyle w:val="Prrafodelista"/>
        <w:numPr>
          <w:ilvl w:val="0"/>
          <w:numId w:val="2"/>
        </w:numPr>
        <w:spacing w:after="120" w:line="290" w:lineRule="auto"/>
      </w:pPr>
      <w:r>
        <w:t>Píldoras de Rango Rápido: Botonera predefinida con selección instantánea para 'Este Mes', 'Mes Anterior', 'Último Trimestre', 'Este Año', 'Todo el Historial' y 'Personalizado'.</w:t>
      </w:r>
    </w:p>
    <w:p w14:paraId="210FD248" w14:textId="77777777" w:rsidR="00947E41" w:rsidRDefault="00FA5244">
      <w:pPr>
        <w:pStyle w:val="Prrafodelista"/>
        <w:numPr>
          <w:ilvl w:val="0"/>
          <w:numId w:val="2"/>
        </w:numPr>
        <w:spacing w:after="120" w:line="290" w:lineRule="auto"/>
      </w:pPr>
      <w:r>
        <w:t>Selectores de Fecha 'Desde' y 'Hasta': Inputs con validación de rango para auditorías contables puntuales o cierres quincenales.</w:t>
      </w:r>
    </w:p>
    <w:p w14:paraId="4B99056E" w14:textId="0BE904F6" w:rsidR="00947E41" w:rsidRDefault="00FA5244" w:rsidP="05AEF724">
      <w:pPr>
        <w:pStyle w:val="Prrafodelista"/>
        <w:numPr>
          <w:ilvl w:val="0"/>
          <w:numId w:val="2"/>
        </w:numPr>
        <w:spacing w:after="120" w:line="290" w:lineRule="auto"/>
      </w:pPr>
      <w:r>
        <w:t>Filtro por Tipo de Movimiento: Desplegable para alternar entre 'Todos los Movimientos', 'Solo Ingresos (Abonos)' y 'Solo Gastos (Egresos)'.</w:t>
      </w:r>
    </w:p>
    <w:p w14:paraId="061C70C5" w14:textId="77777777" w:rsidR="0053386A" w:rsidRDefault="006529D5">
      <w:pPr>
        <w:pStyle w:val="Prrafodelista"/>
        <w:numPr>
          <w:ilvl w:val="0"/>
          <w:numId w:val="2"/>
        </w:numPr>
        <w:spacing w:after="120" w:line="290" w:lineRule="auto"/>
      </w:pPr>
      <w:r>
        <w:lastRenderedPageBreak/>
        <w:t>Filtro por Categoría y Medio de Pago: Segmentación por categorías del sistema y vías de liquidación (Efectivo en Mano, Débito Bancario y Tarjetas de Crédito).</w:t>
      </w:r>
    </w:p>
    <w:p w14:paraId="731AFE77" w14:textId="3EDB7342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Capacidad analítica multidimensional instantánea; el cliente puede responder en segundos cualquier duda fiscal, financiera o de consumo comparando períodos pasados.</w:t>
      </w:r>
      <w:r>
        <w:t>Capacidad analítica multidimensional instantánea; el cliente puede responder en segundos cualquier duda fiscal, financiera o de consumo comparando períodos pasados.Capacidad analítica multidimensional instantánea; el cliente puede responder en segundos cualquier duda fiscal, financiera o de consumo comparando períodos pasados.</w:t>
      </w:r>
      <w:r w:rsidR="47732D04">
        <w:rPr>
          <w:noProof/>
        </w:rPr>
        <w:drawing>
          <wp:inline distT="0" distB="0" distL="0" distR="0" wp14:anchorId="5D699D29" wp14:editId="3D90AEFC">
            <wp:extent cx="6381750" cy="935670"/>
            <wp:effectExtent l="0" t="0" r="0" b="0"/>
            <wp:docPr id="2006915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15802" name="Picture 20069158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93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F00" w14:textId="77777777" w:rsidR="00947E41" w:rsidRDefault="00947E41">
      <w:pPr>
        <w:spacing w:after="320"/>
      </w:pPr>
    </w:p>
    <w:p w14:paraId="3461D779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53F34613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Banda Ejecutiva de 5 KPIs Financieros de Alta Dirección</w:t>
      </w:r>
      <w:r>
        <w:rPr>
          <w:rFonts w:ascii="Century Gothic" w:eastAsia="Century Gothic" w:hAnsi="Century Gothic" w:cs="Century Gothic"/>
          <w:b/>
          <w:bCs/>
          <w:color w:val="38BDF8"/>
        </w:rPr>
        <w:t>Banda Ejecutiva de 5 KPIs Financieros de Alta Dirección</w:t>
      </w:r>
    </w:p>
    <w:p w14:paraId="6DE0ECFF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Despliega una fila de 5 tarjetas analíticas prioritarias calculadas en tiempo real en Quetzales guatemaltecos (Q): 1) 'Ingresos del Período' (+Q con contador de abonos); 2) 'Gastos del Período' (-Q con contador de cargos); 3) 'Balance Neto Real' con diferenciación automática de Superávit (Cyan #38BDF8) o Déficit (Rojo #F43F5E); 4) 'Tasa de Ahorro' (% de retención sobre el total ingresado); y 5) 'Gasto Promedio Diario' con detección automática del día pico de consumo.</w:t>
      </w:r>
      <w:r>
        <w:t>Despliega una fila de 5 tarjetas analíticas prioritarias calculadas en tiempo real en Quetzales guatemaltecos (Q): 1) 'Ingresos del Período' (+Q con contador de abonos); 2) 'Gastos del Período' (-Q con contador de cargos); 3) 'Balance Neto Real' con diferenciación automática de Superávit (Cyan #38BDF8) o Déficit (Rojo #F43F5E); 4) 'Tasa de Ahorro' (% de retención sobre el total ingresado); y 5) 'Gasto Promedio Diario' con detección automática del día pico de consumo.</w:t>
      </w:r>
    </w:p>
    <w:p w14:paraId="6A2C0376" w14:textId="0968C6CC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Visibilidad financiera ejecutiva al más alto nivel; diagnóstico inmediato del estado de salud del patrimonio y alerta automática en caso de sobreendeudamiento o déficit de caja.</w:t>
      </w:r>
      <w:r>
        <w:t xml:space="preserve">Visibilidad financiera ejecutiva al más alto nivel; diagnóstico inmediato del estado de salud del patrimonio y alerta automática en caso de sobreendeudamiento o déficit de caja.Visibilidad financiera ejecutiva al más alto nivel; diagnóstico inmediato del </w:t>
      </w:r>
      <w:r>
        <w:lastRenderedPageBreak/>
        <w:t>estado de salud del patrimonio y alerta automática en caso de sobreendeudamiento o déficit de caja.</w:t>
      </w:r>
      <w:r w:rsidR="2F28E334">
        <w:rPr>
          <w:noProof/>
        </w:rPr>
        <w:drawing>
          <wp:inline distT="0" distB="0" distL="0" distR="0" wp14:anchorId="354E6F83" wp14:editId="7DA14D91">
            <wp:extent cx="6381750" cy="2591086"/>
            <wp:effectExtent l="0" t="0" r="0" b="0"/>
            <wp:docPr id="1509639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9087" name="Picture 15096390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5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278" w14:textId="77777777" w:rsidR="00947E41" w:rsidRDefault="00947E41">
      <w:pPr>
        <w:spacing w:after="320"/>
      </w:pPr>
    </w:p>
    <w:p w14:paraId="7216E814" w14:textId="48F90523" w:rsidR="05AEF724" w:rsidRDefault="05AEF724" w:rsidP="05AEF724">
      <w:pPr>
        <w:spacing w:after="320"/>
      </w:pPr>
    </w:p>
    <w:p w14:paraId="1FC39945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204F749A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Inteligencia Visual (Gráfico Donut y Flujo de Fondos)</w:t>
      </w:r>
      <w:r>
        <w:rPr>
          <w:rFonts w:ascii="Century Gothic" w:eastAsia="Century Gothic" w:hAnsi="Century Gothic" w:cs="Century Gothic"/>
          <w:b/>
          <w:bCs/>
          <w:color w:val="38BDF8"/>
        </w:rPr>
        <w:t>Inteligencia Visual (Gráfico Donut y Flujo de Fondos)</w:t>
      </w:r>
    </w:p>
    <w:p w14:paraId="1AF9A99A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Presenta dos paneles visuales avanzados construidos con tecnología vectorial SVG pura sin librerías pesadas: 1) 'Gráfico de Donut de Distribución': Segmentación de gastos por categoría activa con cálculo matemático de arcos, porcentaje relativo y total centralizado; 2) 'Flujo de Fondos &amp; Medios de Pago': Barra comparativa de ingresos vs gastos (relación porcentual) y panel detallado de origen del dinero (Efectivo en Mano, Cuentas Bancarias y Tarjetas de Crédito con contadores de transacciones y barras de progreso).</w:t>
      </w:r>
      <w:r>
        <w:t>Presenta dos paneles visuales avanzados construidos con tecnología vectorial SVG pura sin librerías pesadas: 1) 'Gráfico de Donut de Distribución': Segmentación de gastos por categoría activa con cálculo matemático de arcos, porcentaje relativo y total centralizado; 2) 'Flujo de Fondos &amp; Medios de Pago': Barra comparativa de ingresos vs gastos (relación porcentual) y panel detallado de origen del dinero (Efectivo en Mano, Cuentas Bancarias y Tarjetas de Crédito con contadores de transacciones y barras de progreso).</w:t>
      </w:r>
    </w:p>
    <w:p w14:paraId="72622C30" w14:textId="0F0E3476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Comprensión intuitiva e inmediata de los hábitos de gasto del usuario, detectando fugas de capital y dependencias excesivas en líneas de crédito rotativo.</w:t>
      </w:r>
      <w:r>
        <w:t>Comprensión intuitiva e inmediata de los hábitos de gasto del usuario, detectando fugas de capital y dependencias excesivas en líneas de crédito rotativo.</w:t>
      </w:r>
    </w:p>
    <w:p w14:paraId="34CE0A41" w14:textId="7B59915A" w:rsidR="00947E41" w:rsidRDefault="75BE8CC9" w:rsidP="05AEF724">
      <w:pPr>
        <w:spacing w:after="160" w:line="300" w:lineRule="auto"/>
        <w:jc w:val="both"/>
      </w:pPr>
      <w:r>
        <w:rPr>
          <w:noProof/>
        </w:rPr>
        <w:lastRenderedPageBreak/>
        <w:drawing>
          <wp:inline distT="0" distB="0" distL="0" distR="0" wp14:anchorId="647AACBC" wp14:editId="57658276">
            <wp:extent cx="6381750" cy="2687052"/>
            <wp:effectExtent l="0" t="0" r="0" b="0"/>
            <wp:docPr id="523514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4162" name="Picture 5235141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68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49F74B41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Tabla Maestra de Auditoría, Suite de Exportación y Respaldos JSON</w:t>
      </w:r>
      <w:r>
        <w:rPr>
          <w:rFonts w:ascii="Century Gothic" w:eastAsia="Century Gothic" w:hAnsi="Century Gothic" w:cs="Century Gothic"/>
          <w:b/>
          <w:bCs/>
          <w:color w:val="38BDF8"/>
        </w:rPr>
        <w:t>Tabla Maestra de Auditoría, Suite de Exportación y Respaldos JSON</w:t>
      </w:r>
    </w:p>
    <w:p w14:paraId="52BAD72F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Componente de auditoría y suite de contingencia integral compuesto por: 1) 'Tabla Maestra de Movimientos' con buscador en tiempo real, desglose de comercio/concepto, medio de pago, fecha, insignias de tipo contable, montos coloreados semánticamente y paginador interactivo; 2) 'Suite de Exportación (4 tarjetas)': Exportación formal a PDF membretado, exportación estructurada a CSV para Microsoft Excel con UTF-8 BOM, descarga de Backup Integral en JSON y módulo modal interactivo para Restaurar Copias de Seguridad bajo transacciones atómicas ACID en PostgreSQL.</w:t>
      </w:r>
      <w:r>
        <w:t>Componente de auditoría y suite de contingencia integral compuesto por: 1) 'Tabla Maestra de Movimientos' con buscador en tiempo real, desglose de comercio/concepto, medio de pago, fecha, insignias de tipo contable, montos coloreados semánticamente y paginador interactivo; 2) 'Suite de Exportación (4 tarjetas)': Exportación formal a PDF membretado, exportación estructurada a CSV para Microsoft Excel con UTF-8 BOM, descarga de Backup Integral en JSON y módulo modal interactivo para Restaurar Copias de Seguridad bajo transacciones atómicas ACID en PostgreSQL.</w:t>
      </w:r>
    </w:p>
    <w:p w14:paraId="08BC6CEF" w14:textId="671A87FD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Soberanía total de la información contable para el cliente; puede auditar cada centavo, generar reportes impresos de valor legal y migrar o resguardar su base de datos sin depender de bloqueos de plataforma.</w:t>
      </w:r>
      <w:r>
        <w:t xml:space="preserve">Soberanía total de la información contable para el cliente; puede auditar cada centavo, generar reportes impresos de valor legal y migrar o resguardar su base de datos sin depender de bloqueos de plataforma.Soberanía total de la información contable para el cliente; puede auditar cada centavo, generar </w:t>
      </w:r>
      <w:r>
        <w:lastRenderedPageBreak/>
        <w:t>reportes impresos de valor legal y migrar o resguardar su base de datos sin depender de bloqueos de plataforma.</w:t>
      </w:r>
      <w:r w:rsidR="4E0CFAE6">
        <w:rPr>
          <w:noProof/>
        </w:rPr>
        <w:drawing>
          <wp:inline distT="0" distB="0" distL="0" distR="0" wp14:anchorId="74F55AB8" wp14:editId="623288E0">
            <wp:extent cx="3800000" cy="4062068"/>
            <wp:effectExtent l="0" t="0" r="0" b="0"/>
            <wp:docPr id="71346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5193" name="Picture 713465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40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77777777" w:rsidR="00947E41" w:rsidRDefault="00947E41">
      <w:pPr>
        <w:spacing w:after="320"/>
      </w:pPr>
    </w:p>
    <w:p w14:paraId="5997CC1D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081D1C15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3. </w:t>
      </w:r>
      <w:r>
        <w:rPr>
          <w:rFonts w:ascii="Century Gothic" w:eastAsia="Century Gothic" w:hAnsi="Century Gothic" w:cs="Century Gothic"/>
          <w:b/>
          <w:bCs/>
          <w:color w:val="38BDF8"/>
        </w:rPr>
        <w:t>Conclusión y Próximos Pasos para Autorización</w:t>
      </w:r>
    </w:p>
    <w:p w14:paraId="1DD14642" w14:textId="77777777" w:rsidR="00947E41" w:rsidRDefault="00FA5244">
      <w:pPr>
        <w:spacing w:after="200" w:line="300" w:lineRule="auto"/>
        <w:jc w:val="both"/>
      </w:pPr>
      <w:r>
        <w:t>El Módulo de Informes &amp; Reportes Financieros de control-gastos transforma la contabilidad tradicional en una herramienta estratégica de inteligencia patrimonial. Al unificar KPIs en vivo, analítica gráfica intuitiva, auditoría detallada y una robusta suite de respaldos JSON transaccionales, se garantiza máxima transparencia, seguridad y respaldo para el usuario guatemalteco.</w:t>
      </w:r>
    </w:p>
    <w:p w14:paraId="754A1EEB" w14:textId="77777777" w:rsidR="00947E41" w:rsidRDefault="00FA5244">
      <w:pPr>
        <w:spacing w:after="200" w:line="300" w:lineRule="auto"/>
        <w:jc w:val="both"/>
      </w:pPr>
      <w:r>
        <w:t>Quedamos a su entera disposición para recibir su retroalimentación y autorización formal para el despliegue final.</w:t>
      </w:r>
    </w:p>
    <w:p w14:paraId="110FFD37" w14:textId="77777777" w:rsidR="00947E41" w:rsidRDefault="00947E41">
      <w:pPr>
        <w:spacing w:after="400"/>
      </w:pPr>
    </w:p>
    <w:p w14:paraId="75CD6BD8" w14:textId="77777777" w:rsidR="00947E41" w:rsidRDefault="00FA5244">
      <w:pPr>
        <w:spacing w:after="40"/>
      </w:pPr>
      <w:r>
        <w:rPr>
          <w:rFonts w:ascii="Century Gothic" w:eastAsia="Century Gothic" w:hAnsi="Century Gothic" w:cs="Century Gothic"/>
          <w:b/>
          <w:bCs/>
          <w:color w:val="FFFFFF"/>
          <w:sz w:val="24"/>
          <w:szCs w:val="24"/>
        </w:rPr>
        <w:t>André Paolo García Valdéz</w:t>
      </w:r>
    </w:p>
    <w:p w14:paraId="09836C31" w14:textId="77777777" w:rsidR="00947E41" w:rsidRDefault="00FA5244">
      <w:pPr>
        <w:spacing w:after="40"/>
      </w:pPr>
      <w:r>
        <w:rPr>
          <w:i/>
          <w:iCs/>
          <w:color w:val="38BDF8"/>
          <w:sz w:val="20"/>
          <w:szCs w:val="20"/>
        </w:rPr>
        <w:t>Desarrollador del Proyecto control-gastos</w:t>
      </w:r>
    </w:p>
    <w:p w14:paraId="3F3122A3" w14:textId="77777777" w:rsidR="00947E41" w:rsidRDefault="00FA5244">
      <w:r>
        <w:rPr>
          <w:color w:val="9AA5C9"/>
          <w:sz w:val="20"/>
          <w:szCs w:val="20"/>
        </w:rPr>
        <w:t>Carné: 2022075 — Sección: IN5AM</w:t>
      </w:r>
    </w:p>
    <w:sectPr w:rsidR="00947E41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300" w:right="1100" w:bottom="120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B018" w14:textId="77777777" w:rsidR="00FA3A9D" w:rsidRDefault="00FA3A9D">
      <w:r>
        <w:separator/>
      </w:r>
    </w:p>
  </w:endnote>
  <w:endnote w:type="continuationSeparator" w:id="0">
    <w:p w14:paraId="181E00F0" w14:textId="77777777" w:rsidR="00FA3A9D" w:rsidRDefault="00FA3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374D" w14:textId="0164BF91" w:rsidR="00947E41" w:rsidRDefault="00FA5244">
    <w:pPr>
      <w:pBdr>
        <w:top w:val="single" w:sz="8" w:space="6" w:color="6366F1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2</w:t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3</w:t>
    </w:r>
    <w:r>
      <w:rPr>
        <w:b/>
        <w:bCs/>
        <w:color w:val="38BDF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F50C" w14:textId="344197CB" w:rsidR="00947E41" w:rsidRDefault="00FA5244">
    <w:pPr>
      <w:pBdr>
        <w:top w:val="single" w:sz="8" w:space="6" w:color="6366F1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1</w:t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2</w:t>
    </w:r>
    <w:r>
      <w:rPr>
        <w:b/>
        <w:bCs/>
        <w:color w:val="38BDF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853F5" w14:textId="77777777" w:rsidR="00FA3A9D" w:rsidRDefault="00FA3A9D">
      <w:r>
        <w:separator/>
      </w:r>
    </w:p>
  </w:footnote>
  <w:footnote w:type="continuationSeparator" w:id="0">
    <w:p w14:paraId="5838EFA6" w14:textId="77777777" w:rsidR="00FA3A9D" w:rsidRDefault="00FA3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7AE9" w14:textId="77777777" w:rsidR="00947E41" w:rsidRDefault="00FA5244">
    <w:pPr>
      <w:pBdr>
        <w:bottom w:val="single" w:sz="8" w:space="6" w:color="38BDF8"/>
      </w:pBdr>
      <w:tabs>
        <w:tab w:val="right" w:pos="9026"/>
      </w:tabs>
    </w:pPr>
    <w:r>
      <w:rPr>
        <w:noProof/>
      </w:rPr>
      <w:drawing>
        <wp:inline distT="0" distB="0" distL="0" distR="0" wp14:anchorId="58B37704" wp14:editId="07777777">
          <wp:extent cx="209550" cy="209550"/>
          <wp:effectExtent l="0" t="0" r="0" b="0"/>
          <wp:docPr id="267233705" name="Imagen 267233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INFORMES &amp; REPORTES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05A34" w14:textId="77777777" w:rsidR="00947E41" w:rsidRDefault="00FA5244">
    <w:pPr>
      <w:pBdr>
        <w:bottom w:val="single" w:sz="8" w:space="6" w:color="38BDF8"/>
      </w:pBdr>
      <w:tabs>
        <w:tab w:val="right" w:pos="9026"/>
      </w:tabs>
    </w:pPr>
    <w:r>
      <w:rPr>
        <w:noProof/>
      </w:rPr>
      <w:drawing>
        <wp:inline distT="0" distB="0" distL="0" distR="0" wp14:anchorId="4CED7F46" wp14:editId="07777777">
          <wp:extent cx="209550" cy="209550"/>
          <wp:effectExtent l="0" t="0" r="0" b="0"/>
          <wp:docPr id="1819165561" name="Imagen 1819165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INFORMES &amp; REPORTES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3CBD"/>
    <w:multiLevelType w:val="hybridMultilevel"/>
    <w:tmpl w:val="FFFFFFFF"/>
    <w:lvl w:ilvl="0" w:tplc="9B102A9C">
      <w:start w:val="1"/>
      <w:numFmt w:val="decimal"/>
      <w:lvlText w:val="%1."/>
      <w:lvlJc w:val="left"/>
      <w:pPr>
        <w:ind w:left="576" w:hanging="360"/>
      </w:pPr>
      <w:rPr>
        <w:b/>
        <w:bCs/>
        <w:color w:val="38BDF8"/>
      </w:rPr>
    </w:lvl>
    <w:lvl w:ilvl="1" w:tplc="FD926942">
      <w:numFmt w:val="decimal"/>
      <w:lvlText w:val=""/>
      <w:lvlJc w:val="left"/>
    </w:lvl>
    <w:lvl w:ilvl="2" w:tplc="6A0E0B0A">
      <w:numFmt w:val="decimal"/>
      <w:lvlText w:val=""/>
      <w:lvlJc w:val="left"/>
    </w:lvl>
    <w:lvl w:ilvl="3" w:tplc="BD423A0A">
      <w:numFmt w:val="decimal"/>
      <w:lvlText w:val=""/>
      <w:lvlJc w:val="left"/>
    </w:lvl>
    <w:lvl w:ilvl="4" w:tplc="1E1A4004">
      <w:numFmt w:val="decimal"/>
      <w:lvlText w:val=""/>
      <w:lvlJc w:val="left"/>
    </w:lvl>
    <w:lvl w:ilvl="5" w:tplc="28D26542">
      <w:numFmt w:val="decimal"/>
      <w:lvlText w:val=""/>
      <w:lvlJc w:val="left"/>
    </w:lvl>
    <w:lvl w:ilvl="6" w:tplc="ECCE1C5E">
      <w:numFmt w:val="decimal"/>
      <w:lvlText w:val=""/>
      <w:lvlJc w:val="left"/>
    </w:lvl>
    <w:lvl w:ilvl="7" w:tplc="8ED27D9C">
      <w:numFmt w:val="decimal"/>
      <w:lvlText w:val=""/>
      <w:lvlJc w:val="left"/>
    </w:lvl>
    <w:lvl w:ilvl="8" w:tplc="46C08C7C">
      <w:numFmt w:val="decimal"/>
      <w:lvlText w:val=""/>
      <w:lvlJc w:val="left"/>
    </w:lvl>
  </w:abstractNum>
  <w:abstractNum w:abstractNumId="1" w15:restartNumberingAfterBreak="0">
    <w:nsid w:val="552C530F"/>
    <w:multiLevelType w:val="hybridMultilevel"/>
    <w:tmpl w:val="FFFFFFFF"/>
    <w:lvl w:ilvl="0" w:tplc="80745B86">
      <w:start w:val="1"/>
      <w:numFmt w:val="bullet"/>
      <w:lvlText w:val="●"/>
      <w:lvlJc w:val="left"/>
      <w:pPr>
        <w:ind w:left="720" w:hanging="360"/>
      </w:pPr>
    </w:lvl>
    <w:lvl w:ilvl="1" w:tplc="986AB4E2">
      <w:start w:val="1"/>
      <w:numFmt w:val="bullet"/>
      <w:lvlText w:val="○"/>
      <w:lvlJc w:val="left"/>
      <w:pPr>
        <w:ind w:left="1440" w:hanging="360"/>
      </w:pPr>
    </w:lvl>
    <w:lvl w:ilvl="2" w:tplc="EF4E4BDC">
      <w:start w:val="1"/>
      <w:numFmt w:val="bullet"/>
      <w:lvlText w:val="■"/>
      <w:lvlJc w:val="left"/>
      <w:pPr>
        <w:ind w:left="2160" w:hanging="360"/>
      </w:pPr>
    </w:lvl>
    <w:lvl w:ilvl="3" w:tplc="A81E343C">
      <w:start w:val="1"/>
      <w:numFmt w:val="bullet"/>
      <w:lvlText w:val="●"/>
      <w:lvlJc w:val="left"/>
      <w:pPr>
        <w:ind w:left="2880" w:hanging="360"/>
      </w:pPr>
    </w:lvl>
    <w:lvl w:ilvl="4" w:tplc="3E68B052">
      <w:start w:val="1"/>
      <w:numFmt w:val="bullet"/>
      <w:lvlText w:val="○"/>
      <w:lvlJc w:val="left"/>
      <w:pPr>
        <w:ind w:left="3600" w:hanging="360"/>
      </w:pPr>
    </w:lvl>
    <w:lvl w:ilvl="5" w:tplc="ADD65B60">
      <w:start w:val="1"/>
      <w:numFmt w:val="bullet"/>
      <w:lvlText w:val="■"/>
      <w:lvlJc w:val="left"/>
      <w:pPr>
        <w:ind w:left="4320" w:hanging="360"/>
      </w:pPr>
    </w:lvl>
    <w:lvl w:ilvl="6" w:tplc="C512C0B4">
      <w:start w:val="1"/>
      <w:numFmt w:val="bullet"/>
      <w:lvlText w:val="●"/>
      <w:lvlJc w:val="left"/>
      <w:pPr>
        <w:ind w:left="5040" w:hanging="360"/>
      </w:pPr>
    </w:lvl>
    <w:lvl w:ilvl="7" w:tplc="6EA8A3D6">
      <w:start w:val="1"/>
      <w:numFmt w:val="bullet"/>
      <w:lvlText w:val="●"/>
      <w:lvlJc w:val="left"/>
      <w:pPr>
        <w:ind w:left="5760" w:hanging="360"/>
      </w:pPr>
    </w:lvl>
    <w:lvl w:ilvl="8" w:tplc="C4629C98">
      <w:start w:val="1"/>
      <w:numFmt w:val="bullet"/>
      <w:lvlText w:val="●"/>
      <w:lvlJc w:val="left"/>
      <w:pPr>
        <w:ind w:left="6480" w:hanging="360"/>
      </w:pPr>
    </w:lvl>
  </w:abstractNum>
  <w:num w:numId="1" w16cid:durableId="583077882">
    <w:abstractNumId w:val="1"/>
    <w:lvlOverride w:ilvl="0">
      <w:startOverride w:val="1"/>
    </w:lvlOverride>
  </w:num>
  <w:num w:numId="2" w16cid:durableId="175194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41"/>
    <w:rsid w:val="0014508E"/>
    <w:rsid w:val="00154D66"/>
    <w:rsid w:val="001C3D73"/>
    <w:rsid w:val="0028281B"/>
    <w:rsid w:val="0035237F"/>
    <w:rsid w:val="0037732C"/>
    <w:rsid w:val="00382570"/>
    <w:rsid w:val="00447391"/>
    <w:rsid w:val="00516A27"/>
    <w:rsid w:val="0053386A"/>
    <w:rsid w:val="00550BA6"/>
    <w:rsid w:val="00586B87"/>
    <w:rsid w:val="006529D5"/>
    <w:rsid w:val="0069073F"/>
    <w:rsid w:val="00716A69"/>
    <w:rsid w:val="00780733"/>
    <w:rsid w:val="007E43E0"/>
    <w:rsid w:val="00947E41"/>
    <w:rsid w:val="009D0730"/>
    <w:rsid w:val="009E5478"/>
    <w:rsid w:val="00B05637"/>
    <w:rsid w:val="00C657BC"/>
    <w:rsid w:val="00DC67F5"/>
    <w:rsid w:val="00DE18D3"/>
    <w:rsid w:val="00E6443F"/>
    <w:rsid w:val="00F45277"/>
    <w:rsid w:val="00FA3A9D"/>
    <w:rsid w:val="00FA5244"/>
    <w:rsid w:val="05AEF724"/>
    <w:rsid w:val="150BEF43"/>
    <w:rsid w:val="17158C58"/>
    <w:rsid w:val="1BB8D292"/>
    <w:rsid w:val="2693CE77"/>
    <w:rsid w:val="2BB737BF"/>
    <w:rsid w:val="2F28E334"/>
    <w:rsid w:val="30405C11"/>
    <w:rsid w:val="3E02ABFC"/>
    <w:rsid w:val="41A4C58B"/>
    <w:rsid w:val="41FA0BDF"/>
    <w:rsid w:val="45281C25"/>
    <w:rsid w:val="47732D04"/>
    <w:rsid w:val="4D04EDCE"/>
    <w:rsid w:val="4E0CFAE6"/>
    <w:rsid w:val="69A2B8BA"/>
    <w:rsid w:val="75BE8CC9"/>
    <w:rsid w:val="777E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6E27BFB"/>
  <w15:docId w15:val="{FA94EE58-8BE6-433C-9E80-0CDC812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DCE3F7"/>
        <w:sz w:val="22"/>
        <w:szCs w:val="22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1708</Words>
  <Characters>10133</Characters>
  <Application>Microsoft Office Word</Application>
  <DocSecurity>0</DocSecurity>
  <Lines>161</Lines>
  <Paragraphs>41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Paolo .</cp:lastModifiedBy>
  <cp:revision>8</cp:revision>
  <dcterms:created xsi:type="dcterms:W3CDTF">2026-08-26T13:37:00Z</dcterms:created>
  <dcterms:modified xsi:type="dcterms:W3CDTF">2026-09-14T07:50:00Z</dcterms:modified>
</cp:coreProperties>
</file>