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A2540"/>
          <w:sz w:val="48"/>
        </w:rPr>
        <w:t>ENTERPRISE ARCHITECTURE DOCUMENTATION</w:t>
      </w:r>
    </w:p>
    <w:p>
      <w:pPr>
        <w:spacing w:after="360"/>
      </w:pPr>
      <w:r>
        <w:rPr>
          <w:i/>
          <w:color w:val="206095"/>
          <w:sz w:val="28"/>
        </w:rPr>
        <w:t>Frontier Reconciliation Platform — AWS Multi-AZ Migration &amp; Enterprise Specification</w:t>
      </w:r>
    </w:p>
    <w:p>
      <w:pPr>
        <w:spacing w:after="360"/>
        <w:pBdr>
          <w:bottom w:val="single" w:sz="12" w:space="1" w:color="0A2540"/>
        </w:pBdr>
      </w:pPr>
    </w:p>
    <w:p>
      <w:pPr>
        <w:keepNext/>
        <w:spacing w:before="320" w:after="120"/>
      </w:pPr>
      <w:r>
        <w:rPr>
          <w:b/>
          <w:color w:val="0A2540"/>
          <w:sz w:val="32"/>
        </w:rPr>
        <w:t>1. Executive Summary &amp; Impact</w:t>
      </w:r>
    </w:p>
    <w:p>
      <w:r>
        <w:t xml:space="preserve">As the lead architect for the migration of </w:t>
      </w:r>
      <w:r>
        <w:rPr>
          <w:b/>
        </w:rPr>
        <w:t>Frontier</w:t>
      </w:r>
      <w:r>
        <w:t xml:space="preserve">—an enterprise financial reconciliation web application—this project successfully transitioned legacy on-premises infrastructure into a highly scalable, secure, and fault-tolerant </w:t>
      </w:r>
      <w:r>
        <w:rPr>
          <w:b/>
        </w:rPr>
        <w:t>3-Tier AWS Cloud Architecture</w:t>
      </w:r>
      <w:r>
        <w:t>. The migration leveraged Terraform for modular infrastructure provisioning, Jenkins for CI/CD automation, and AWS managed services for high availability, compliance, and proactive monitoring.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A2540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b/>
                <w:color w:val="0A2540"/>
              </w:rPr>
              <w:t>Key Measurable Outcomes:</w:t>
            </w:r>
          </w:p>
          <w:p>
            <w:pPr>
              <w:pStyle w:val="ListBullet"/>
              <w:spacing w:after="60"/>
            </w:pPr>
            <w:r>
              <w:rPr>
                <w:b/>
              </w:rPr>
              <w:t xml:space="preserve">High Availability &amp; Fault Tolerance: </w:t>
            </w:r>
            <w:r>
              <w:t>Multi-AZ active/passive and active/active deployment across VPCs eliminating single points of failure.</w:t>
            </w:r>
          </w:p>
          <w:p>
            <w:pPr>
              <w:pStyle w:val="ListBullet"/>
              <w:spacing w:after="60"/>
            </w:pPr>
            <w:r>
              <w:rPr>
                <w:b/>
              </w:rPr>
              <w:t xml:space="preserve">Streamlined Infrastructure Sync: </w:t>
            </w:r>
            <w:r>
              <w:t>Modularized Terraform repository ensuring 100% state synchronization across Development, Staging, and Production environments.</w:t>
            </w:r>
          </w:p>
          <w:p>
            <w:pPr>
              <w:pStyle w:val="ListBullet"/>
              <w:spacing w:after="60"/>
            </w:pPr>
            <w:r>
              <w:rPr>
                <w:b/>
              </w:rPr>
              <w:t xml:space="preserve">Stateful Session Reliability: </w:t>
            </w:r>
            <w:r>
              <w:t>Integrated AWS FSx for NetApp ONTAP (FSxN) shared storage alongside ALB round-robin session stickiness to completely eradicate mid-session logouts.</w:t>
            </w:r>
          </w:p>
          <w:p>
            <w:pPr>
              <w:pStyle w:val="ListBullet"/>
              <w:spacing w:after="60"/>
            </w:pPr>
            <w:r>
              <w:rPr>
                <w:b/>
              </w:rPr>
              <w:t xml:space="preserve">Zero-Downtime Deployment: </w:t>
            </w:r>
            <w:r>
              <w:t>Automated Blue/Green deployment strategy executing cutovers within a 3-hour planned window with instant rollback capabilities.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0A2540"/>
          <w:sz w:val="32"/>
        </w:rPr>
        <w:t>2. End-to-End Request &amp; Data Flow</w:t>
      </w:r>
    </w:p>
    <w:p>
      <w:pPr>
        <w:keepNext/>
        <w:spacing w:before="240" w:after="80"/>
      </w:pPr>
      <w:r>
        <w:rPr>
          <w:b/>
          <w:color w:val="206095"/>
          <w:sz w:val="26"/>
        </w:rPr>
        <w:t>2.1 Presentation Tier &amp; Authentication Flow</w:t>
      </w:r>
    </w:p>
    <w:p>
      <w:r>
        <w:t xml:space="preserve">1. </w:t>
      </w:r>
      <w:r>
        <w:rPr>
          <w:b/>
        </w:rPr>
        <w:t xml:space="preserve">Corporate DNS Lookup: </w:t>
      </w:r>
      <w:r>
        <w:t xml:space="preserve">Users and system administrators initiate HTTPS requests via the enterprise network. Domain queries resolve through </w:t>
      </w:r>
      <w:r>
        <w:rPr>
          <w:b/>
        </w:rPr>
        <w:t>Corporate DNS</w:t>
      </w:r>
      <w:r>
        <w:t xml:space="preserve"> (external to Kyndryl/AWS) directly to the public AWS Application Load Balancer (ALB).</w:t>
        <w:br/>
      </w:r>
      <w:r>
        <w:t xml:space="preserve">2. </w:t>
      </w:r>
      <w:r>
        <w:rPr>
          <w:b/>
        </w:rPr>
        <w:t xml:space="preserve">Active Session &amp; WAM SSO Check: </w:t>
      </w:r>
      <w:r>
        <w:t xml:space="preserve">Upon reaching the ALB, the request is inspected for an active session cookie. If unauthenticated, the request is redirected to </w:t>
      </w:r>
      <w:r>
        <w:rPr>
          <w:b/>
        </w:rPr>
        <w:t>Web Access Management (WAM)</w:t>
      </w:r>
      <w:r>
        <w:t xml:space="preserve"> for enterprise Single Sign-On (SSO). WAM validates credentials and verifies AD group memberships via </w:t>
      </w:r>
      <w:r>
        <w:rPr>
          <w:b/>
        </w:rPr>
        <w:t>AWS Directory Service (AD Connector)</w:t>
      </w:r>
      <w:r>
        <w:t>.</w:t>
        <w:br/>
      </w:r>
      <w:r>
        <w:t xml:space="preserve">3. </w:t>
      </w:r>
      <w:r>
        <w:rPr>
          <w:b/>
        </w:rPr>
        <w:t xml:space="preserve">SSL Offloading &amp; Load Balancing: </w:t>
      </w:r>
      <w:r>
        <w:t>Once authenticated, the ALB performs SSL termination (HTTPS to HTTP) and distributes traffic across private target subnets using a round-robin algorithm with session stickiness enabled.</w:t>
      </w:r>
    </w:p>
    <w:p>
      <w:pPr>
        <w:keepNext/>
        <w:spacing w:before="240" w:after="80"/>
      </w:pPr>
      <w:r>
        <w:rPr>
          <w:b/>
          <w:color w:val="206095"/>
          <w:sz w:val="26"/>
        </w:rPr>
        <w:t>2.2 Reverse Proxy &amp; Inter-VPC Architecture</w:t>
      </w:r>
    </w:p>
    <w:p>
      <w:r>
        <w:t xml:space="preserve">1. </w:t>
      </w:r>
      <w:r>
        <w:rPr>
          <w:b/>
        </w:rPr>
        <w:t xml:space="preserve">Private Subnet Caching (VPC 1): </w:t>
      </w:r>
      <w:r>
        <w:t>Decoupled inside VPC 1, two Linux-based Apache Reverse Proxy servers operating across distinct Availability Zones (AZ-1 and AZ-2) handle request filtering, URL rewriting, and static content caching.</w:t>
        <w:br/>
      </w:r>
      <w:r>
        <w:t xml:space="preserve">2. </w:t>
      </w:r>
      <w:r>
        <w:rPr>
          <w:b/>
        </w:rPr>
        <w:t xml:space="preserve">Inter-VPC Peering &amp; TLS Transmission: </w:t>
      </w:r>
      <w:r>
        <w:t xml:space="preserve">Traffic traverses from VPC 1 to VPC 2 via </w:t>
      </w:r>
      <w:r>
        <w:rPr>
          <w:b/>
        </w:rPr>
        <w:t>VPC Peering</w:t>
      </w:r>
      <w:r>
        <w:t xml:space="preserve">. An internal Network Load Balancer (NLB) enforces secure </w:t>
      </w:r>
      <w:r>
        <w:rPr>
          <w:b/>
        </w:rPr>
        <w:t>TLS encryption</w:t>
      </w:r>
      <w:r>
        <w:t xml:space="preserve"> for all inter-VPC traffic entering the Application Tier.</w:t>
      </w:r>
    </w:p>
    <w:p>
      <w:pPr>
        <w:keepNext/>
        <w:spacing w:before="240" w:after="80"/>
      </w:pPr>
      <w:r>
        <w:rPr>
          <w:b/>
          <w:color w:val="206095"/>
          <w:sz w:val="26"/>
        </w:rPr>
        <w:t>2.3 Application &amp; Batch Processing Tier (VPC 2)</w:t>
      </w:r>
    </w:p>
    <w:p>
      <w:r>
        <w:t xml:space="preserve">1. </w:t>
      </w:r>
      <w:r>
        <w:rPr>
          <w:b/>
        </w:rPr>
        <w:t xml:space="preserve">Windows Tomcat Application Servers: </w:t>
      </w:r>
      <w:r>
        <w:t xml:space="preserve">Two redundant Windows Server EC2 instances across Multi-AZ execute Tomcat services hosting the Frontier WAR web application, Java binaries, and local services mounted on attached </w:t>
      </w:r>
      <w:r>
        <w:rPr>
          <w:b/>
        </w:rPr>
        <w:t>EBS Volumes</w:t>
      </w:r>
      <w:r>
        <w:t>.</w:t>
        <w:br/>
      </w:r>
      <w:r>
        <w:t xml:space="preserve">2. </w:t>
      </w:r>
      <w:r>
        <w:rPr>
          <w:b/>
        </w:rPr>
        <w:t xml:space="preserve">Batch Processing &amp; MFT: </w:t>
      </w:r>
      <w:r>
        <w:t xml:space="preserve">Two dedicated Windows Batch EC2 instances handle background reconciliation jobs, .NET scrubber tasks, Tidal execution agents, Jenkins deployment agents, and </w:t>
      </w:r>
      <w:r>
        <w:rPr>
          <w:b/>
        </w:rPr>
        <w:t>Connect Direct Service</w:t>
      </w:r>
      <w:r>
        <w:t xml:space="preserve"> for automated Managed File Transfer (MFT) operations.</w:t>
      </w:r>
    </w:p>
    <w:p>
      <w:pPr>
        <w:keepNext/>
        <w:spacing w:before="240" w:after="80"/>
      </w:pPr>
      <w:r>
        <w:rPr>
          <w:b/>
          <w:color w:val="206095"/>
          <w:sz w:val="26"/>
        </w:rPr>
        <w:t>2.4 Data Tier &amp; High-Performance Shared Storage</w:t>
      </w:r>
    </w:p>
    <w:p>
      <w:r>
        <w:t xml:space="preserve">1. </w:t>
      </w:r>
      <w:r>
        <w:rPr>
          <w:b/>
        </w:rPr>
        <w:t xml:space="preserve">Database Access &amp; CNAME Resolution: </w:t>
      </w:r>
      <w:r>
        <w:t>Application servers query the SQL database using a unified connection string. Corporate DNS resolves the CNAME of an internal Database NLB, which targets the SQL Server Always On Listener IP.</w:t>
        <w:br/>
      </w:r>
      <w:r>
        <w:t xml:space="preserve">2. </w:t>
      </w:r>
      <w:r>
        <w:rPr>
          <w:b/>
        </w:rPr>
        <w:t xml:space="preserve">SQL Cluster High Availability: </w:t>
      </w:r>
      <w:r>
        <w:t>The database layer consists of Primary and Secondary SQL Server EC2 instances operating in Multi-AZ with dedicated EBS volumes attached for fast local storage.</w:t>
        <w:br/>
      </w:r>
      <w:r>
        <w:t xml:space="preserve">3. </w:t>
      </w:r>
      <w:r>
        <w:rPr>
          <w:b/>
        </w:rPr>
        <w:t xml:space="preserve">Shared File Storage (FSxN): </w:t>
      </w:r>
      <w:r>
        <w:t xml:space="preserve">AWS FSx for NetApp ONTAP provides high-throughput shared block/file storage allocated into </w:t>
      </w:r>
      <w:r>
        <w:rPr>
          <w:b/>
        </w:rPr>
        <w:t>Production Data Volumes</w:t>
      </w:r>
      <w:r>
        <w:t xml:space="preserve"> and </w:t>
      </w:r>
      <w:r>
        <w:rPr>
          <w:b/>
        </w:rPr>
        <w:t>Production Archive Volumes</w:t>
      </w:r>
      <w:r>
        <w:t>, serving stateful session data and file exchange routines.</w:t>
      </w:r>
    </w:p>
    <w:p>
      <w:pPr>
        <w:keepNext/>
        <w:spacing w:before="320" w:after="120"/>
      </w:pPr>
      <w:r>
        <w:rPr>
          <w:b/>
          <w:color w:val="0A2540"/>
          <w:sz w:val="32"/>
        </w:rPr>
        <w:t>3. Disaster Recovery, Governance &amp; Observability</w:t>
      </w:r>
    </w:p>
    <w:p>
      <w:r>
        <w:t xml:space="preserve">• </w:t>
      </w:r>
      <w:r>
        <w:rPr>
          <w:b/>
        </w:rPr>
        <w:t xml:space="preserve">AWS Elastic Disaster Recovery (DRS): </w:t>
      </w:r>
      <w:r>
        <w:t>DRS agents installed on database and application instances continuously replicate block storage to EBS snapshots in a secondary DR region. During quarterly DR exercises, DRS orchestrates the spin-up of live EBS volumes and EC2 test compute.</w:t>
        <w:br/>
      </w:r>
      <w:r>
        <w:t xml:space="preserve">• </w:t>
      </w:r>
      <w:r>
        <w:rPr>
          <w:b/>
        </w:rPr>
        <w:t xml:space="preserve">Unified Monitoring &amp; Telemetry: </w:t>
      </w:r>
      <w:r>
        <w:t>AWS CloudWatch SDK collects application logs and metrics; Dynatrace monitors API latency and alerts; SumoLogic performs deep OS-level CPU, memory, and disk utilization analysis.</w:t>
        <w:br/>
      </w:r>
      <w:r>
        <w:t xml:space="preserve">• </w:t>
      </w:r>
      <w:r>
        <w:rPr>
          <w:b/>
        </w:rPr>
        <w:t xml:space="preserve">CUDOS Cost Governance: </w:t>
      </w:r>
      <w:r>
        <w:t>Integrated AWS Cloud Intelligence Dashboards (CUDOS) via Amazon QuickSight to provide granular monthly/yearly resource cost analytics, efficiency tracking, and waste detection.</w:t>
        <w:br/>
      </w:r>
      <w:r>
        <w:t xml:space="preserve">• </w:t>
      </w:r>
      <w:r>
        <w:rPr>
          <w:b/>
        </w:rPr>
        <w:t xml:space="preserve">Automated Compliance: </w:t>
      </w:r>
      <w:r>
        <w:t>AWS Systems Manager automates monthly OS patching and vulnerability remediation across all EC2 nodes.</w:t>
      </w:r>
    </w:p>
    <w:p>
      <w:pPr>
        <w:keepNext/>
        <w:spacing w:before="320" w:after="120"/>
      </w:pPr>
      <w:r>
        <w:rPr>
          <w:b/>
          <w:color w:val="0A2540"/>
          <w:sz w:val="32"/>
        </w:rPr>
        <w:t>4. Lead System Analyst Architecture Review &amp; Loopholes Addressed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Architectural Focus</w:t>
            </w:r>
          </w:p>
        </w:tc>
        <w:tc>
          <w:tcPr>
            <w:tcW w:type="dxa" w:w="3168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Identified Loophole / Risk</w:t>
            </w:r>
          </w:p>
        </w:tc>
        <w:tc>
          <w:tcPr>
            <w:tcW w:type="dxa" w:w="3600"/>
            <w:shd w:fill="0A25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Enterprise Resolution &amp; Fix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Database Failover Sync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Standalone EC2 DB instances risk data desynchronization or manual failover delays.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Implemented SQL Server Always On Availability Groups with Windows Server Failover Clustering (WSFC). CNAME points to NLB listener IP for automatic seamless failover.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Session State Persistence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Stateful Tomcat sessions lost during instance failure or load balancing redistribution.</w:t>
            </w:r>
          </w:p>
        </w:tc>
        <w:tc>
          <w:tcPr>
            <w:tcW w:type="dxa" w:w="360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Configured ALB Round-Robin session stickiness paired with central AWS FSx for NetApp ONTAP shared volumes for session file state.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Inter-VPC Security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Unencrypted traffic traversing VPC Peering connections between presentation and application tiers.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Enforced mandatory TLS encryption at the inter-VPC Network Load Balancer (NLB) layer, isolating clear-text HTTP strictly to intra-VPC internal routing.</w:t>
            </w:r>
          </w:p>
        </w:tc>
      </w:tr>
      <w:tr>
        <w:tc>
          <w:tcPr>
            <w:tcW w:type="dxa" w:w="2592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Cost Control &amp; Visibility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Lack of visibility into monthly cloud spend scaling across multi-AZ compute and storage.</w:t>
            </w:r>
          </w:p>
        </w:tc>
        <w:tc>
          <w:tcPr>
            <w:tcW w:type="dxa" w:w="360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Implemented AWS CUDOS Dashboards (Amazon QuickSight) for executive monthly and yearly resource cost analytics and proactive budget thresholding.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b/>
          <w:color w:val="0A2540"/>
          <w:sz w:val="32"/>
        </w:rPr>
        <w:t>5. Technology Stack &amp; Infrastructure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20609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6192"/>
            <w:shd w:fill="20609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Enterprise Technologies Used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Cloud Infrastructure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AWS VPC, VPC Peering, Multi-AZ Subnets, AWS Direct Connect, Corporate VPN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Traffic &amp; Routing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AWS Application Load Balancer (ALB), Network Load Balancer (NLB), Corporate DNS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Compute &amp; App Tier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Windows Server EC2, Linux EC2 (Apache), Apache Tomcat, .NET, Rec Admin, Connect Direct (MFT), Tidal Agent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Database &amp; Storage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SQL Server EC2 (Primary/Secondary Always On), AWS FSx for NetApp ONTAP (FSxN), EBS Volumes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Security &amp; Governance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AWS AD Connector, WAM (Web Access Management), IAM Roles, Security Groups, Veracode, SonarQube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Automation &amp; CI/CD</w:t>
            </w:r>
          </w:p>
        </w:tc>
        <w:tc>
          <w:tcPr>
            <w:tcW w:type="dxa" w:w="61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Terraform (Modular Structure), Jenkins, JFrog Artifactory, AWS Systems Manager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</w:rPr>
              <w:t>Monitoring &amp; Cost Ops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AWS CloudWatch, Dynatrace, SumoLogic, AWS Elastic DRS, AWS CUDOS Dashboards (QuickSight)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