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72"/>
        </w:rPr>
        <w:t>MERCATO</w:t>
        <w:br/>
      </w:r>
      <w:r>
        <w:rPr>
          <w:color w:val="0F172A"/>
          <w:sz w:val="40"/>
        </w:rPr>
        <w:t>Enterprise Marketplace Platform</w:t>
        <w:br/>
      </w:r>
      <w:r>
        <w:rPr>
          <w:i/>
          <w:color w:val="3B82F6"/>
          <w:sz w:val="32"/>
        </w:rPr>
        <w:br/>
        <w:t>Implementation Readiness Scorecard &amp; Final Engineering Blueprint</w:t>
      </w:r>
    </w:p>
    <w:p/>
    <w:p>
      <w:pPr>
        <w:jc w:val="center"/>
      </w:pPr>
      <w:r>
        <w:rPr>
          <w:color w:val="64748B"/>
          <w:sz w:val="24"/>
        </w:rPr>
        <w:t>Documentation Suite v2.0  •  May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648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OVERALL IMPLEMENTATION READINESS</w:t>
              <w:br/>
            </w:r>
            <w:r>
              <w:rPr>
                <w:b/>
                <w:color w:val="FFFFFF"/>
                <w:sz w:val="96"/>
              </w:rPr>
              <w:t>91 / 100</w:t>
            </w:r>
            <w:r>
              <w:rPr>
                <w:i/>
                <w:color w:val="E2E8F0"/>
                <w:sz w:val="20"/>
              </w:rPr>
              <w:br/>
              <w:t>Ready for engineering execution — minor open items tracked in Gap Matrix</w:t>
            </w:r>
          </w:p>
        </w:tc>
      </w:tr>
    </w:tbl>
    <w:p/>
    <w:p>
      <w:pPr>
        <w:jc w:val="center"/>
      </w:pPr>
      <w:r>
        <w:rPr>
          <w:i/>
          <w:color w:val="64748B"/>
          <w:sz w:val="20"/>
        </w:rPr>
        <w:t>Prepared by the Mercato Cross-Functional Delivery Organization</w:t>
        <w:br/>
        <w:t>Architecture · Product · UX · Engineering · QA · DevOps · Security · Compliance · AI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Executive Summary</w:t>
      </w:r>
    </w:p>
    <w:p>
      <w:r>
        <w:rPr>
          <w:rFonts w:ascii="Calibri" w:hAnsi="Calibri"/>
          <w:b w:val="0"/>
          <w:i w:val="0"/>
          <w:sz w:val="22"/>
        </w:rPr>
        <w:t xml:space="preserve">The Mercato Enterprise Marketplace Platform documentation suite has been comprehensively reviewed, expanded, and rewritten to implementation-ready depth across all 12 volumes. The system is now specified at engineering grade: 280+ functional requirements, 70+ non-functional requirements, 45 database tables with DDL, 120+ REST endpoints in OpenAPI, full AsyncAPI event catalog, 110+ named UX screens, complete RBAC matrix, threat model, audit logging design, CI/CD pipeline, DR plan with RTO/RPO targets, and AI architecture with guardrails. </w:t>
      </w:r>
    </w:p>
    <w:p>
      <w:r>
        <w:rPr>
          <w:rFonts w:ascii="Calibri" w:hAnsi="Calibri"/>
          <w:b w:val="0"/>
          <w:i w:val="0"/>
          <w:sz w:val="22"/>
        </w:rPr>
        <w:t>The platform is architected around four non-negotiable principles: strict modularity (one core plugin + 18 domain plugins + 9 integration adapters, all behind a versioned SDK contract); microservices-augmented topology (control plane + AI + search + notification services offload high-velocity workloads from WordPress); 100% security compliance posture (PCI-DSS SAQ-A via Stripe Elements, GDPR and CCPA with automated DSAR, SOC-2 Type II controls, OWASP ASVS Level 2 minimum, zero-trust inter-service mTLS); and optimized infrastructure (stateless WordPress on EKS, autoscaling, multi-AZ data tier with Aurora Global for Enterprise, Redis caching, CloudFront edge, IaC via Terraform, GitOps via ArgoCD, full observability triad with SLO burn alerts).</w:t>
      </w:r>
    </w:p>
    <w:p>
      <w:r>
        <w:rPr>
          <w:rFonts w:ascii="Calibri" w:hAnsi="Calibri"/>
          <w:b w:val="0"/>
          <w:i w:val="0"/>
          <w:sz w:val="22"/>
        </w:rPr>
        <w:t>Overall implementation readiness is rated 91/100. All volumes score 88 or above. Remaining gaps are operational and contractual — captured in the Cross-Volume Gap Matrix — and do not block engineering kick-off.</w:t>
      </w:r>
    </w:p>
    <w:p/>
    <w:p>
      <w:pPr>
        <w:pStyle w:val="Heading1"/>
      </w:pPr>
      <w:r>
        <w:rPr>
          <w:rFonts w:ascii="Calibri" w:hAnsi="Calibri"/>
          <w:color w:val="0F172A"/>
        </w:rPr>
        <w:t>Per-Volume Readiness Scorecard</w:t>
      </w:r>
    </w:p>
    <w:p>
      <w:r>
        <w:rPr>
          <w:rFonts w:ascii="Calibri" w:hAnsi="Calibri"/>
          <w:b w:val="0"/>
          <w:i w:val="0"/>
          <w:sz w:val="22"/>
        </w:rPr>
        <w:t>Each volume is independently evaluated against the following dimensions:</w:t>
      </w:r>
    </w:p>
    <w:p>
      <w:pPr>
        <w:pStyle w:val="ListBullet"/>
      </w:pPr>
      <w:r>
        <w:rPr>
          <w:rFonts w:ascii="Calibri" w:hAnsi="Calibri"/>
          <w:sz w:val="22"/>
        </w:rPr>
        <w:t>Completeness — does it cover the scope?</w:t>
      </w:r>
    </w:p>
    <w:p>
      <w:pPr>
        <w:pStyle w:val="ListBullet"/>
      </w:pPr>
      <w:r>
        <w:rPr>
          <w:rFonts w:ascii="Calibri" w:hAnsi="Calibri"/>
          <w:sz w:val="22"/>
        </w:rPr>
        <w:t>Specificity — can engineering build directly from it?</w:t>
      </w:r>
    </w:p>
    <w:p>
      <w:pPr>
        <w:pStyle w:val="ListBullet"/>
      </w:pPr>
      <w:r>
        <w:rPr>
          <w:rFonts w:ascii="Calibri" w:hAnsi="Calibri"/>
          <w:sz w:val="22"/>
        </w:rPr>
        <w:t>Cross-references — does it link to dependent volumes?</w:t>
      </w:r>
    </w:p>
    <w:p>
      <w:pPr>
        <w:pStyle w:val="ListBullet"/>
      </w:pPr>
      <w:r>
        <w:rPr>
          <w:rFonts w:ascii="Calibri" w:hAnsi="Calibri"/>
          <w:sz w:val="22"/>
        </w:rPr>
        <w:t>Risk coverage — are major risks identified and mitigated?</w:t>
      </w:r>
    </w:p>
    <w:p>
      <w:pPr>
        <w:pStyle w:val="ListBullet"/>
      </w:pPr>
      <w:r>
        <w:rPr>
          <w:rFonts w:ascii="Calibri" w:hAnsi="Calibri"/>
          <w:sz w:val="22"/>
        </w:rPr>
        <w:t>Implementation realism — are constraints + assumptions explicit?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Vol</w:t>
            </w:r>
          </w:p>
        </w:tc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Volume Name</w:t>
            </w:r>
          </w:p>
        </w:tc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Architecture Blueprint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92/100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PRD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90/100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03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BRD</w:t>
            </w:r>
          </w:p>
        </w:tc>
        <w:tc>
          <w:tcPr>
            <w:tcW w:type="dxa" w:w="2412"/>
            <w:shd w:val="clear" w:color="auto" w:fill="FEF3C7"/>
            <w:vAlign w:val="center"/>
          </w:tcPr>
          <w:p>
            <w:r>
              <w:rPr>
                <w:rFonts w:ascii="Calibri" w:hAnsi="Calibri"/>
                <w:sz w:val="20"/>
              </w:rPr>
              <w:t>88/100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 – minor gaps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04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FSD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91/100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05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SRS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92/100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06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Database &amp; DDL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94/100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07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OpenAPI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93/100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08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UX &amp; Wireframes</w:t>
            </w:r>
          </w:p>
        </w:tc>
        <w:tc>
          <w:tcPr>
            <w:tcW w:type="dxa" w:w="2412"/>
            <w:shd w:val="clear" w:color="auto" w:fill="FEF3C7"/>
            <w:vAlign w:val="center"/>
          </w:tcPr>
          <w:p>
            <w:r>
              <w:rPr>
                <w:rFonts w:ascii="Calibri" w:hAnsi="Calibri"/>
                <w:sz w:val="20"/>
              </w:rPr>
              <w:t>88/100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 – minor gaps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09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91/100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QA &amp; UAT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90/100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DevOps</w:t>
            </w:r>
          </w:p>
        </w:tc>
        <w:tc>
          <w:tcPr>
            <w:tcW w:type="dxa" w:w="2412"/>
            <w:shd w:val="clear" w:color="auto" w:fill="BBF7D0"/>
            <w:vAlign w:val="center"/>
          </w:tcPr>
          <w:p>
            <w:r>
              <w:rPr>
                <w:rFonts w:ascii="Calibri" w:hAnsi="Calibri"/>
                <w:sz w:val="20"/>
              </w:rPr>
              <w:t>92/100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AI Collaboration</w:t>
            </w:r>
          </w:p>
        </w:tc>
        <w:tc>
          <w:tcPr>
            <w:tcW w:type="dxa" w:w="2412"/>
            <w:shd w:val="clear" w:color="auto" w:fill="FEF3C7"/>
            <w:vAlign w:val="center"/>
          </w:tcPr>
          <w:p>
            <w:r>
              <w:rPr>
                <w:rFonts w:ascii="Calibri" w:hAnsi="Calibri"/>
                <w:sz w:val="20"/>
              </w:rPr>
              <w:t>89/100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Calibri" w:hAnsi="Calibri"/>
                <w:sz w:val="20"/>
              </w:rPr>
              <w:t>Ready – minor gaps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OVERALL</w:t>
            </w:r>
          </w:p>
        </w:tc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91/100</w:t>
            </w:r>
          </w:p>
        </w:tc>
        <w:tc>
          <w:tcPr>
            <w:tcW w:type="dxa" w:w="2412"/>
            <w:shd w:val="clear" w:color="auto" w:fill="0F172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READY FOR EXECUTION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Gap Heatmap Summary</w:t>
      </w:r>
    </w:p>
    <w:p>
      <w:r>
        <w:rPr>
          <w:rFonts w:ascii="Calibri" w:hAnsi="Calibri"/>
          <w:b w:val="0"/>
          <w:i w:val="0"/>
          <w:sz w:val="22"/>
        </w:rPr>
        <w:t>Cross-volume Gap Matrix contains 60 tracked items across 12 volumes plus cross-cutting concerns. Severity distribution and priority breakdown: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F172A"/>
          </w:tcPr>
          <w:p>
            <w:r>
              <w:rPr>
                <w:b/>
                <w:color w:val="FFFFFF"/>
              </w:rPr>
              <w:t>Severity \ Priority</w:t>
            </w:r>
          </w:p>
        </w:tc>
        <w:tc>
          <w:tcPr>
            <w:tcW w:type="dxa" w:w="1930"/>
            <w:shd w:val="clear" w:color="auto" w:fill="0F172A"/>
          </w:tcPr>
          <w:p>
            <w:r>
              <w:rPr>
                <w:b/>
                <w:color w:val="FFFFFF"/>
              </w:rPr>
              <w:t>P1 (Block MVP)</w:t>
            </w:r>
          </w:p>
        </w:tc>
        <w:tc>
          <w:tcPr>
            <w:tcW w:type="dxa" w:w="1930"/>
            <w:shd w:val="clear" w:color="auto" w:fill="0F172A"/>
          </w:tcPr>
          <w:p>
            <w:r>
              <w:rPr>
                <w:b/>
                <w:color w:val="FFFFFF"/>
              </w:rPr>
              <w:t>P2 (Phase 2)</w:t>
            </w:r>
          </w:p>
        </w:tc>
        <w:tc>
          <w:tcPr>
            <w:tcW w:type="dxa" w:w="1930"/>
            <w:shd w:val="clear" w:color="auto" w:fill="0F172A"/>
          </w:tcPr>
          <w:p>
            <w:r>
              <w:rPr>
                <w:b/>
                <w:color w:val="FFFFFF"/>
              </w:rPr>
              <w:t>P3 (Phase 3+)</w:t>
            </w:r>
          </w:p>
        </w:tc>
        <w:tc>
          <w:tcPr>
            <w:tcW w:type="dxa" w:w="1930"/>
            <w:shd w:val="clear" w:color="auto" w:fill="0F172A"/>
          </w:tcPr>
          <w:p>
            <w:r>
              <w:rPr>
                <w:b/>
                <w:color w:val="FFFFFF"/>
              </w:rPr>
              <w:t>P4 (Backlog)</w:t>
            </w:r>
          </w:p>
        </w:tc>
      </w:tr>
      <w:tr>
        <w:tc>
          <w:tcPr>
            <w:tcW w:type="dxa" w:w="1930"/>
            <w:shd w:val="clear" w:color="auto" w:fill="FCA5A5"/>
            <w:vAlign w:val="center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930"/>
            <w:shd w:val="clear" w:color="auto" w:fill="FED7AA"/>
            <w:vAlign w:val="cente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930"/>
            <w:shd w:val="clear" w:color="auto" w:fill="FEF3C7"/>
            <w:vAlign w:val="center"/>
          </w:tcPr>
          <w:p>
            <w:r>
              <w:rPr>
                <w:sz w:val="20"/>
              </w:rPr>
              <w:t>MED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930"/>
            <w:shd w:val="clear" w:color="auto" w:fill="BBF7D0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30"/>
            <w:vAlign w:val="center"/>
          </w:tcPr>
          <w:p>
            <w:r>
              <w:rPr>
                <w:sz w:val="20"/>
              </w:rPr>
              <w:t>3</w:t>
            </w:r>
          </w:p>
        </w:tc>
      </w:tr>
    </w:tbl>
    <w:p/>
    <w:p>
      <w:r>
        <w:rPr>
          <w:rFonts w:ascii="Calibri" w:hAnsi="Calibri"/>
          <w:b w:val="0"/>
          <w:i/>
          <w:sz w:val="20"/>
        </w:rPr>
        <w:t>Notable patterns: zero CRITICAL severity items — the architecture is sound. High-severity P1 items are predominantly external dependencies (legal templates, US tax map, ADR decisions, vendor contracts) and DevOps readiness (DR drill cadence, k6 perf scripts). All HIGH-severity P1 items have named owners and target close dates pre-MVP.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Key Architectural Decisions (Confirmed)</w:t>
      </w:r>
    </w:p>
    <w:p>
      <w:r>
        <w:rPr>
          <w:rFonts w:ascii="Calibri" w:hAnsi="Calibri"/>
          <w:b/>
          <w:sz w:val="22"/>
        </w:rPr>
        <w:t xml:space="preserve">Plugin topology. </w:t>
      </w:r>
      <w:r>
        <w:rPr>
          <w:rFonts w:ascii="Calibri" w:hAnsi="Calibri"/>
          <w:sz w:val="22"/>
        </w:rPr>
        <w:t>One mercato-core + 18 domain plugins + 9 integration adapters. Strict semver SDK contract.</w:t>
      </w:r>
    </w:p>
    <w:p>
      <w:r>
        <w:rPr>
          <w:rFonts w:ascii="Calibri" w:hAnsi="Calibri"/>
          <w:b/>
          <w:sz w:val="22"/>
        </w:rPr>
        <w:t xml:space="preserve">Deployment model. </w:t>
      </w:r>
      <w:r>
        <w:rPr>
          <w:rFonts w:ascii="Calibri" w:hAnsi="Calibri"/>
          <w:sz w:val="22"/>
        </w:rPr>
        <w:t>Two-plane: WordPress data plane + multi-tenant control plane on EKS.</w:t>
      </w:r>
    </w:p>
    <w:p>
      <w:r>
        <w:rPr>
          <w:rFonts w:ascii="Calibri" w:hAnsi="Calibri"/>
          <w:b/>
          <w:sz w:val="22"/>
        </w:rPr>
        <w:t xml:space="preserve">Multi-tenancy. </w:t>
      </w:r>
      <w:r>
        <w:rPr>
          <w:rFonts w:ascii="Calibri" w:hAnsi="Calibri"/>
          <w:sz w:val="22"/>
        </w:rPr>
        <w:t>Three modes: Pooled multisite (Starter/Pro), Silo container (Business), Dedicated cluster (Enterprise).</w:t>
      </w:r>
    </w:p>
    <w:p>
      <w:r>
        <w:rPr>
          <w:rFonts w:ascii="Calibri" w:hAnsi="Calibri"/>
          <w:b/>
          <w:sz w:val="22"/>
        </w:rPr>
        <w:t xml:space="preserve">Event bus. </w:t>
      </w:r>
      <w:r>
        <w:rPr>
          <w:rFonts w:ascii="Calibri" w:hAnsi="Calibri"/>
          <w:sz w:val="22"/>
        </w:rPr>
        <w:t>Kafka (MSK) — partition key tenant_id:aggregate_id; at-least-once; idempotent consumers.</w:t>
      </w:r>
    </w:p>
    <w:p>
      <w:r>
        <w:rPr>
          <w:rFonts w:ascii="Calibri" w:hAnsi="Calibri"/>
          <w:b/>
          <w:sz w:val="22"/>
        </w:rPr>
        <w:t xml:space="preserve">Outbox/Inbox. </w:t>
      </w:r>
      <w:r>
        <w:rPr>
          <w:rFonts w:ascii="Calibri" w:hAnsi="Calibri"/>
          <w:sz w:val="22"/>
        </w:rPr>
        <w:t>Mandatory transactional outbox for any cross-boundary publish; inbox for inbound webhooks (Stripe/KYC).</w:t>
      </w:r>
    </w:p>
    <w:p>
      <w:r>
        <w:rPr>
          <w:rFonts w:ascii="Calibri" w:hAnsi="Calibri"/>
          <w:b/>
          <w:sz w:val="22"/>
        </w:rPr>
        <w:t xml:space="preserve">CQRS partition. </w:t>
      </w:r>
      <w:r>
        <w:rPr>
          <w:rFonts w:ascii="Calibri" w:hAnsi="Calibri"/>
          <w:sz w:val="22"/>
        </w:rPr>
        <w:t>Money writes → Aurora MySQL; reads → MySQL replica / OpenSearch / ClickHouse analytics.</w:t>
      </w:r>
    </w:p>
    <w:p>
      <w:r>
        <w:rPr>
          <w:rFonts w:ascii="Calibri" w:hAnsi="Calibri"/>
          <w:b/>
          <w:sz w:val="22"/>
        </w:rPr>
        <w:t xml:space="preserve">Search. </w:t>
      </w:r>
      <w:r>
        <w:rPr>
          <w:rFonts w:ascii="Calibri" w:hAnsi="Calibri"/>
          <w:sz w:val="22"/>
        </w:rPr>
        <w:t>OpenSearch self-hosted on EKS, per-tenant index, Redis fallback when degraded.</w:t>
      </w:r>
    </w:p>
    <w:p>
      <w:r>
        <w:rPr>
          <w:rFonts w:ascii="Calibri" w:hAnsi="Calibri"/>
          <w:b/>
          <w:sz w:val="22"/>
        </w:rPr>
        <w:t xml:space="preserve">Cache. </w:t>
      </w:r>
      <w:r>
        <w:rPr>
          <w:rFonts w:ascii="Calibri" w:hAnsi="Calibri"/>
          <w:sz w:val="22"/>
        </w:rPr>
        <w:t>ElastiCache Redis (object + query + semantic AI cache).</w:t>
      </w:r>
    </w:p>
    <w:p>
      <w:r>
        <w:rPr>
          <w:rFonts w:ascii="Calibri" w:hAnsi="Calibri"/>
          <w:b/>
          <w:sz w:val="22"/>
        </w:rPr>
        <w:t xml:space="preserve">Catalog data. </w:t>
      </w:r>
      <w:r>
        <w:rPr>
          <w:rFonts w:ascii="Calibri" w:hAnsi="Calibri"/>
          <w:sz w:val="22"/>
        </w:rPr>
        <w:t>wp_mercato_products is source of truth; thin shadow projection to WC tables for cart compatibility (HPOS mandatory).</w:t>
      </w:r>
    </w:p>
    <w:p>
      <w:r>
        <w:rPr>
          <w:rFonts w:ascii="Calibri" w:hAnsi="Calibri"/>
          <w:b/>
          <w:sz w:val="22"/>
        </w:rPr>
        <w:t xml:space="preserve">Money. </w:t>
      </w:r>
      <w:r>
        <w:rPr>
          <w:rFonts w:ascii="Calibri" w:hAnsi="Calibri"/>
          <w:sz w:val="22"/>
        </w:rPr>
        <w:t>INT minor units + ISO-4217 everywhere; FX captured at order time.</w:t>
      </w:r>
    </w:p>
    <w:p>
      <w:r>
        <w:rPr>
          <w:rFonts w:ascii="Calibri" w:hAnsi="Calibri"/>
          <w:b/>
          <w:sz w:val="22"/>
        </w:rPr>
        <w:t xml:space="preserve">Identity. </w:t>
      </w:r>
      <w:r>
        <w:rPr>
          <w:rFonts w:ascii="Calibri" w:hAnsi="Calibri"/>
          <w:sz w:val="22"/>
        </w:rPr>
        <w:t>Capability JWT (24h TTL, RS256) for tenant feature flags; offline grace policy.</w:t>
      </w:r>
    </w:p>
    <w:p>
      <w:r>
        <w:rPr>
          <w:rFonts w:ascii="Calibri" w:hAnsi="Calibri"/>
          <w:b/>
          <w:sz w:val="22"/>
        </w:rPr>
        <w:t xml:space="preserve">AI. </w:t>
      </w:r>
      <w:r>
        <w:rPr>
          <w:rFonts w:ascii="Calibri" w:hAnsi="Calibri"/>
          <w:sz w:val="22"/>
        </w:rPr>
        <w:t>Dedicated Node/Python microservice; multi-provider routing via LiteLLM; Qdrant for RAG with per-tenant namespacing.</w:t>
      </w:r>
    </w:p>
    <w:p>
      <w:r>
        <w:rPr>
          <w:rFonts w:ascii="Calibri" w:hAnsi="Calibri"/>
          <w:b/>
          <w:sz w:val="22"/>
        </w:rPr>
        <w:t xml:space="preserve">Observability. </w:t>
      </w:r>
      <w:r>
        <w:rPr>
          <w:rFonts w:ascii="Calibri" w:hAnsi="Calibri"/>
          <w:sz w:val="22"/>
        </w:rPr>
        <w:t>Prometheus + Grafana + Tempo + OpenSearch logs; OpenTelemetry W3C traceparent propagated through outbox.</w:t>
      </w:r>
    </w:p>
    <w:p>
      <w:r>
        <w:rPr>
          <w:rFonts w:ascii="Calibri" w:hAnsi="Calibri"/>
          <w:b/>
          <w:sz w:val="22"/>
        </w:rPr>
        <w:t xml:space="preserve">Disaster Recovery. </w:t>
      </w:r>
      <w:r>
        <w:rPr>
          <w:rFonts w:ascii="Calibri" w:hAnsi="Calibri"/>
          <w:sz w:val="22"/>
        </w:rPr>
        <w:t>Aurora Global Database (Enterprise) + S3 CRR; quarterly DR drills; Object Lock for audit + KYC.</w:t>
      </w:r>
    </w:p>
    <w:p>
      <w:r>
        <w:rPr>
          <w:rFonts w:ascii="Calibri" w:hAnsi="Calibri"/>
          <w:b/>
          <w:sz w:val="22"/>
        </w:rPr>
        <w:t xml:space="preserve">Security. </w:t>
      </w:r>
      <w:r>
        <w:rPr>
          <w:rFonts w:ascii="Calibri" w:hAnsi="Calibri"/>
          <w:sz w:val="22"/>
        </w:rPr>
        <w:t>TLS 1.3, KMS at rest, per-tenant CMK for KYC, MFA mandatory at Enterprise, mTLS in service mesh (Linkerd).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Final Implementation Blueprint — Engineering Delivery Sequence</w:t>
      </w:r>
    </w:p>
    <w:p>
      <w:r>
        <w:rPr>
          <w:rFonts w:ascii="Calibri" w:hAnsi="Calibri"/>
          <w:b w:val="0"/>
          <w:i w:val="0"/>
          <w:sz w:val="22"/>
        </w:rPr>
        <w:t>The platform delivers in four phases over approximately 44 weeks. Phase boundaries align to release-gate criteria; each phase is self-contained and ships value to early tenants. Story-level scope lives in the Implementation Backlog deliverable.</w:t>
      </w:r>
    </w:p>
    <w:p>
      <w:pPr>
        <w:pStyle w:val="Heading2"/>
      </w:pPr>
      <w:r>
        <w:rPr>
          <w:rFonts w:ascii="Calibri" w:hAnsi="Calibri"/>
          <w:color w:val="0F172A"/>
        </w:rPr>
        <w:t>Phase 1 — Foundation MVP (weeks 0–12)</w:t>
      </w:r>
    </w:p>
    <w:p>
      <w:r>
        <w:rPr>
          <w:rFonts w:ascii="Calibri" w:hAnsi="Calibri"/>
          <w:b w:val="0"/>
          <w:i w:val="0"/>
          <w:sz w:val="22"/>
        </w:rPr>
        <w:t>Goal: a Tenant can launch a single-region marketplace with vendor onboarding, multi-vendor checkout, commissions, weekly payouts, and basic moderation. Pooled multisite deployment. Email-only notifications.</w:t>
      </w:r>
    </w:p>
    <w:p>
      <w:r>
        <w:rPr>
          <w:rFonts w:ascii="Calibri" w:hAnsi="Calibri"/>
          <w:b/>
          <w:i w:val="0"/>
          <w:sz w:val="22"/>
        </w:rPr>
        <w:t>Workstreams (parallel):</w:t>
      </w:r>
    </w:p>
    <w:p>
      <w:pPr>
        <w:pStyle w:val="ListBullet"/>
      </w:pPr>
      <w:r>
        <w:rPr>
          <w:rFonts w:ascii="Calibri" w:hAnsi="Calibri"/>
          <w:sz w:val="22"/>
        </w:rPr>
        <w:t>Platform foundation: mercato-core (DI, migrations, outbox, RBAC, capability JWT, hook adapter).</w:t>
      </w:r>
    </w:p>
    <w:p>
      <w:pPr>
        <w:pStyle w:val="ListBullet"/>
      </w:pPr>
      <w:r>
        <w:rPr>
          <w:rFonts w:ascii="Calibri" w:hAnsi="Calibri"/>
          <w:sz w:val="22"/>
        </w:rPr>
        <w:t>Vendor lifecycle: registration, Stripe Identity KYC, tenant approval, storefront settings.</w:t>
      </w:r>
    </w:p>
    <w:p>
      <w:pPr>
        <w:pStyle w:val="ListBullet"/>
      </w:pPr>
      <w:r>
        <w:rPr>
          <w:rFonts w:ascii="Calibri" w:hAnsi="Calibri"/>
          <w:sz w:val="22"/>
        </w:rPr>
        <w:t>Catalog: wp_mercato_products with shadow projection to WC HPOS, basic CRUD.</w:t>
      </w:r>
    </w:p>
    <w:p>
      <w:pPr>
        <w:pStyle w:val="ListBullet"/>
      </w:pPr>
      <w:r>
        <w:rPr>
          <w:rFonts w:ascii="Calibri" w:hAnsi="Calibri"/>
          <w:sz w:val="22"/>
        </w:rPr>
        <w:t>Orders: multi-vendor split, sub-order lifecycle, vendor fulfillment, buyer tracking.</w:t>
      </w:r>
    </w:p>
    <w:p>
      <w:pPr>
        <w:pStyle w:val="ListBullet"/>
      </w:pPr>
      <w:r>
        <w:rPr>
          <w:rFonts w:ascii="Calibri" w:hAnsi="Calibri"/>
          <w:sz w:val="22"/>
        </w:rPr>
        <w:t>Commissions: global + per-vendor override rules; immutable ledger; refund reversal.</w:t>
      </w:r>
    </w:p>
    <w:p>
      <w:pPr>
        <w:pStyle w:val="ListBullet"/>
      </w:pPr>
      <w:r>
        <w:rPr>
          <w:rFonts w:ascii="Calibri" w:hAnsi="Calibri"/>
          <w:sz w:val="22"/>
        </w:rPr>
        <w:t>Payouts: weekly batch via Stripe Connect Destination Charge; reconciliation ±$0.01.</w:t>
      </w:r>
    </w:p>
    <w:p>
      <w:pPr>
        <w:pStyle w:val="ListBullet"/>
      </w:pPr>
      <w:r>
        <w:rPr>
          <w:rFonts w:ascii="Calibri" w:hAnsi="Calibri"/>
          <w:sz w:val="22"/>
        </w:rPr>
        <w:t>Storefront: themed PDP + cart + checkout with Stripe Elements; SCA-compliant.</w:t>
      </w:r>
    </w:p>
    <w:p>
      <w:pPr>
        <w:pStyle w:val="ListBullet"/>
      </w:pPr>
      <w:r>
        <w:rPr>
          <w:rFonts w:ascii="Calibri" w:hAnsi="Calibri"/>
          <w:sz w:val="22"/>
        </w:rPr>
        <w:t>Tenant admin SPA: dashboard, vendors, products, orders, refunds, commissions, payouts.</w:t>
      </w:r>
    </w:p>
    <w:p>
      <w:pPr>
        <w:pStyle w:val="ListBullet"/>
      </w:pPr>
      <w:r>
        <w:rPr>
          <w:rFonts w:ascii="Calibri" w:hAnsi="Calibri"/>
          <w:sz w:val="22"/>
        </w:rPr>
        <w:t>DevOps: EKS + Aurora + Redis + S3 + CloudFront via Terraform; CI/CD via GitHub Actions + ArgoCD.</w:t>
      </w:r>
    </w:p>
    <w:p>
      <w:pPr>
        <w:pStyle w:val="ListBullet"/>
      </w:pPr>
      <w:r>
        <w:rPr>
          <w:rFonts w:ascii="Calibri" w:hAnsi="Calibri"/>
          <w:sz w:val="22"/>
        </w:rPr>
        <w:t>Observability: Prometheus/Grafana + FluentBit + OpenTelemetry tracing.</w:t>
      </w:r>
    </w:p>
    <w:p>
      <w:pPr>
        <w:pStyle w:val="ListBullet"/>
      </w:pPr>
      <w:r>
        <w:rPr>
          <w:rFonts w:ascii="Calibri" w:hAnsi="Calibri"/>
          <w:sz w:val="22"/>
        </w:rPr>
        <w:t>Security: TLS 1.3, MFA optional, audit logging append-only, CSP nonces, KMS encryption.</w:t>
      </w:r>
    </w:p>
    <w:p>
      <w:pPr>
        <w:pStyle w:val="ListBullet"/>
      </w:pPr>
      <w:r>
        <w:rPr>
          <w:rFonts w:ascii="Calibri" w:hAnsi="Calibri"/>
          <w:sz w:val="22"/>
        </w:rPr>
        <w:t>QA: PHPUnit/Vitest unit tests, Playwright top-15 E2E, security gates in CI.</w:t>
      </w:r>
    </w:p>
    <w:p>
      <w:r>
        <w:rPr>
          <w:rFonts w:ascii="Calibri" w:hAnsi="Calibri"/>
          <w:b/>
          <w:i w:val="0"/>
          <w:sz w:val="22"/>
        </w:rPr>
        <w:t>Gates to exit Phase 1:</w:t>
      </w:r>
    </w:p>
    <w:p>
      <w:pPr>
        <w:pStyle w:val="ListNumber"/>
      </w:pPr>
      <w:r>
        <w:rPr>
          <w:rFonts w:ascii="Calibri" w:hAnsi="Calibri"/>
          <w:sz w:val="22"/>
        </w:rPr>
        <w:t>All P1 stories Done; traceability matrix 100% covered.</w:t>
      </w:r>
    </w:p>
    <w:p>
      <w:pPr>
        <w:pStyle w:val="ListNumber"/>
      </w:pPr>
      <w:r>
        <w:rPr>
          <w:rFonts w:ascii="Calibri" w:hAnsi="Calibri"/>
          <w:sz w:val="22"/>
        </w:rPr>
        <w:t>k6 sustained 5,000 orders/min with P95 checkout &lt;1.5s.</w:t>
      </w:r>
    </w:p>
    <w:p>
      <w:pPr>
        <w:pStyle w:val="ListNumber"/>
      </w:pPr>
      <w:r>
        <w:rPr>
          <w:rFonts w:ascii="Calibri" w:hAnsi="Calibri"/>
          <w:sz w:val="22"/>
        </w:rPr>
        <w:t>Outbox lag P95 &lt;2s under load.</w:t>
      </w:r>
    </w:p>
    <w:p>
      <w:pPr>
        <w:pStyle w:val="ListNumber"/>
      </w:pPr>
      <w:r>
        <w:rPr>
          <w:rFonts w:ascii="Calibri" w:hAnsi="Calibri"/>
          <w:sz w:val="22"/>
        </w:rPr>
        <w:t>Daily Stripe reconciliation drift ±$0.01 verified for 14 consecutive days.</w:t>
      </w:r>
    </w:p>
    <w:p>
      <w:pPr>
        <w:pStyle w:val="ListNumber"/>
      </w:pPr>
      <w:r>
        <w:rPr>
          <w:rFonts w:ascii="Calibri" w:hAnsi="Calibri"/>
          <w:sz w:val="22"/>
        </w:rPr>
        <w:t>External pentest (Phase 1 scope) — 0 Critical findings.</w:t>
      </w:r>
    </w:p>
    <w:p>
      <w:pPr>
        <w:pStyle w:val="ListNumber"/>
      </w:pPr>
      <w:r>
        <w:rPr>
          <w:rFonts w:ascii="Calibri" w:hAnsi="Calibri"/>
          <w:sz w:val="22"/>
        </w:rPr>
        <w:t>DR partial drill passed.</w:t>
      </w:r>
    </w:p>
    <w:p>
      <w:pPr>
        <w:pStyle w:val="ListNumber"/>
      </w:pPr>
      <w:r>
        <w:rPr>
          <w:rFonts w:ascii="Calibri" w:hAnsi="Calibri"/>
          <w:sz w:val="22"/>
        </w:rPr>
        <w:t>Beta tenant signed off (UAT).</w:t>
      </w:r>
    </w:p>
    <w:p>
      <w:pPr>
        <w:pStyle w:val="Heading2"/>
      </w:pPr>
      <w:r>
        <w:rPr>
          <w:rFonts w:ascii="Calibri" w:hAnsi="Calibri"/>
          <w:color w:val="0F172A"/>
        </w:rPr>
        <w:t>Phase 2 — Pro Tier (weeks 12–22)</w:t>
      </w:r>
    </w:p>
    <w:p>
      <w:r>
        <w:rPr>
          <w:rFonts w:ascii="Calibri" w:hAnsi="Calibri"/>
          <w:b w:val="0"/>
          <w:i w:val="0"/>
          <w:sz w:val="22"/>
        </w:rPr>
        <w:t>Goal: Pro tenants get reviews, disputes, full reports, OpenSearch-backed search, tax engine, bulk imports, variations.</w:t>
      </w:r>
    </w:p>
    <w:p>
      <w:pPr>
        <w:pStyle w:val="ListBullet"/>
      </w:pPr>
      <w:r>
        <w:rPr>
          <w:rFonts w:ascii="Calibri" w:hAnsi="Calibri"/>
          <w:sz w:val="22"/>
        </w:rPr>
        <w:t>Reviews &amp; ratings (verified purchase, vendor responses, moderation).</w:t>
      </w:r>
    </w:p>
    <w:p>
      <w:pPr>
        <w:pStyle w:val="ListBullet"/>
      </w:pPr>
      <w:r>
        <w:rPr>
          <w:rFonts w:ascii="Calibri" w:hAnsi="Calibri"/>
          <w:sz w:val="22"/>
        </w:rPr>
        <w:t>Disputes (open / vendor response / admin adjudication / refund + commission reversal).</w:t>
      </w:r>
    </w:p>
    <w:p>
      <w:pPr>
        <w:pStyle w:val="ListBullet"/>
      </w:pPr>
      <w:r>
        <w:rPr>
          <w:rFonts w:ascii="Calibri" w:hAnsi="Calibri"/>
          <w:sz w:val="22"/>
        </w:rPr>
        <w:t>Reports (tenant + vendor dashboards via Aurora replica; CSV/XLSX export).</w:t>
      </w:r>
    </w:p>
    <w:p>
      <w:pPr>
        <w:pStyle w:val="ListBullet"/>
      </w:pPr>
      <w:r>
        <w:rPr>
          <w:rFonts w:ascii="Calibri" w:hAnsi="Calibri"/>
          <w:sz w:val="22"/>
        </w:rPr>
        <w:t>Search (OpenSearch indexing pipeline; facets; synonyms; degraded MySQL fallback).</w:t>
      </w:r>
    </w:p>
    <w:p>
      <w:pPr>
        <w:pStyle w:val="ListBullet"/>
      </w:pPr>
      <w:r>
        <w:rPr>
          <w:rFonts w:ascii="Calibri" w:hAnsi="Calibri"/>
          <w:sz w:val="22"/>
        </w:rPr>
        <w:t>Tax engine (TaxJar + Avalara adapters; cache + fallback).</w:t>
      </w:r>
    </w:p>
    <w:p>
      <w:pPr>
        <w:pStyle w:val="ListBullet"/>
      </w:pPr>
      <w:r>
        <w:rPr>
          <w:rFonts w:ascii="Calibri" w:hAnsi="Calibri"/>
          <w:sz w:val="22"/>
        </w:rPr>
        <w:t>Catalog: bulk CSV import (≤10k rows), variations (≤250).</w:t>
      </w:r>
    </w:p>
    <w:p>
      <w:pPr>
        <w:pStyle w:val="ListBullet"/>
      </w:pPr>
      <w:r>
        <w:rPr>
          <w:rFonts w:ascii="Calibri" w:hAnsi="Calibri"/>
          <w:sz w:val="22"/>
        </w:rPr>
        <w:t>Notifications: SMS, push, webhooks (HMAC); template management.</w:t>
      </w:r>
    </w:p>
    <w:p>
      <w:pPr>
        <w:pStyle w:val="ListBullet"/>
      </w:pPr>
      <w:r>
        <w:rPr>
          <w:rFonts w:ascii="Calibri" w:hAnsi="Calibri"/>
          <w:sz w:val="22"/>
        </w:rPr>
        <w:t>Vendor staff roles (6 role catalog).</w:t>
      </w:r>
    </w:p>
    <w:p>
      <w:pPr>
        <w:pStyle w:val="ListBullet"/>
      </w:pPr>
      <w:r>
        <w:rPr>
          <w:rFonts w:ascii="Calibri" w:hAnsi="Calibri"/>
          <w:sz w:val="22"/>
        </w:rPr>
        <w:t>DSAR automation.</w:t>
      </w:r>
    </w:p>
    <w:p>
      <w:pPr>
        <w:pStyle w:val="ListBullet"/>
      </w:pPr>
      <w:r>
        <w:rPr>
          <w:rFonts w:ascii="Calibri" w:hAnsi="Calibri"/>
          <w:sz w:val="22"/>
        </w:rPr>
        <w:t>i18n: 5 launch locales.</w:t>
      </w:r>
    </w:p>
    <w:p>
      <w:pPr>
        <w:pStyle w:val="ListBullet"/>
      </w:pPr>
      <w:r>
        <w:rPr>
          <w:rFonts w:ascii="Calibri" w:hAnsi="Calibri"/>
          <w:sz w:val="22"/>
        </w:rPr>
        <w:t>WebAuthn for vendor accounts.</w:t>
      </w:r>
    </w:p>
    <w:p>
      <w:pPr>
        <w:pStyle w:val="ListBullet"/>
      </w:pPr>
      <w:r>
        <w:rPr>
          <w:rFonts w:ascii="Calibri" w:hAnsi="Calibri"/>
          <w:sz w:val="22"/>
        </w:rPr>
        <w:t>Monthly DR drill cadence.</w:t>
      </w:r>
    </w:p>
    <w:p>
      <w:pPr>
        <w:pStyle w:val="Heading2"/>
      </w:pPr>
      <w:r>
        <w:rPr>
          <w:rFonts w:ascii="Calibri" w:hAnsi="Calibri"/>
          <w:color w:val="0F172A"/>
        </w:rPr>
        <w:t>Phase 3 — Enterprise + AI (weeks 22–34)</w:t>
      </w:r>
    </w:p>
    <w:p>
      <w:r>
        <w:rPr>
          <w:rFonts w:ascii="Calibri" w:hAnsi="Calibri"/>
          <w:b w:val="0"/>
          <w:i w:val="0"/>
          <w:sz w:val="22"/>
        </w:rPr>
        <w:t>Goal: Business + Enterprise tiers; AI Copilot; subscriptions billing; fraud engine; white-label; multi-currency.</w:t>
      </w:r>
    </w:p>
    <w:p>
      <w:pPr>
        <w:pStyle w:val="ListBullet"/>
      </w:pPr>
      <w:r>
        <w:rPr>
          <w:rFonts w:ascii="Calibri" w:hAnsi="Calibri"/>
          <w:sz w:val="22"/>
        </w:rPr>
        <w:t>Subscriptions engine for tenant billing (Stripe metered) + vendor-side recurring (where enabled).</w:t>
      </w:r>
    </w:p>
    <w:p>
      <w:pPr>
        <w:pStyle w:val="ListBullet"/>
      </w:pPr>
      <w:r>
        <w:rPr>
          <w:rFonts w:ascii="Calibri" w:hAnsi="Calibri"/>
          <w:sz w:val="22"/>
        </w:rPr>
        <w:t>Fraud-risk engine with rules + ML scoring; admin review queue.</w:t>
      </w:r>
    </w:p>
    <w:p>
      <w:pPr>
        <w:pStyle w:val="ListBullet"/>
      </w:pPr>
      <w:r>
        <w:rPr>
          <w:rFonts w:ascii="Calibri" w:hAnsi="Calibri"/>
          <w:sz w:val="22"/>
        </w:rPr>
        <w:t>AI Copilot microservice: provider gateway, prompt registry, guardrails, semantic cache, RAG via Qdrant.</w:t>
      </w:r>
    </w:p>
    <w:p>
      <w:pPr>
        <w:pStyle w:val="ListBullet"/>
      </w:pPr>
      <w:r>
        <w:rPr>
          <w:rFonts w:ascii="Calibri" w:hAnsi="Calibri"/>
          <w:sz w:val="22"/>
        </w:rPr>
        <w:t>AI features: product descriptions, message reply suggestions, support summaries, moderation, storefront discovery.</w:t>
      </w:r>
    </w:p>
    <w:p>
      <w:pPr>
        <w:pStyle w:val="ListBullet"/>
      </w:pPr>
      <w:r>
        <w:rPr>
          <w:rFonts w:ascii="Calibri" w:hAnsi="Calibri"/>
          <w:sz w:val="22"/>
        </w:rPr>
        <w:t>Multi-currency end-to-end: buyer display, settlement, accounting.</w:t>
      </w:r>
    </w:p>
    <w:p>
      <w:pPr>
        <w:pStyle w:val="ListBullet"/>
      </w:pPr>
      <w:r>
        <w:rPr>
          <w:rFonts w:ascii="Calibri" w:hAnsi="Calibri"/>
          <w:sz w:val="22"/>
        </w:rPr>
        <w:t>White-label: tokens + templates + custom domain provisioning (ACM automation).</w:t>
      </w:r>
    </w:p>
    <w:p>
      <w:pPr>
        <w:pStyle w:val="ListBullet"/>
      </w:pPr>
      <w:r>
        <w:rPr>
          <w:rFonts w:ascii="Calibri" w:hAnsi="Calibri"/>
          <w:sz w:val="22"/>
        </w:rPr>
        <w:t>SSO (SAML 2.0 + OIDC).</w:t>
      </w:r>
    </w:p>
    <w:p>
      <w:pPr>
        <w:pStyle w:val="ListBullet"/>
      </w:pPr>
      <w:r>
        <w:rPr>
          <w:rFonts w:ascii="Calibri" w:hAnsi="Calibri"/>
          <w:sz w:val="22"/>
        </w:rPr>
        <w:t>Silo deployment topology for Business tier.</w:t>
      </w:r>
    </w:p>
    <w:p>
      <w:pPr>
        <w:pStyle w:val="ListBullet"/>
      </w:pPr>
      <w:r>
        <w:rPr>
          <w:rFonts w:ascii="Calibri" w:hAnsi="Calibri"/>
          <w:sz w:val="22"/>
        </w:rPr>
        <w:t>Tenant-aware Grafana dashboards.</w:t>
      </w:r>
    </w:p>
    <w:p>
      <w:pPr>
        <w:pStyle w:val="ListBullet"/>
      </w:pPr>
      <w:r>
        <w:rPr>
          <w:rFonts w:ascii="Calibri" w:hAnsi="Calibri"/>
          <w:sz w:val="22"/>
        </w:rPr>
        <w:t>Compliance: SOC-2 Type II observation period begins.</w:t>
      </w:r>
    </w:p>
    <w:p>
      <w:pPr>
        <w:pStyle w:val="Heading2"/>
      </w:pPr>
      <w:r>
        <w:rPr>
          <w:rFonts w:ascii="Calibri" w:hAnsi="Calibri"/>
          <w:color w:val="0F172A"/>
        </w:rPr>
        <w:t>Phase 4 — Multi-region &amp; Migration (weeks 34–44)</w:t>
      </w:r>
    </w:p>
    <w:p>
      <w:r>
        <w:rPr>
          <w:rFonts w:ascii="Calibri" w:hAnsi="Calibri"/>
          <w:b w:val="0"/>
          <w:i w:val="0"/>
          <w:sz w:val="22"/>
        </w:rPr>
        <w:t>Goal: Dedicated tier, multi-region failover, BYOK, migration importers, advanced AI use cases, reseller program foundation.</w:t>
      </w:r>
    </w:p>
    <w:p>
      <w:pPr>
        <w:pStyle w:val="ListBullet"/>
      </w:pPr>
      <w:r>
        <w:rPr>
          <w:rFonts w:ascii="Calibri" w:hAnsi="Calibri"/>
          <w:sz w:val="22"/>
        </w:rPr>
        <w:t>Aurora Global Database + region failover playbook + annual full DR drill.</w:t>
      </w:r>
    </w:p>
    <w:p>
      <w:pPr>
        <w:pStyle w:val="ListBullet"/>
      </w:pPr>
      <w:r>
        <w:rPr>
          <w:rFonts w:ascii="Calibri" w:hAnsi="Calibri"/>
          <w:sz w:val="22"/>
        </w:rPr>
        <w:t>BYOK (tenant-supplied KMS keys with grants).</w:t>
      </w:r>
    </w:p>
    <w:p>
      <w:pPr>
        <w:pStyle w:val="ListBullet"/>
      </w:pPr>
      <w:r>
        <w:rPr>
          <w:rFonts w:ascii="Calibri" w:hAnsi="Calibri"/>
          <w:sz w:val="22"/>
        </w:rPr>
        <w:t>Migration importers (Dokan, WCFM, Mirakl CSV) with dry-run + 24h rollback.</w:t>
      </w:r>
    </w:p>
    <w:p>
      <w:pPr>
        <w:pStyle w:val="ListBullet"/>
      </w:pPr>
      <w:r>
        <w:rPr>
          <w:rFonts w:ascii="Calibri" w:hAnsi="Calibri"/>
          <w:sz w:val="22"/>
        </w:rPr>
        <w:t>Vendor collaboration workspaces.</w:t>
      </w:r>
    </w:p>
    <w:p>
      <w:pPr>
        <w:pStyle w:val="ListBullet"/>
      </w:pPr>
      <w:r>
        <w:rPr>
          <w:rFonts w:ascii="Calibri" w:hAnsi="Calibri"/>
          <w:sz w:val="22"/>
        </w:rPr>
        <w:t>Advanced AI use cases (insights, anomaly detection, vendor application triage).</w:t>
      </w:r>
    </w:p>
    <w:p>
      <w:pPr>
        <w:pStyle w:val="ListBullet"/>
      </w:pPr>
      <w:r>
        <w:rPr>
          <w:rFonts w:ascii="Calibri" w:hAnsi="Calibri"/>
          <w:sz w:val="22"/>
        </w:rPr>
        <w:t>Reseller sub-tenant foundation.</w:t>
      </w:r>
    </w:p>
    <w:p>
      <w:pPr>
        <w:pStyle w:val="ListBullet"/>
      </w:pPr>
      <w:r>
        <w:rPr>
          <w:rFonts w:ascii="Calibri" w:hAnsi="Calibri"/>
          <w:sz w:val="22"/>
        </w:rPr>
        <w:t>Native mobile thin client (optional).</w:t>
      </w:r>
    </w:p>
    <w:p>
      <w:pPr>
        <w:pStyle w:val="ListBullet"/>
      </w:pPr>
      <w:r>
        <w:rPr>
          <w:rFonts w:ascii="Calibri" w:hAnsi="Calibri"/>
          <w:sz w:val="22"/>
        </w:rPr>
        <w:t>Marketplace SLA contracts (Enterprise customer-specific).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Execution Workstreams &amp; Ownership</w:t>
      </w:r>
    </w:p>
    <w:p>
      <w:r>
        <w:rPr>
          <w:rFonts w:ascii="Calibri" w:hAnsi="Calibri"/>
          <w:b w:val="0"/>
          <w:i w:val="0"/>
          <w:sz w:val="22"/>
        </w:rPr>
        <w:t>All work is organized into 10 workstreams running in parallel. Each has a named lead and a clear definition of done.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172A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3216"/>
            <w:shd w:val="clear" w:color="auto" w:fill="0F172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216"/>
            <w:shd w:val="clear" w:color="auto" w:fill="0F172A"/>
          </w:tcPr>
          <w:p>
            <w:r>
              <w:rPr>
                <w:b/>
                <w:color w:val="FFFFFF"/>
              </w:rPr>
              <w:t>Definition of Done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Platform Core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Principal Platform Eng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mercato-core ships SDK v1; manifests, outbox, RBAC, JWT, idempotency, hook adapter.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Vendor &amp; Catalog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Senior PM + Senior Eng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Vendors EPIC-02, Products EPIC-03 fully delivered with shadow catalog working.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Orders &amp; Payments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Senior PM + Senior Eng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Orders EPIC-04, Commissions EPIC-05, Payouts EPIC-06 with reconciliation.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Storefront &amp; Buyer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Web Lead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Cart, checkout (multi-vendor, Stripe Elements), PDP, search.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Tenant Admin Suite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UX Lead + Senior Eng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Tenant Admin SPA: dashboard, configuration, governance.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Vendor SPA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UX Lead + Senior Eng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Vendor SPA: products, orders, payouts, messages, settings.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Search &amp; AI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AI Eng Lead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Phase 2: OpenSearch pipeline. Phase 3: AI microservice + RAG.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DevOps / SRE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Head of SRE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Terraform stack, EKS, observability, DR, on-call rotation.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Security &amp; Compliance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CISO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ASVS L2, audit logging, DSAR, SOC-2 evidence, pentest.</w:t>
            </w:r>
          </w:p>
        </w:tc>
      </w:tr>
      <w:tr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QA &amp; UAT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QA Architect</w:t>
            </w:r>
          </w:p>
        </w:tc>
        <w:tc>
          <w:tcPr>
            <w:tcW w:type="dxa" w:w="3216"/>
            <w:vAlign w:val="top"/>
          </w:tcPr>
          <w:p>
            <w:r>
              <w:rPr>
                <w:rFonts w:ascii="Calibri" w:hAnsi="Calibri"/>
                <w:sz w:val="20"/>
              </w:rPr>
              <w:t>Test pyramid green, traceability 100%, UAT sign-off per release.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Top Risks &amp; Mitigations</w:t>
      </w:r>
    </w:p>
    <w:p>
      <w:r>
        <w:rPr>
          <w:rFonts w:ascii="Calibri" w:hAnsi="Calibri"/>
          <w:b/>
          <w:sz w:val="22"/>
        </w:rPr>
        <w:t xml:space="preserve">Plugin author defaults to wp_postmeta.  </w:t>
      </w:r>
      <w:r>
        <w:rPr>
          <w:rFonts w:ascii="Calibri" w:hAnsi="Calibri"/>
          <w:sz w:val="22"/>
        </w:rPr>
        <w:t>CI lint blocks meta writes in marketplace domain; SDK enforces query builder; code review.</w:t>
      </w:r>
    </w:p>
    <w:p>
      <w:r>
        <w:rPr>
          <w:rFonts w:ascii="Calibri" w:hAnsi="Calibri"/>
          <w:b/>
          <w:sz w:val="22"/>
        </w:rPr>
        <w:t xml:space="preserve">Event loss across PHP↔broker.  </w:t>
      </w:r>
      <w:r>
        <w:rPr>
          <w:rFonts w:ascii="Calibri" w:hAnsi="Calibri"/>
          <w:sz w:val="22"/>
        </w:rPr>
        <w:t>Mandatory transactional outbox; never publish in PHP-FPM request; Go-based relay daemon; DLQ visible.</w:t>
      </w:r>
    </w:p>
    <w:p>
      <w:r>
        <w:rPr>
          <w:rFonts w:ascii="Calibri" w:hAnsi="Calibri"/>
          <w:b/>
          <w:sz w:val="22"/>
        </w:rPr>
        <w:t xml:space="preserve">Cross-tenant data leak.  </w:t>
      </w:r>
      <w:r>
        <w:rPr>
          <w:rFonts w:ascii="Calibri" w:hAnsi="Calibri"/>
          <w:sz w:val="22"/>
        </w:rPr>
        <w:t>Three-layer defense: query builder, DB trigger (Pooled), schema (Silo/Dedicated). Static analysis + audit log.</w:t>
      </w:r>
    </w:p>
    <w:p>
      <w:r>
        <w:rPr>
          <w:rFonts w:ascii="Calibri" w:hAnsi="Calibri"/>
          <w:b/>
          <w:sz w:val="22"/>
        </w:rPr>
        <w:t xml:space="preserve">Stripe API outage halts payouts.  </w:t>
      </w:r>
      <w:r>
        <w:rPr>
          <w:rFonts w:ascii="Calibri" w:hAnsi="Calibri"/>
          <w:sz w:val="22"/>
        </w:rPr>
        <w:t>Outbox + retry; manual ACH fallback (Enterprise); status page + comms.</w:t>
      </w:r>
    </w:p>
    <w:p>
      <w:r>
        <w:rPr>
          <w:rFonts w:ascii="Calibri" w:hAnsi="Calibri"/>
          <w:b/>
          <w:sz w:val="22"/>
        </w:rPr>
        <w:t xml:space="preserve">AI cost spike.  </w:t>
      </w:r>
      <w:r>
        <w:rPr>
          <w:rFonts w:ascii="Calibri" w:hAnsi="Calibri"/>
          <w:sz w:val="22"/>
        </w:rPr>
        <w:t>Per-tier caps with hard stops; semantic cache; multi-provider routing; tenant-visible usage.</w:t>
      </w:r>
    </w:p>
    <w:p>
      <w:r>
        <w:rPr>
          <w:rFonts w:ascii="Calibri" w:hAnsi="Calibri"/>
          <w:b/>
          <w:sz w:val="22"/>
        </w:rPr>
        <w:t xml:space="preserve">Regulator action (GDPR fine).  </w:t>
      </w:r>
      <w:r>
        <w:rPr>
          <w:rFonts w:ascii="Calibri" w:hAnsi="Calibri"/>
          <w:sz w:val="22"/>
        </w:rPr>
        <w:t>Automated DSAR; sub-processor registry; DPA template; quarterly compliance review.</w:t>
      </w:r>
    </w:p>
    <w:p>
      <w:r>
        <w:rPr>
          <w:rFonts w:ascii="Calibri" w:hAnsi="Calibri"/>
          <w:b/>
          <w:sz w:val="22"/>
        </w:rPr>
        <w:t xml:space="preserve">Multi-tenancy noisy neighbor (Pooled).  </w:t>
      </w:r>
      <w:r>
        <w:rPr>
          <w:rFonts w:ascii="Calibri" w:hAnsi="Calibri"/>
          <w:sz w:val="22"/>
        </w:rPr>
        <w:t>Per-tenant rate limits; bulkhead PHP-FPM pools; upgrade-path to Silo.</w:t>
      </w:r>
    </w:p>
    <w:p>
      <w:r>
        <w:rPr>
          <w:rFonts w:ascii="Calibri" w:hAnsi="Calibri"/>
          <w:b/>
          <w:sz w:val="22"/>
        </w:rPr>
        <w:t xml:space="preserve">Disaster recovery untested.  </w:t>
      </w:r>
      <w:r>
        <w:rPr>
          <w:rFonts w:ascii="Calibri" w:hAnsi="Calibri"/>
          <w:sz w:val="22"/>
        </w:rPr>
        <w:t>Monthly partial drill; quarterly full drill; annual region failover dry-run.</w:t>
      </w:r>
    </w:p>
    <w:p/>
    <w:p>
      <w:pPr>
        <w:pStyle w:val="Heading1"/>
      </w:pPr>
      <w:r>
        <w:rPr>
          <w:rFonts w:ascii="Calibri" w:hAnsi="Calibri"/>
          <w:color w:val="0F172A"/>
        </w:rPr>
        <w:t>Critical Path (Pre-MVP)</w:t>
      </w:r>
    </w:p>
    <w:p>
      <w:pPr>
        <w:pStyle w:val="ListNumber"/>
      </w:pPr>
      <w:r>
        <w:rPr>
          <w:rFonts w:ascii="Calibri" w:hAnsi="Calibri"/>
          <w:sz w:val="22"/>
        </w:rPr>
        <w:t>Confirm ADR-001 (Kafka/MSK) and ADR-002 (OpenSearch) within 2 weeks.</w:t>
      </w:r>
    </w:p>
    <w:p>
      <w:pPr>
        <w:pStyle w:val="ListNumber"/>
      </w:pPr>
      <w:r>
        <w:rPr>
          <w:rFonts w:ascii="Calibri" w:hAnsi="Calibri"/>
          <w:sz w:val="22"/>
        </w:rPr>
        <w:t>Sign Stripe Enterprise agreement covering Connect, Identity, dispute mediation.</w:t>
      </w:r>
    </w:p>
    <w:p>
      <w:pPr>
        <w:pStyle w:val="ListNumber"/>
      </w:pPr>
      <w:r>
        <w:rPr>
          <w:rFonts w:ascii="Calibri" w:hAnsi="Calibri"/>
          <w:sz w:val="22"/>
        </w:rPr>
        <w:t>Engage local counsel for US/EU vendor agreement templates.</w:t>
      </w:r>
    </w:p>
    <w:p>
      <w:pPr>
        <w:pStyle w:val="ListNumber"/>
      </w:pPr>
      <w:r>
        <w:rPr>
          <w:rFonts w:ascii="Calibri" w:hAnsi="Calibri"/>
          <w:sz w:val="22"/>
        </w:rPr>
        <w:t>Procure SOC-2 audit firm; observation period begins at MVP launch.</w:t>
      </w:r>
    </w:p>
    <w:p>
      <w:pPr>
        <w:pStyle w:val="ListNumber"/>
      </w:pPr>
      <w:r>
        <w:rPr>
          <w:rFonts w:ascii="Calibri" w:hAnsi="Calibri"/>
          <w:sz w:val="22"/>
        </w:rPr>
        <w:t>Engage external pentest firm for Phase 1 scope review (4 weeks pre-MVP).</w:t>
      </w:r>
    </w:p>
    <w:p>
      <w:pPr>
        <w:pStyle w:val="ListNumber"/>
      </w:pPr>
      <w:r>
        <w:rPr>
          <w:rFonts w:ascii="Calibri" w:hAnsi="Calibri"/>
          <w:sz w:val="22"/>
        </w:rPr>
        <w:t>Confirm initial five launch locales with marketing + legal.</w:t>
      </w:r>
    </w:p>
    <w:p>
      <w:pPr>
        <w:pStyle w:val="ListNumber"/>
      </w:pPr>
      <w:r>
        <w:rPr>
          <w:rFonts w:ascii="Calibri" w:hAnsi="Calibri"/>
          <w:sz w:val="22"/>
        </w:rPr>
        <w:t>Recruit 5 beta tenants for UAT.</w:t>
      </w:r>
    </w:p>
    <w:p>
      <w:pPr>
        <w:pStyle w:val="ListNumber"/>
      </w:pPr>
      <w:r>
        <w:rPr>
          <w:rFonts w:ascii="Calibri" w:hAnsi="Calibri"/>
          <w:sz w:val="22"/>
        </w:rPr>
        <w:t>Stand up Terraform production environments in primary region with budget alerts.</w:t>
      </w:r>
    </w:p>
    <w:p>
      <w:pPr>
        <w:pStyle w:val="ListNumber"/>
      </w:pPr>
      <w:r>
        <w:rPr>
          <w:rFonts w:ascii="Calibri" w:hAnsi="Calibri"/>
          <w:sz w:val="22"/>
        </w:rPr>
        <w:t>Finalize tenant pricing with finance leadership.</w:t>
      </w:r>
    </w:p>
    <w:p>
      <w:pPr>
        <w:pStyle w:val="ListNumber"/>
      </w:pPr>
      <w:r>
        <w:rPr>
          <w:rFonts w:ascii="Calibri" w:hAnsi="Calibri"/>
          <w:sz w:val="22"/>
        </w:rPr>
        <w:t>Publish Plugin SDK v1 documentation site for third-party developers.</w:t>
      </w:r>
    </w:p>
    <w:p>
      <w:pPr>
        <w:pStyle w:val="Heading1"/>
      </w:pPr>
      <w:r>
        <w:rPr>
          <w:rFonts w:ascii="Calibri" w:hAnsi="Calibri"/>
          <w:color w:val="0F172A"/>
        </w:rPr>
        <w:t>Definition of Done for the Documentation Suite</w:t>
      </w:r>
    </w:p>
    <w:p>
      <w:pPr>
        <w:pStyle w:val="ListBullet"/>
      </w:pPr>
      <w:r>
        <w:rPr>
          <w:rFonts w:ascii="Calibri" w:hAnsi="Calibri"/>
          <w:sz w:val="22"/>
        </w:rPr>
        <w:t>Every PRD story has at least one FR in the FSD.</w:t>
      </w:r>
    </w:p>
    <w:p>
      <w:pPr>
        <w:pStyle w:val="ListBullet"/>
      </w:pPr>
      <w:r>
        <w:rPr>
          <w:rFonts w:ascii="Calibri" w:hAnsi="Calibri"/>
          <w:sz w:val="22"/>
        </w:rPr>
        <w:t>Every FR has at least one DDL table or API endpoint backing it.</w:t>
      </w:r>
    </w:p>
    <w:p>
      <w:pPr>
        <w:pStyle w:val="ListBullet"/>
      </w:pPr>
      <w:r>
        <w:rPr>
          <w:rFonts w:ascii="Calibri" w:hAnsi="Calibri"/>
          <w:sz w:val="22"/>
        </w:rPr>
        <w:t>Every API endpoint has at least one contract test.</w:t>
      </w:r>
    </w:p>
    <w:p>
      <w:pPr>
        <w:pStyle w:val="ListBullet"/>
      </w:pPr>
      <w:r>
        <w:rPr>
          <w:rFonts w:ascii="Calibri" w:hAnsi="Calibri"/>
          <w:sz w:val="22"/>
        </w:rPr>
        <w:t>Every NFR has a measurement script (k6, OTel SLO query, or chaos experiment).</w:t>
      </w:r>
    </w:p>
    <w:p>
      <w:pPr>
        <w:pStyle w:val="ListBullet"/>
      </w:pPr>
      <w:r>
        <w:rPr>
          <w:rFonts w:ascii="Calibri" w:hAnsi="Calibri"/>
          <w:sz w:val="22"/>
        </w:rPr>
        <w:t>Every event in AsyncAPI has at least one producer and one consumer.</w:t>
      </w:r>
    </w:p>
    <w:p>
      <w:pPr>
        <w:pStyle w:val="ListBullet"/>
      </w:pPr>
      <w:r>
        <w:rPr>
          <w:rFonts w:ascii="Calibri" w:hAnsi="Calibri"/>
          <w:sz w:val="22"/>
        </w:rPr>
        <w:t>Every screen in Vol 08 maps to a role in the screen matrix.</w:t>
      </w:r>
    </w:p>
    <w:p>
      <w:pPr>
        <w:pStyle w:val="ListBullet"/>
      </w:pPr>
      <w:r>
        <w:rPr>
          <w:rFonts w:ascii="Calibri" w:hAnsi="Calibri"/>
          <w:sz w:val="22"/>
        </w:rPr>
        <w:t>Every business rule (BR-*) maps to at least one FR.</w:t>
      </w:r>
    </w:p>
    <w:p>
      <w:pPr>
        <w:pStyle w:val="ListBullet"/>
      </w:pPr>
      <w:r>
        <w:rPr>
          <w:rFonts w:ascii="Calibri" w:hAnsi="Calibri"/>
          <w:sz w:val="22"/>
        </w:rPr>
        <w:t>Every cross-volume reference resolves to a real section.</w:t>
      </w:r>
    </w:p>
    <w:p>
      <w:pPr>
        <w:pStyle w:val="ListBullet"/>
      </w:pPr>
      <w:r>
        <w:rPr>
          <w:rFonts w:ascii="Calibri" w:hAnsi="Calibri"/>
          <w:sz w:val="22"/>
        </w:rPr>
        <w:t>Gap Matrix items either P1 closed before MVP or have a documented deferral.</w:t>
      </w:r>
    </w:p>
    <w:p>
      <w:pPr>
        <w:pStyle w:val="ListBullet"/>
      </w:pPr>
      <w:r>
        <w:rPr>
          <w:rFonts w:ascii="Calibri" w:hAnsi="Calibri"/>
          <w:sz w:val="22"/>
        </w:rPr>
        <w:t>Implementation Backlog covers 100% of P1 work with story points and dependencies.</w:t>
      </w:r>
    </w:p>
    <w:p/>
    <w:p>
      <w:pPr>
        <w:pStyle w:val="Heading1"/>
      </w:pPr>
      <w:r>
        <w:rPr>
          <w:rFonts w:ascii="Calibri" w:hAnsi="Calibri"/>
          <w:color w:val="0F172A"/>
        </w:rPr>
        <w:t>Sign-Off</w:t>
      </w:r>
    </w:p>
    <w:p>
      <w:r>
        <w:rPr>
          <w:rFonts w:ascii="Calibri" w:hAnsi="Calibri"/>
          <w:b w:val="0"/>
          <w:i w:val="0"/>
          <w:sz w:val="22"/>
        </w:rPr>
        <w:t>This Readiness Scorecard certifies that the Mercato Enterprise Marketplace Platform documentation suite has been comprehensively reviewed, expanded, and is now of implementation-grade quality. The platform is ready for engineering execution along the four-phase delivery plan described above.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2"/>
              </w:rPr>
              <w:t>Chief Product Officer</w:t>
            </w:r>
          </w:p>
        </w:tc>
        <w:tc>
          <w:tcPr>
            <w:tcW w:type="dxa" w:w="4824"/>
          </w:tcPr>
          <w:p>
            <w:r>
              <w:rPr>
                <w:b/>
                <w:sz w:val="22"/>
              </w:rPr>
              <w:t>Chief Technology Officer</w:t>
            </w:r>
          </w:p>
        </w:tc>
      </w:tr>
      <w:tr>
        <w:tc>
          <w:tcPr>
            <w:tcW w:type="dxa" w:w="4824"/>
          </w:tcPr>
          <w:p>
            <w:r>
              <w:t>____________________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2"/>
              </w:rPr>
              <w:t>Head of Security &amp; Compliance</w:t>
            </w:r>
          </w:p>
        </w:tc>
        <w:tc>
          <w:tcPr>
            <w:tcW w:type="dxa" w:w="4824"/>
          </w:tcPr>
          <w:p>
            <w:r>
              <w:rPr>
                <w:b/>
                <w:sz w:val="22"/>
              </w:rPr>
              <w:t>Head of SRE / DevOps</w:t>
            </w:r>
          </w:p>
        </w:tc>
      </w:tr>
      <w:tr>
        <w:tc>
          <w:tcPr>
            <w:tcW w:type="dxa" w:w="4824"/>
          </w:tcPr>
          <w:p>
            <w:r>
              <w:t>____________________</w:t>
            </w:r>
          </w:p>
        </w:tc>
        <w:tc>
          <w:tcPr>
            <w:tcW w:type="dxa" w:w="4824"/>
          </w:tcPr>
          <w:p>
            <w:r>
              <w:t>____________________</w:t>
            </w:r>
          </w:p>
        </w:tc>
      </w:tr>
    </w:tbl>
    <w:p/>
    <w:p>
      <w:r>
        <w:rPr>
          <w:rFonts w:ascii="Calibri" w:hAnsi="Calibri"/>
          <w:b w:val="0"/>
          <w:i/>
          <w:sz w:val="18"/>
        </w:rPr>
        <w:t>Document version: 2.0.0 | Generated: May 21, 2026 | Total volumes: 12 | Total deliverables: 3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