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1F4E79"/>
          <w:sz w:val="30"/>
          <w:szCs w:val="30"/>
        </w:rPr>
        <w:t xml:space="preserve">Fat-Soluble Vitamins (A, D, E, K)</w:t>
      </w:r>
    </w:p>
    <w:p>
      <w:pPr>
        <w:pStyle w:val="Heading1"/>
        <w:spacing w:after="120" w:before="240"/>
      </w:pPr>
      <w:r>
        <w:rPr>
          <w:rFonts w:ascii="Arial" w:cs="Arial" w:eastAsia="Arial" w:hAnsi="Arial"/>
          <w:b/>
          <w:bCs/>
          <w:color w:val="1F4E79"/>
          <w:sz w:val="30"/>
          <w:szCs w:val="30"/>
        </w:rPr>
        <w:t xml:space="preserve">Summary</w:t>
      </w:r>
    </w:p>
    <w:p>
      <w:pPr>
        <w:spacing w:after="160"/>
      </w:pPr>
      <w:r>
        <w:rPr>
          <w:rFonts w:ascii="Arial" w:cs="Arial" w:eastAsia="Arial" w:hAnsi="Arial"/>
          <w:b w:val="false"/>
          <w:bCs w:val="false"/>
          <w:i w:val="false"/>
          <w:iCs w:val="false"/>
          <w:sz w:val="22"/>
          <w:szCs w:val="22"/>
        </w:rPr>
        <w:t xml:space="preserve">Fat-soluble vitamins (A, D, E, K) are absorbed with dietary fat via chylomicrons and stored in the liver and adipose tissue. Unlike water-soluble vitamins, they accumulate in the body, making toxicity a clinical concern. Deficiency typically occurs in the setting of fat malabsorption (eg, cystic fibrosis, celiac disease, cholestasis, Crohn disease, pancreatic insufficiency).</w:t>
      </w:r>
    </w:p>
    <w:p>
      <w:pPr>
        <w:pStyle w:val="Heading1"/>
        <w:spacing w:after="120" w:before="240"/>
      </w:pPr>
      <w:r>
        <w:rPr>
          <w:rFonts w:ascii="Arial" w:cs="Arial" w:eastAsia="Arial" w:hAnsi="Arial"/>
          <w:b/>
          <w:bCs/>
          <w:color w:val="1F4E79"/>
          <w:sz w:val="30"/>
          <w:szCs w:val="30"/>
        </w:rPr>
        <w:t xml:space="preserve">At-a-Glance Overview</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2200"/>
        <w:gridCol w:w="2160"/>
      </w:tblGrid>
      <w:tr>
        <w:tc>
          <w:tcPr>
            <w:gridSpan w:val="5"/>
            <w:tcBorders>
              <w:top w:val="single" w:color="000000" w:sz="4"/>
              <w:left w:val="single" w:color="000000" w:sz="4"/>
              <w:bottom w:val="single" w:color="000000" w:sz="4"/>
              <w:right w:val="single" w:color="000000" w:sz="4"/>
            </w:tcBorders>
          </w:tcPr>
          <w:p>
            <w:pPr>
              <w:jc w:val="center"/>
            </w:pPr>
            <w:r>
              <w:rPr>
                <w:rFonts w:ascii="Arial" w:cs="Arial" w:eastAsia="Arial" w:hAnsi="Arial"/>
                <w:b/>
                <w:bCs/>
                <w:sz w:val="20"/>
                <w:szCs w:val="20"/>
              </w:rPr>
              <w:t xml:space="preserve">Fat-soluble Vitamins</w:t>
            </w:r>
          </w:p>
        </w:tc>
      </w:tr>
      <w:tr>
        <w:tc>
          <w:tcPr>
            <w:tcW w:type="dxa" w:w="1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Vitamin</w:t>
            </w:r>
          </w:p>
        </w:tc>
        <w:tc>
          <w:tcPr>
            <w:tcW w:type="dxa" w:w="16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Active Form</w:t>
            </w:r>
          </w:p>
        </w:tc>
        <w:tc>
          <w:tcPr>
            <w:tcW w:type="dxa" w:w="2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Function</w:t>
            </w:r>
          </w:p>
        </w:tc>
        <w:tc>
          <w:tcPr>
            <w:tcW w:type="dxa" w:w="2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Deficiency</w:t>
            </w:r>
          </w:p>
        </w:tc>
        <w:tc>
          <w:tcPr>
            <w:tcW w:type="dxa" w:w="216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Toxicity</w:t>
            </w:r>
          </w:p>
        </w:tc>
      </w:tr>
      <w:tr>
        <w:tc>
          <w:tcPr>
            <w:tcW w:type="dxa" w:w="1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A (Retinol)</w:t>
            </w:r>
          </w:p>
        </w:tc>
        <w:tc>
          <w:tcPr>
            <w:tcW w:type="dxa" w:w="16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Retinal, Retinoic acid</w:t>
            </w:r>
          </w:p>
        </w:tc>
        <w:tc>
          <w:tcPr>
            <w:tcW w:type="dxa" w:w="22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Vision</w:t>
            </w:r>
          </w:p>
          <w:p>
            <w:pPr>
              <w:pStyle w:val="ListParagraph"/>
              <w:numPr>
                <w:ilvl w:val="0"/>
                <w:numId w:val="1"/>
              </w:numPr>
              <w:jc w:val="left"/>
            </w:pPr>
            <w:r>
              <w:rPr>
                <w:rFonts w:ascii="Arial" w:cs="Arial" w:eastAsia="Arial" w:hAnsi="Arial"/>
                <w:b w:val="false"/>
                <w:bCs w:val="false"/>
                <w:i w:val="false"/>
                <w:iCs w:val="false"/>
                <w:sz w:val="20"/>
                <w:szCs w:val="20"/>
              </w:rPr>
              <w:t xml:space="preserve">Epithelial integrity</w:t>
            </w:r>
          </w:p>
          <w:p>
            <w:pPr>
              <w:pStyle w:val="ListParagraph"/>
              <w:numPr>
                <w:ilvl w:val="0"/>
                <w:numId w:val="1"/>
              </w:numPr>
              <w:jc w:val="left"/>
            </w:pPr>
            <w:r>
              <w:rPr>
                <w:rFonts w:ascii="Arial" w:cs="Arial" w:eastAsia="Arial" w:hAnsi="Arial"/>
                <w:b w:val="false"/>
                <w:bCs w:val="false"/>
                <w:i w:val="false"/>
                <w:iCs w:val="false"/>
                <w:sz w:val="20"/>
                <w:szCs w:val="20"/>
              </w:rPr>
              <w:t xml:space="preserve">Gene expression</w:t>
            </w:r>
          </w:p>
        </w:tc>
        <w:tc>
          <w:tcPr>
            <w:tcW w:type="dxa" w:w="22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Night blindness</w:t>
            </w:r>
          </w:p>
          <w:p>
            <w:pPr>
              <w:pStyle w:val="ListParagraph"/>
              <w:numPr>
                <w:ilvl w:val="0"/>
                <w:numId w:val="1"/>
              </w:numPr>
              <w:jc w:val="left"/>
            </w:pPr>
            <w:r>
              <w:rPr>
                <w:rFonts w:ascii="Arial" w:cs="Arial" w:eastAsia="Arial" w:hAnsi="Arial"/>
                <w:b w:val="false"/>
                <w:bCs w:val="false"/>
                <w:i w:val="false"/>
                <w:iCs w:val="false"/>
                <w:sz w:val="20"/>
                <w:szCs w:val="20"/>
              </w:rPr>
              <w:t xml:space="preserve">Bitot spots</w:t>
            </w:r>
          </w:p>
          <w:p>
            <w:pPr>
              <w:pStyle w:val="ListParagraph"/>
              <w:numPr>
                <w:ilvl w:val="0"/>
                <w:numId w:val="1"/>
              </w:numPr>
              <w:jc w:val="left"/>
            </w:pPr>
            <w:r>
              <w:rPr>
                <w:rFonts w:ascii="Arial" w:cs="Arial" w:eastAsia="Arial" w:hAnsi="Arial"/>
                <w:b w:val="false"/>
                <w:bCs w:val="false"/>
                <w:i w:val="false"/>
                <w:iCs w:val="false"/>
                <w:sz w:val="20"/>
                <w:szCs w:val="20"/>
              </w:rPr>
              <w:t xml:space="preserve">Xerophthalmia</w:t>
            </w:r>
          </w:p>
          <w:p>
            <w:pPr>
              <w:pStyle w:val="ListParagraph"/>
              <w:numPr>
                <w:ilvl w:val="0"/>
                <w:numId w:val="1"/>
              </w:numPr>
              <w:jc w:val="left"/>
            </w:pPr>
            <w:r>
              <w:rPr>
                <w:rFonts w:ascii="Arial" w:cs="Arial" w:eastAsia="Arial" w:hAnsi="Arial"/>
                <w:b w:val="false"/>
                <w:bCs w:val="false"/>
                <w:i w:val="false"/>
                <w:iCs w:val="false"/>
                <w:sz w:val="20"/>
                <w:szCs w:val="20"/>
              </w:rPr>
              <w:t xml:space="preserve">Dry scaly skin</w:t>
            </w:r>
          </w:p>
        </w:tc>
        <w:tc>
          <w:tcPr>
            <w:tcW w:type="dxa" w:w="216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Teratogenic</w:t>
            </w:r>
          </w:p>
          <w:p>
            <w:pPr>
              <w:pStyle w:val="ListParagraph"/>
              <w:numPr>
                <w:ilvl w:val="0"/>
                <w:numId w:val="1"/>
              </w:numPr>
              <w:jc w:val="left"/>
            </w:pPr>
            <w:r>
              <w:rPr>
                <w:rFonts w:ascii="Arial" w:cs="Arial" w:eastAsia="Arial" w:hAnsi="Arial"/>
                <w:b w:val="false"/>
                <w:bCs w:val="false"/>
                <w:i w:val="false"/>
                <w:iCs w:val="false"/>
                <w:sz w:val="20"/>
                <w:szCs w:val="20"/>
              </w:rPr>
              <w:t xml:space="preserve">↑ ICP</w:t>
            </w:r>
          </w:p>
          <w:p>
            <w:pPr>
              <w:pStyle w:val="ListParagraph"/>
              <w:numPr>
                <w:ilvl w:val="0"/>
                <w:numId w:val="1"/>
              </w:numPr>
              <w:jc w:val="left"/>
            </w:pPr>
            <w:r>
              <w:rPr>
                <w:rFonts w:ascii="Arial" w:cs="Arial" w:eastAsia="Arial" w:hAnsi="Arial"/>
                <w:b w:val="false"/>
                <w:bCs w:val="false"/>
                <w:i w:val="false"/>
                <w:iCs w:val="false"/>
                <w:sz w:val="20"/>
                <w:szCs w:val="20"/>
              </w:rPr>
              <w:t xml:space="preserve">Hepatotoxicity</w:t>
            </w:r>
          </w:p>
          <w:p>
            <w:pPr>
              <w:pStyle w:val="ListParagraph"/>
              <w:numPr>
                <w:ilvl w:val="0"/>
                <w:numId w:val="1"/>
              </w:numPr>
              <w:jc w:val="left"/>
            </w:pPr>
            <w:r>
              <w:rPr>
                <w:rFonts w:ascii="Arial" w:cs="Arial" w:eastAsia="Arial" w:hAnsi="Arial"/>
                <w:b w:val="false"/>
                <w:bCs w:val="false"/>
                <w:i w:val="false"/>
                <w:iCs w:val="false"/>
                <w:sz w:val="20"/>
                <w:szCs w:val="20"/>
              </w:rPr>
              <w:t xml:space="preserve">Alopecia</w:t>
            </w:r>
          </w:p>
        </w:tc>
      </w:tr>
      <w:tr>
        <w:tc>
          <w:tcPr>
            <w:tcW w:type="dxa" w:w="1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D (Cholecalciferol)</w:t>
            </w:r>
          </w:p>
        </w:tc>
        <w:tc>
          <w:tcPr>
            <w:tcW w:type="dxa" w:w="16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Calcitriol [1,25-(OH)₂D₃]</w:t>
            </w:r>
          </w:p>
        </w:tc>
        <w:tc>
          <w:tcPr>
            <w:tcW w:type="dxa" w:w="22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Ca²⁺/PO₄³⁻ homeostasis</w:t>
            </w:r>
          </w:p>
          <w:p>
            <w:pPr>
              <w:pStyle w:val="ListParagraph"/>
              <w:numPr>
                <w:ilvl w:val="0"/>
                <w:numId w:val="1"/>
              </w:numPr>
              <w:jc w:val="left"/>
            </w:pPr>
            <w:r>
              <w:rPr>
                <w:rFonts w:ascii="Arial" w:cs="Arial" w:eastAsia="Arial" w:hAnsi="Arial"/>
                <w:b w:val="false"/>
                <w:bCs w:val="false"/>
                <w:i w:val="false"/>
                <w:iCs w:val="false"/>
                <w:sz w:val="20"/>
                <w:szCs w:val="20"/>
              </w:rPr>
              <w:t xml:space="preserve">Bone mineralization</w:t>
            </w:r>
          </w:p>
        </w:tc>
        <w:tc>
          <w:tcPr>
            <w:tcW w:type="dxa" w:w="22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Rickets (children)</w:t>
            </w:r>
          </w:p>
          <w:p>
            <w:pPr>
              <w:pStyle w:val="ListParagraph"/>
              <w:numPr>
                <w:ilvl w:val="0"/>
                <w:numId w:val="1"/>
              </w:numPr>
              <w:jc w:val="left"/>
            </w:pPr>
            <w:r>
              <w:rPr>
                <w:rFonts w:ascii="Arial" w:cs="Arial" w:eastAsia="Arial" w:hAnsi="Arial"/>
                <w:b w:val="false"/>
                <w:bCs w:val="false"/>
                <w:i w:val="false"/>
                <w:iCs w:val="false"/>
                <w:sz w:val="20"/>
                <w:szCs w:val="20"/>
              </w:rPr>
              <w:t xml:space="preserve">Osteomalacia (adults)</w:t>
            </w:r>
          </w:p>
          <w:p>
            <w:pPr>
              <w:pStyle w:val="ListParagraph"/>
              <w:numPr>
                <w:ilvl w:val="0"/>
                <w:numId w:val="1"/>
              </w:numPr>
              <w:jc w:val="left"/>
            </w:pPr>
            <w:r>
              <w:rPr>
                <w:rFonts w:ascii="Arial" w:cs="Arial" w:eastAsia="Arial" w:hAnsi="Arial"/>
                <w:b w:val="false"/>
                <w:bCs w:val="false"/>
                <w:i w:val="false"/>
                <w:iCs w:val="false"/>
                <w:sz w:val="20"/>
                <w:szCs w:val="20"/>
              </w:rPr>
              <w:t xml:space="preserve">Secondary hyperparathyroidism</w:t>
            </w:r>
          </w:p>
        </w:tc>
        <w:tc>
          <w:tcPr>
            <w:tcW w:type="dxa" w:w="216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Hypercalcemia → stones, bones, groans, psychiatric moans</w:t>
            </w:r>
          </w:p>
        </w:tc>
      </w:tr>
      <w:tr>
        <w:tc>
          <w:tcPr>
            <w:tcW w:type="dxa" w:w="1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E (Tocopherol)</w:t>
            </w:r>
          </w:p>
        </w:tc>
        <w:tc>
          <w:tcPr>
            <w:tcW w:type="dxa" w:w="16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α-Tocopherol</w:t>
            </w:r>
          </w:p>
        </w:tc>
        <w:tc>
          <w:tcPr>
            <w:tcW w:type="dxa" w:w="220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Antioxidant (protects RBC membranes)</w:t>
            </w:r>
          </w:p>
        </w:tc>
        <w:tc>
          <w:tcPr>
            <w:tcW w:type="dxa" w:w="22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Hemolytic anemia</w:t>
            </w:r>
          </w:p>
          <w:p>
            <w:pPr>
              <w:pStyle w:val="ListParagraph"/>
              <w:numPr>
                <w:ilvl w:val="0"/>
                <w:numId w:val="1"/>
              </w:numPr>
              <w:jc w:val="left"/>
            </w:pPr>
            <w:r>
              <w:rPr>
                <w:rFonts w:ascii="Arial" w:cs="Arial" w:eastAsia="Arial" w:hAnsi="Arial"/>
                <w:b w:val="false"/>
                <w:bCs w:val="false"/>
                <w:i w:val="false"/>
                <w:iCs w:val="false"/>
                <w:sz w:val="20"/>
                <w:szCs w:val="20"/>
              </w:rPr>
              <w:t xml:space="preserve">Spinocerebellar ataxia</w:t>
            </w:r>
          </w:p>
          <w:p>
            <w:pPr>
              <w:pStyle w:val="ListParagraph"/>
              <w:numPr>
                <w:ilvl w:val="0"/>
                <w:numId w:val="1"/>
              </w:numPr>
              <w:jc w:val="left"/>
            </w:pPr>
            <w:r>
              <w:rPr>
                <w:rFonts w:ascii="Arial" w:cs="Arial" w:eastAsia="Arial" w:hAnsi="Arial"/>
                <w:b w:val="false"/>
                <w:bCs w:val="false"/>
                <w:i w:val="false"/>
                <w:iCs w:val="false"/>
                <w:sz w:val="20"/>
                <w:szCs w:val="20"/>
              </w:rPr>
              <w:t xml:space="preserve">Areflexia (rare)</w:t>
            </w:r>
          </w:p>
        </w:tc>
        <w:tc>
          <w:tcPr>
            <w:tcW w:type="dxa" w:w="216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Generally non-toxic</w:t>
            </w:r>
          </w:p>
          <w:p>
            <w:pPr>
              <w:pStyle w:val="ListParagraph"/>
              <w:numPr>
                <w:ilvl w:val="0"/>
                <w:numId w:val="1"/>
              </w:numPr>
              <w:jc w:val="left"/>
            </w:pPr>
            <w:r>
              <w:rPr>
                <w:rFonts w:ascii="Arial" w:cs="Arial" w:eastAsia="Arial" w:hAnsi="Arial"/>
                <w:b w:val="false"/>
                <w:bCs w:val="false"/>
                <w:i w:val="false"/>
                <w:iCs w:val="false"/>
                <w:sz w:val="20"/>
                <w:szCs w:val="20"/>
              </w:rPr>
              <w:t xml:space="preserve">May inhibit vitamin K</w:t>
            </w:r>
          </w:p>
        </w:tc>
      </w:tr>
      <w:tr>
        <w:tc>
          <w:tcPr>
            <w:tcW w:type="dxa" w:w="12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K (Phylloquinone/Menaquinone)</w:t>
            </w:r>
          </w:p>
        </w:tc>
        <w:tc>
          <w:tcPr>
            <w:tcW w:type="dxa" w:w="16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Reduced form (hydroquinone)</w:t>
            </w:r>
          </w:p>
        </w:tc>
        <w:tc>
          <w:tcPr>
            <w:tcW w:type="dxa" w:w="220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γ-Carboxylation of clotting factors II, VII, IX, X, protein C, S</w:t>
            </w:r>
          </w:p>
        </w:tc>
        <w:tc>
          <w:tcPr>
            <w:tcW w:type="dxa" w:w="2200"/>
            <w:tcBorders>
              <w:top w:val="single" w:color="000000" w:sz="4"/>
              <w:left w:val="single" w:color="000000" w:sz="4"/>
              <w:bottom w:val="single" w:color="000000" w:sz="4"/>
              <w:right w:val="single" w:color="000000" w:sz="4"/>
            </w:tcBorders>
            <w:vAlign w:val="center"/>
          </w:tcPr>
          <w:p>
            <w:pPr>
              <w:pStyle w:val="ListParagraph"/>
              <w:numPr>
                <w:ilvl w:val="0"/>
                <w:numId w:val="1"/>
              </w:numPr>
              <w:jc w:val="left"/>
            </w:pPr>
            <w:r>
              <w:rPr>
                <w:rFonts w:ascii="Arial" w:cs="Arial" w:eastAsia="Arial" w:hAnsi="Arial"/>
                <w:b w:val="false"/>
                <w:bCs w:val="false"/>
                <w:i w:val="false"/>
                <w:iCs w:val="false"/>
                <w:sz w:val="20"/>
                <w:szCs w:val="20"/>
              </w:rPr>
              <w:t xml:space="preserve">Bleeding diathesis, prolonged PT/INR</w:t>
            </w:r>
          </w:p>
          <w:p>
            <w:pPr>
              <w:pStyle w:val="ListParagraph"/>
              <w:numPr>
                <w:ilvl w:val="0"/>
                <w:numId w:val="1"/>
              </w:numPr>
              <w:jc w:val="left"/>
            </w:pPr>
            <w:r>
              <w:rPr>
                <w:rFonts w:ascii="Arial" w:cs="Arial" w:eastAsia="Arial" w:hAnsi="Arial"/>
                <w:b w:val="false"/>
                <w:bCs w:val="false"/>
                <w:i w:val="false"/>
                <w:iCs w:val="false"/>
                <w:sz w:val="20"/>
                <w:szCs w:val="20"/>
              </w:rPr>
              <w:t xml:space="preserve">Hemorrhagic disease of newborn</w:t>
            </w:r>
          </w:p>
        </w:tc>
        <w:tc>
          <w:tcPr>
            <w:tcW w:type="dxa" w:w="2160"/>
            <w:tcBorders>
              <w:top w:val="single" w:color="000000" w:sz="4"/>
              <w:left w:val="single" w:color="000000" w:sz="4"/>
              <w:bottom w:val="single" w:color="000000" w:sz="4"/>
              <w:right w:val="single" w:color="000000" w:sz="4"/>
            </w:tcBorders>
            <w:vAlign w:val="center"/>
          </w:tcPr>
          <w:p>
            <w:pPr>
              <w:jc w:val="left"/>
            </w:pPr>
            <w:r>
              <w:rPr>
                <w:rFonts w:ascii="Arial" w:cs="Arial" w:eastAsia="Arial" w:hAnsi="Arial"/>
                <w:b w:val="false"/>
                <w:bCs w:val="false"/>
                <w:i w:val="false"/>
                <w:iCs w:val="false"/>
                <w:sz w:val="20"/>
                <w:szCs w:val="20"/>
              </w:rPr>
              <w:t xml:space="preserve">Neonatal hemolytic anemia (synthetic K₃/menadione)</w:t>
            </w:r>
          </w:p>
        </w:tc>
      </w:tr>
    </w:tbl>
    <w:p>
      <w:pPr>
        <w:pStyle w:val="Heading1"/>
        <w:spacing w:after="120" w:before="240"/>
      </w:pPr>
      <w:r>
        <w:rPr>
          <w:rFonts w:ascii="Arial" w:cs="Arial" w:eastAsia="Arial" w:hAnsi="Arial"/>
          <w:b/>
          <w:bCs/>
          <w:color w:val="1F4E79"/>
          <w:sz w:val="30"/>
          <w:szCs w:val="30"/>
        </w:rPr>
        <w:t xml:space="preserve">Vitamin A</w:t>
      </w:r>
    </w:p>
    <w:p>
      <w:pPr>
        <w:pStyle w:val="Heading2"/>
        <w:spacing w:after="120" w:before="240"/>
      </w:pPr>
      <w:r>
        <w:rPr>
          <w:rFonts w:ascii="Arial" w:cs="Arial" w:eastAsia="Arial" w:hAnsi="Arial"/>
          <w:b/>
          <w:bCs/>
          <w:color w:val="2E75B6"/>
          <w:sz w:val="26"/>
          <w:szCs w:val="26"/>
        </w:rPr>
        <w:t xml:space="preserve">Forms &amp; Metabolism</w:t>
      </w:r>
    </w:p>
    <w:p>
      <w:pPr>
        <w:pStyle w:val="ListParagraph"/>
        <w:numPr>
          <w:ilvl w:val="0"/>
          <w:numId w:val="1"/>
        </w:numPr>
        <w:spacing w:after="80"/>
      </w:pPr>
      <w:r>
        <w:rPr>
          <w:rFonts w:ascii="Arial" w:cs="Arial" w:eastAsia="Arial" w:hAnsi="Arial"/>
          <w:b/>
          <w:bCs/>
          <w:i w:val="false"/>
          <w:iCs w:val="false"/>
          <w:sz w:val="22"/>
          <w:szCs w:val="22"/>
        </w:rPr>
        <w:t xml:space="preserve">Sources</w:t>
      </w:r>
    </w:p>
    <w:p>
      <w:pPr>
        <w:pStyle w:val="ListParagraph"/>
        <w:numPr>
          <w:ilvl w:val="0"/>
          <w:numId w:val="1"/>
        </w:numPr>
        <w:spacing w:after="80"/>
      </w:pPr>
      <w:r>
        <w:rPr>
          <w:rFonts w:ascii="Arial" w:cs="Arial" w:eastAsia="Arial" w:hAnsi="Arial"/>
          <w:b/>
          <w:bCs/>
          <w:i w:val="false"/>
          <w:iCs w:val="false"/>
          <w:sz w:val="22"/>
          <w:szCs w:val="22"/>
        </w:rPr>
        <w:t xml:space="preserve">Plant sources</w:t>
      </w:r>
      <w:r>
        <w:rPr>
          <w:rFonts w:ascii="Arial" w:cs="Arial" w:eastAsia="Arial" w:hAnsi="Arial"/>
          <w:b w:val="false"/>
          <w:bCs w:val="false"/>
          <w:i w:val="false"/>
          <w:iCs w:val="false"/>
          <w:sz w:val="22"/>
          <w:szCs w:val="22"/>
        </w:rPr>
        <w:t xml:space="preserve">: as inactive provitamin (esp. beta-carotene) in yellow and leafy vegetables (eg, spinach, kale, carrots)</w:t>
      </w:r>
    </w:p>
    <w:p>
      <w:pPr>
        <w:pStyle w:val="ListParagraph"/>
        <w:numPr>
          <w:ilvl w:val="0"/>
          <w:numId w:val="1"/>
        </w:numPr>
        <w:spacing w:after="80"/>
      </w:pPr>
      <w:r>
        <w:rPr>
          <w:rFonts w:ascii="Arial" w:cs="Arial" w:eastAsia="Arial" w:hAnsi="Arial"/>
          <w:b/>
          <w:bCs/>
          <w:i w:val="false"/>
          <w:iCs w:val="false"/>
          <w:sz w:val="22"/>
          <w:szCs w:val="22"/>
        </w:rPr>
        <w:t xml:space="preserve">Animal sources</w:t>
      </w:r>
      <w:r>
        <w:rPr>
          <w:rFonts w:ascii="Arial" w:cs="Arial" w:eastAsia="Arial" w:hAnsi="Arial"/>
          <w:b w:val="false"/>
          <w:bCs w:val="false"/>
          <w:i w:val="false"/>
          <w:iCs w:val="false"/>
          <w:sz w:val="22"/>
          <w:szCs w:val="22"/>
        </w:rPr>
        <w:t xml:space="preserve">: in storage form (eg, in liver, kidney, fish, eggs, butter)</w:t>
      </w:r>
    </w:p>
    <w:p>
      <w:pPr>
        <w:pStyle w:val="ListParagraph"/>
        <w:numPr>
          <w:ilvl w:val="0"/>
          <w:numId w:val="1"/>
        </w:numPr>
        <w:spacing w:after="80"/>
      </w:pPr>
      <w:r>
        <w:rPr>
          <w:rFonts w:ascii="Arial" w:cs="Arial" w:eastAsia="Arial" w:hAnsi="Arial"/>
          <w:b w:val="false"/>
          <w:bCs w:val="false"/>
          <w:i w:val="false"/>
          <w:iCs w:val="false"/>
          <w:sz w:val="22"/>
          <w:szCs w:val="22"/>
        </w:rPr>
        <w:t xml:space="preserve">Active metabolites: </w:t>
      </w:r>
      <w:r>
        <w:rPr>
          <w:rFonts w:ascii="Arial" w:cs="Arial" w:eastAsia="Arial" w:hAnsi="Arial"/>
          <w:b/>
          <w:bCs/>
          <w:i w:val="false"/>
          <w:iCs w:val="false"/>
          <w:sz w:val="22"/>
          <w:szCs w:val="22"/>
        </w:rPr>
        <w:t xml:space="preserve">retinal</w:t>
      </w:r>
      <w:r>
        <w:rPr>
          <w:rFonts w:ascii="Arial" w:cs="Arial" w:eastAsia="Arial" w:hAnsi="Arial"/>
          <w:b w:val="false"/>
          <w:bCs w:val="false"/>
          <w:i w:val="false"/>
          <w:iCs w:val="false"/>
          <w:sz w:val="22"/>
          <w:szCs w:val="22"/>
        </w:rPr>
        <w:t xml:space="preserve"> (vision), </w:t>
      </w:r>
      <w:r>
        <w:rPr>
          <w:rFonts w:ascii="Arial" w:cs="Arial" w:eastAsia="Arial" w:hAnsi="Arial"/>
          <w:b/>
          <w:bCs/>
          <w:i w:val="false"/>
          <w:iCs w:val="false"/>
          <w:sz w:val="22"/>
          <w:szCs w:val="22"/>
        </w:rPr>
        <w:t xml:space="preserve">retinoic acid</w:t>
      </w:r>
      <w:r>
        <w:rPr>
          <w:rFonts w:ascii="Arial" w:cs="Arial" w:eastAsia="Arial" w:hAnsi="Arial"/>
          <w:b w:val="false"/>
          <w:bCs w:val="false"/>
          <w:i w:val="false"/>
          <w:iCs w:val="false"/>
          <w:sz w:val="22"/>
          <w:szCs w:val="22"/>
        </w:rPr>
        <w:t xml:space="preserve"> (gene transcription, differentiation), and </w:t>
      </w:r>
      <w:r>
        <w:rPr>
          <w:rFonts w:ascii="Arial" w:cs="Arial" w:eastAsia="Arial" w:hAnsi="Arial"/>
          <w:b/>
          <w:bCs/>
          <w:i w:val="false"/>
          <w:iCs w:val="false"/>
          <w:sz w:val="22"/>
          <w:szCs w:val="22"/>
        </w:rPr>
        <w:t xml:space="preserve">retinol</w:t>
      </w:r>
      <w:r>
        <w:rPr>
          <w:rFonts w:ascii="Arial" w:cs="Arial" w:eastAsia="Arial" w:hAnsi="Arial"/>
          <w:b w:val="false"/>
          <w:bCs w:val="false"/>
          <w:i w:val="false"/>
          <w:iCs w:val="false"/>
          <w:sz w:val="22"/>
          <w:szCs w:val="22"/>
        </w:rPr>
        <w:t xml:space="preserve"> (reproductive function)</w:t>
      </w:r>
    </w:p>
    <w:p>
      <w:pPr>
        <w:pStyle w:val="ListParagraph"/>
        <w:numPr>
          <w:ilvl w:val="0"/>
          <w:numId w:val="1"/>
        </w:numPr>
        <w:spacing w:after="80"/>
      </w:pPr>
      <w:r>
        <w:rPr>
          <w:rFonts w:ascii="Arial" w:cs="Arial" w:eastAsia="Arial" w:hAnsi="Arial"/>
          <w:b w:val="false"/>
          <w:bCs w:val="false"/>
          <w:i w:val="false"/>
          <w:iCs w:val="false"/>
          <w:sz w:val="22"/>
          <w:szCs w:val="22"/>
        </w:rPr>
        <w:t xml:space="preserve">Absorbed with fat → packaged into chylomicrons → stored in hepatic stellate (Ito) cells</w:t>
      </w:r>
    </w:p>
    <w:p>
      <w:pPr>
        <w:pStyle w:val="ListParagraph"/>
        <w:numPr>
          <w:ilvl w:val="0"/>
          <w:numId w:val="1"/>
        </w:numPr>
        <w:spacing w:after="80"/>
      </w:pPr>
      <w:r>
        <w:rPr>
          <w:rFonts w:ascii="Arial" w:cs="Arial" w:eastAsia="Arial" w:hAnsi="Arial"/>
          <w:b w:val="false"/>
          <w:bCs w:val="false"/>
          <w:i w:val="false"/>
          <w:iCs w:val="false"/>
          <w:sz w:val="22"/>
          <w:szCs w:val="22"/>
        </w:rPr>
        <w:t xml:space="preserve">Retinoic acid acts as a nuclear receptor ligand → regulates gene expression (similar mechanism to steroid hormones)</w:t>
      </w:r>
    </w:p>
    <w:p>
      <w:pPr>
        <w:pStyle w:val="Heading2"/>
        <w:spacing w:after="120" w:before="240"/>
      </w:pPr>
      <w:r>
        <w:rPr>
          <w:rFonts w:ascii="Arial" w:cs="Arial" w:eastAsia="Arial" w:hAnsi="Arial"/>
          <w:b/>
          <w:bCs/>
          <w:color w:val="2E75B6"/>
          <w:sz w:val="26"/>
          <w:szCs w:val="26"/>
        </w:rPr>
        <w:t xml:space="preserve">Functions</w:t>
      </w:r>
    </w:p>
    <w:p>
      <w:pPr>
        <w:pStyle w:val="ListParagraph"/>
        <w:numPr>
          <w:ilvl w:val="0"/>
          <w:numId w:val="1"/>
        </w:numPr>
        <w:spacing w:after="80"/>
      </w:pPr>
      <w:r>
        <w:rPr>
          <w:rFonts w:ascii="Arial" w:cs="Arial" w:eastAsia="Arial" w:hAnsi="Arial"/>
          <w:b w:val="false"/>
          <w:bCs w:val="false"/>
          <w:i w:val="false"/>
          <w:iCs w:val="false"/>
          <w:sz w:val="22"/>
          <w:szCs w:val="22"/>
        </w:rPr>
        <w:t xml:space="preserve">Vision: </w:t>
      </w:r>
      <w:r>
        <w:rPr>
          <w:rFonts w:ascii="Arial" w:cs="Arial" w:eastAsia="Arial" w:hAnsi="Arial"/>
          <w:b/>
          <w:bCs/>
          <w:i w:val="false"/>
          <w:iCs w:val="false"/>
          <w:sz w:val="22"/>
          <w:szCs w:val="22"/>
        </w:rPr>
        <w:t xml:space="preserve">retinal</w:t>
      </w:r>
      <w:r>
        <w:rPr>
          <w:rFonts w:ascii="Arial" w:cs="Arial" w:eastAsia="Arial" w:hAnsi="Arial"/>
          <w:b w:val="false"/>
          <w:bCs w:val="false"/>
          <w:i w:val="false"/>
          <w:iCs w:val="false"/>
          <w:sz w:val="22"/>
          <w:szCs w:val="22"/>
        </w:rPr>
        <w:t xml:space="preserve"> is a component of </w:t>
      </w:r>
      <w:r>
        <w:rPr>
          <w:rFonts w:ascii="Arial" w:cs="Arial" w:eastAsia="Arial" w:hAnsi="Arial"/>
          <w:b/>
          <w:bCs/>
          <w:i w:val="false"/>
          <w:iCs w:val="false"/>
          <w:sz w:val="22"/>
          <w:szCs w:val="22"/>
        </w:rPr>
        <w:t xml:space="preserve">rhodopsin</w:t>
      </w:r>
      <w:r>
        <w:rPr>
          <w:rFonts w:ascii="Arial" w:cs="Arial" w:eastAsia="Arial" w:hAnsi="Arial"/>
          <w:b w:val="false"/>
          <w:bCs w:val="false"/>
          <w:i w:val="false"/>
          <w:iCs w:val="false"/>
          <w:sz w:val="22"/>
          <w:szCs w:val="22"/>
        </w:rPr>
        <w:t xml:space="preserve"> (rod photopigment) → essential for dim-light/night vision</w:t>
      </w:r>
    </w:p>
    <w:p>
      <w:pPr>
        <w:pStyle w:val="ListParagraph"/>
        <w:numPr>
          <w:ilvl w:val="0"/>
          <w:numId w:val="1"/>
        </w:numPr>
        <w:spacing w:after="80"/>
      </w:pPr>
      <w:r>
        <w:rPr>
          <w:rFonts w:ascii="Arial" w:cs="Arial" w:eastAsia="Arial" w:hAnsi="Arial"/>
          <w:b w:val="false"/>
          <w:bCs w:val="false"/>
          <w:i w:val="false"/>
          <w:iCs w:val="false"/>
          <w:sz w:val="22"/>
          <w:szCs w:val="22"/>
        </w:rPr>
        <w:t xml:space="preserve">Epithelial maintenance: promotes normal differentiation of mucus-secreting epithelial cells</w:t>
      </w:r>
    </w:p>
    <w:p>
      <w:pPr>
        <w:pStyle w:val="ListParagraph"/>
        <w:numPr>
          <w:ilvl w:val="0"/>
          <w:numId w:val="1"/>
        </w:numPr>
        <w:spacing w:after="80"/>
      </w:pPr>
      <w:r>
        <w:rPr>
          <w:rFonts w:ascii="Arial" w:cs="Arial" w:eastAsia="Arial" w:hAnsi="Arial"/>
          <w:b w:val="false"/>
          <w:bCs w:val="false"/>
          <w:i w:val="false"/>
          <w:iCs w:val="false"/>
          <w:sz w:val="22"/>
          <w:szCs w:val="22"/>
        </w:rPr>
        <w:t xml:space="preserve">Immunity: important for T-cell development and mucosal immunity</w:t>
      </w:r>
    </w:p>
    <w:p>
      <w:pPr>
        <w:pStyle w:val="ListParagraph"/>
        <w:numPr>
          <w:ilvl w:val="0"/>
          <w:numId w:val="1"/>
        </w:numPr>
        <w:spacing w:after="80"/>
      </w:pPr>
      <w:r>
        <w:rPr>
          <w:rFonts w:ascii="Arial" w:cs="Arial" w:eastAsia="Arial" w:hAnsi="Arial"/>
          <w:b w:val="false"/>
          <w:bCs w:val="false"/>
          <w:i w:val="false"/>
          <w:iCs w:val="false"/>
          <w:sz w:val="22"/>
          <w:szCs w:val="22"/>
        </w:rPr>
        <w:t xml:space="preserve">Embryogenesis: retinoic acid is critical for normal fetal development (HOX gene regulation)</w:t>
      </w:r>
    </w:p>
    <w:p>
      <w:pPr>
        <w:pStyle w:val="Heading2"/>
        <w:spacing w:after="120" w:before="240"/>
      </w:pPr>
      <w:r>
        <w:rPr>
          <w:rFonts w:ascii="Arial" w:cs="Arial" w:eastAsia="Arial" w:hAnsi="Arial"/>
          <w:b/>
          <w:bCs/>
          <w:color w:val="2E75B6"/>
          <w:sz w:val="26"/>
          <w:szCs w:val="26"/>
        </w:rPr>
        <w:t xml:space="preserve">Deficiency</w:t>
      </w:r>
    </w:p>
    <w:p>
      <w:pPr>
        <w:pStyle w:val="ListParagraph"/>
        <w:numPr>
          <w:ilvl w:val="0"/>
          <w:numId w:val="1"/>
        </w:numPr>
        <w:spacing w:after="80"/>
      </w:pPr>
      <w:r>
        <w:rPr>
          <w:rFonts w:ascii="Arial" w:cs="Arial" w:eastAsia="Arial" w:hAnsi="Arial"/>
          <w:b/>
          <w:bCs/>
          <w:i w:val="false"/>
          <w:iCs w:val="false"/>
          <w:sz w:val="22"/>
          <w:szCs w:val="22"/>
        </w:rPr>
        <w:t xml:space="preserve">Night blindness (nyctalopia)</w:t>
      </w:r>
      <w:r>
        <w:rPr>
          <w:rFonts w:ascii="Arial" w:cs="Arial" w:eastAsia="Arial" w:hAnsi="Arial"/>
          <w:b w:val="false"/>
          <w:bCs w:val="false"/>
          <w:i w:val="false"/>
          <w:iCs w:val="false"/>
          <w:sz w:val="22"/>
          <w:szCs w:val="22"/>
        </w:rPr>
        <w:t xml:space="preserve">: earliest/most classic sign; due to impaired rhodopsin regeneration</w:t>
      </w:r>
    </w:p>
    <w:p>
      <w:pPr>
        <w:pStyle w:val="ListParagraph"/>
        <w:numPr>
          <w:ilvl w:val="0"/>
          <w:numId w:val="1"/>
        </w:numPr>
        <w:spacing w:after="80"/>
      </w:pPr>
      <w:r>
        <w:rPr>
          <w:rFonts w:ascii="Arial" w:cs="Arial" w:eastAsia="Arial" w:hAnsi="Arial"/>
          <w:b/>
          <w:bCs/>
          <w:i w:val="false"/>
          <w:iCs w:val="false"/>
          <w:sz w:val="22"/>
          <w:szCs w:val="22"/>
        </w:rPr>
        <w:t xml:space="preserve">Xerophthalmia</w:t>
      </w:r>
      <w:r>
        <w:rPr>
          <w:rFonts w:ascii="Arial" w:cs="Arial" w:eastAsia="Arial" w:hAnsi="Arial"/>
          <w:b w:val="false"/>
          <w:bCs w:val="false"/>
          <w:i w:val="false"/>
          <w:iCs w:val="false"/>
          <w:sz w:val="22"/>
          <w:szCs w:val="22"/>
        </w:rPr>
        <w:t xml:space="preserve"> (dry eyes): can progress to corneal ulceration → blindness</w:t>
      </w:r>
    </w:p>
    <w:p>
      <w:pPr>
        <w:pStyle w:val="ListParagraph"/>
        <w:numPr>
          <w:ilvl w:val="0"/>
          <w:numId w:val="1"/>
        </w:numPr>
        <w:spacing w:after="80"/>
      </w:pPr>
      <w:r>
        <w:rPr>
          <w:rFonts w:ascii="Arial" w:cs="Arial" w:eastAsia="Arial" w:hAnsi="Arial"/>
          <w:b/>
          <w:bCs/>
          <w:i w:val="false"/>
          <w:iCs w:val="false"/>
          <w:sz w:val="22"/>
          <w:szCs w:val="22"/>
        </w:rPr>
        <w:t xml:space="preserve">Bitot spots</w:t>
      </w:r>
      <w:r>
        <w:rPr>
          <w:rFonts w:ascii="Arial" w:cs="Arial" w:eastAsia="Arial" w:hAnsi="Arial"/>
          <w:b w:val="false"/>
          <w:bCs w:val="false"/>
          <w:i w:val="false"/>
          <w:iCs w:val="false"/>
          <w:sz w:val="22"/>
          <w:szCs w:val="22"/>
        </w:rPr>
        <w:t xml:space="preserve"> (white foamy plaques on the bulbar conjunctiva)</w:t>
      </w:r>
    </w:p>
    <w:p>
      <w:pPr>
        <w:pStyle w:val="ListParagraph"/>
        <w:numPr>
          <w:ilvl w:val="0"/>
          <w:numId w:val="1"/>
        </w:numPr>
        <w:spacing w:after="80"/>
      </w:pPr>
      <w:r>
        <w:rPr>
          <w:rFonts w:ascii="Arial" w:cs="Arial" w:eastAsia="Arial" w:hAnsi="Arial"/>
          <w:b w:val="false"/>
          <w:bCs w:val="false"/>
          <w:i w:val="false"/>
          <w:iCs w:val="false"/>
          <w:sz w:val="22"/>
          <w:szCs w:val="22"/>
        </w:rPr>
        <w:t xml:space="preserve">Dry, scaly skin (hyperkeratosis); impaired wound healing</w:t>
      </w:r>
    </w:p>
    <w:p>
      <w:pPr>
        <w:pStyle w:val="ListParagraph"/>
        <w:numPr>
          <w:ilvl w:val="0"/>
          <w:numId w:val="1"/>
        </w:numPr>
        <w:spacing w:after="80"/>
      </w:pPr>
      <w:r>
        <w:rPr>
          <w:rFonts w:ascii="Arial" w:cs="Arial" w:eastAsia="Arial" w:hAnsi="Arial"/>
          <w:b w:val="false"/>
          <w:bCs w:val="false"/>
          <w:i w:val="false"/>
          <w:iCs w:val="false"/>
          <w:sz w:val="22"/>
          <w:szCs w:val="22"/>
        </w:rPr>
        <w:t xml:space="preserve">Increased susceptibility to infections</w:t>
      </w:r>
    </w:p>
    <w:p>
      <w:pPr>
        <w:pStyle w:val="Heading2"/>
        <w:spacing w:after="120" w:before="240"/>
      </w:pPr>
      <w:r>
        <w:rPr>
          <w:rFonts w:ascii="Arial" w:cs="Arial" w:eastAsia="Arial" w:hAnsi="Arial"/>
          <w:b/>
          <w:bCs/>
          <w:color w:val="2E75B6"/>
          <w:sz w:val="26"/>
          <w:szCs w:val="26"/>
        </w:rPr>
        <w:t xml:space="preserve">Toxicity</w:t>
      </w:r>
    </w:p>
    <w:p>
      <w:pPr>
        <w:pStyle w:val="ListParagraph"/>
        <w:numPr>
          <w:ilvl w:val="0"/>
          <w:numId w:val="1"/>
        </w:numPr>
        <w:spacing w:after="80"/>
      </w:pPr>
      <w:r>
        <w:rPr>
          <w:rFonts w:ascii="Arial" w:cs="Arial" w:eastAsia="Arial" w:hAnsi="Arial"/>
          <w:b/>
          <w:bCs/>
          <w:i w:val="false"/>
          <w:iCs w:val="false"/>
          <w:sz w:val="22"/>
          <w:szCs w:val="22"/>
        </w:rPr>
        <w:t xml:space="preserve">Teratogenicity</w:t>
      </w:r>
      <w:r>
        <w:rPr>
          <w:rFonts w:ascii="Arial" w:cs="Arial" w:eastAsia="Arial" w:hAnsi="Arial"/>
          <w:b w:val="false"/>
          <w:bCs w:val="false"/>
          <w:i w:val="false"/>
          <w:iCs w:val="false"/>
          <w:sz w:val="22"/>
          <w:szCs w:val="22"/>
        </w:rPr>
        <w:t xml:space="preserve">: major concern; causes neural crest defects, craniofacial abnormalities</w:t>
      </w:r>
    </w:p>
    <w:p>
      <w:pPr>
        <w:pStyle w:val="ListParagraph"/>
        <w:numPr>
          <w:ilvl w:val="0"/>
          <w:numId w:val="1"/>
        </w:numPr>
        <w:spacing w:after="80"/>
      </w:pPr>
      <w:r>
        <w:rPr>
          <w:rFonts w:ascii="Arial" w:cs="Arial" w:eastAsia="Arial" w:hAnsi="Arial"/>
          <w:b/>
          <w:bCs/>
          <w:i w:val="false"/>
          <w:iCs w:val="false"/>
          <w:sz w:val="22"/>
          <w:szCs w:val="22"/>
        </w:rPr>
        <w:t xml:space="preserve">Acute toxicity</w:t>
      </w:r>
      <w:r>
        <w:rPr>
          <w:rFonts w:ascii="Arial" w:cs="Arial" w:eastAsia="Arial" w:hAnsi="Arial"/>
          <w:b w:val="false"/>
          <w:bCs w:val="false"/>
          <w:i w:val="false"/>
          <w:iCs w:val="false"/>
          <w:sz w:val="22"/>
          <w:szCs w:val="22"/>
        </w:rPr>
        <w:t xml:space="preserve">: ↑ intracranial pressure (headache, papilledema), nausea, vomiting</w:t>
      </w:r>
    </w:p>
    <w:p>
      <w:pPr>
        <w:pStyle w:val="ListParagraph"/>
        <w:numPr>
          <w:ilvl w:val="0"/>
          <w:numId w:val="1"/>
        </w:numPr>
        <w:spacing w:after="80"/>
      </w:pPr>
      <w:r>
        <w:rPr>
          <w:rFonts w:ascii="Arial" w:cs="Arial" w:eastAsia="Arial" w:hAnsi="Arial"/>
          <w:b/>
          <w:bCs/>
          <w:i w:val="false"/>
          <w:iCs w:val="false"/>
          <w:sz w:val="22"/>
          <w:szCs w:val="22"/>
        </w:rPr>
        <w:t xml:space="preserve">Chronic toxicity</w:t>
      </w:r>
      <w:r>
        <w:rPr>
          <w:rFonts w:ascii="Arial" w:cs="Arial" w:eastAsia="Arial" w:hAnsi="Arial"/>
          <w:b w:val="false"/>
          <w:bCs w:val="false"/>
          <w:i w:val="false"/>
          <w:iCs w:val="false"/>
          <w:sz w:val="22"/>
          <w:szCs w:val="22"/>
        </w:rPr>
        <w:t xml:space="preserve">: liver damage (hepatotoxicity), alopecia, dry skin, bone/joint pain</w:t>
      </w:r>
    </w:p>
    <w:p>
      <w:pPr>
        <w:pStyle w:val="ListParagraph"/>
        <w:numPr>
          <w:ilvl w:val="0"/>
          <w:numId w:val="1"/>
        </w:numPr>
        <w:spacing w:after="80"/>
      </w:pPr>
      <w:r>
        <w:rPr>
          <w:rFonts w:ascii="Arial" w:cs="Arial" w:eastAsia="Arial" w:hAnsi="Arial"/>
          <w:b/>
          <w:bCs/>
          <w:i w:val="false"/>
          <w:iCs w:val="false"/>
          <w:sz w:val="22"/>
          <w:szCs w:val="22"/>
        </w:rPr>
        <w:t xml:space="preserve">Isotretinoin</w:t>
      </w:r>
      <w:r>
        <w:rPr>
          <w:rFonts w:ascii="Arial" w:cs="Arial" w:eastAsia="Arial" w:hAnsi="Arial"/>
          <w:b w:val="false"/>
          <w:bCs w:val="false"/>
          <w:i w:val="false"/>
          <w:iCs w:val="false"/>
          <w:sz w:val="22"/>
          <w:szCs w:val="22"/>
        </w:rPr>
        <w:t xml:space="preserve"> (vitamin A derivative used for severe acne): same toxicity profile; seizures may occur in overdose; absolutely contraindicated in pregnancy</w:t>
      </w:r>
    </w:p>
    <w:p>
      <w:pPr>
        <w:pStyle w:val="Heading2"/>
        <w:spacing w:after="120" w:before="240"/>
      </w:pPr>
      <w:r>
        <w:rPr>
          <w:rFonts w:ascii="Arial" w:cs="Arial" w:eastAsia="Arial" w:hAnsi="Arial"/>
          <w:b/>
          <w:bCs/>
          <w:color w:val="2E75B6"/>
          <w:sz w:val="26"/>
          <w:szCs w:val="26"/>
        </w:rPr>
        <w:t xml:space="preserve">Therapeutic Uses</w:t>
      </w:r>
    </w:p>
    <w:p>
      <w:pPr>
        <w:pStyle w:val="ListParagraph"/>
        <w:numPr>
          <w:ilvl w:val="0"/>
          <w:numId w:val="1"/>
        </w:numPr>
        <w:spacing w:after="80"/>
      </w:pPr>
      <w:r>
        <w:rPr>
          <w:rFonts w:ascii="Arial" w:cs="Arial" w:eastAsia="Arial" w:hAnsi="Arial"/>
          <w:b/>
          <w:bCs/>
          <w:i w:val="false"/>
          <w:iCs w:val="false"/>
          <w:sz w:val="22"/>
          <w:szCs w:val="22"/>
        </w:rPr>
        <w:t xml:space="preserve">Acute promyelocytic leukemia (APL)</w:t>
      </w:r>
      <w:r>
        <w:rPr>
          <w:rFonts w:ascii="Arial" w:cs="Arial" w:eastAsia="Arial" w:hAnsi="Arial"/>
          <w:b w:val="false"/>
          <w:bCs w:val="false"/>
          <w:i w:val="false"/>
          <w:iCs w:val="false"/>
          <w:sz w:val="22"/>
          <w:szCs w:val="22"/>
        </w:rPr>
        <w:t xml:space="preserve"> (all-trans retinoic acid [ATRA])</w:t>
      </w:r>
    </w:p>
    <w:p>
      <w:pPr>
        <w:pStyle w:val="ListParagraph"/>
        <w:numPr>
          <w:ilvl w:val="0"/>
          <w:numId w:val="1"/>
        </w:numPr>
        <w:spacing w:after="80"/>
      </w:pPr>
      <w:r>
        <w:rPr>
          <w:rFonts w:ascii="Arial" w:cs="Arial" w:eastAsia="Arial" w:hAnsi="Arial"/>
          <w:b/>
          <w:bCs/>
          <w:i w:val="false"/>
          <w:iCs w:val="false"/>
          <w:sz w:val="22"/>
          <w:szCs w:val="22"/>
        </w:rPr>
        <w:t xml:space="preserve">Acne vulgaris</w:t>
      </w:r>
      <w:r>
        <w:rPr>
          <w:rFonts w:ascii="Arial" w:cs="Arial" w:eastAsia="Arial" w:hAnsi="Arial"/>
          <w:b w:val="false"/>
          <w:bCs w:val="false"/>
          <w:i w:val="false"/>
          <w:iCs w:val="false"/>
          <w:sz w:val="22"/>
          <w:szCs w:val="22"/>
        </w:rPr>
        <w:t xml:space="preserve"> (isotretinoin, topical retinoids)</w:t>
      </w:r>
    </w:p>
    <w:p>
      <w:pPr>
        <w:pStyle w:val="ListParagraph"/>
        <w:numPr>
          <w:ilvl w:val="0"/>
          <w:numId w:val="1"/>
        </w:numPr>
        <w:spacing w:after="80"/>
      </w:pPr>
      <w:r>
        <w:rPr>
          <w:rFonts w:ascii="Arial" w:cs="Arial" w:eastAsia="Arial" w:hAnsi="Arial"/>
          <w:b/>
          <w:bCs/>
          <w:i w:val="false"/>
          <w:iCs w:val="false"/>
          <w:sz w:val="22"/>
          <w:szCs w:val="22"/>
        </w:rPr>
        <w:t xml:space="preserve">Psoriasis</w:t>
      </w:r>
      <w:r>
        <w:rPr>
          <w:rFonts w:ascii="Arial" w:cs="Arial" w:eastAsia="Arial" w:hAnsi="Arial"/>
          <w:b w:val="false"/>
          <w:bCs w:val="false"/>
          <w:i w:val="false"/>
          <w:iCs w:val="false"/>
          <w:sz w:val="22"/>
          <w:szCs w:val="22"/>
        </w:rPr>
        <w:t xml:space="preserve"> (acitretin)</w:t>
      </w:r>
    </w:p>
    <w:p>
      <w:pPr>
        <w:pStyle w:val="Heading1"/>
        <w:spacing w:after="120" w:before="240"/>
      </w:pPr>
      <w:r>
        <w:rPr>
          <w:rFonts w:ascii="Arial" w:cs="Arial" w:eastAsia="Arial" w:hAnsi="Arial"/>
          <w:b/>
          <w:bCs/>
          <w:color w:val="1F4E79"/>
          <w:sz w:val="30"/>
          <w:szCs w:val="30"/>
        </w:rPr>
        <w:t xml:space="preserve">Vitamin D</w:t>
      </w:r>
    </w:p>
    <w:p>
      <w:pPr>
        <w:pStyle w:val="Heading2"/>
        <w:spacing w:after="120" w:before="240"/>
      </w:pPr>
      <w:r>
        <w:rPr>
          <w:rFonts w:ascii="Arial" w:cs="Arial" w:eastAsia="Arial" w:hAnsi="Arial"/>
          <w:b/>
          <w:bCs/>
          <w:color w:val="2E75B6"/>
          <w:sz w:val="26"/>
          <w:szCs w:val="26"/>
        </w:rPr>
        <w:t xml:space="preserve">Synthesis &amp; Functions</w:t>
      </w:r>
    </w:p>
    <w:p>
      <w:pPr>
        <w:spacing w:after="160"/>
      </w:pPr>
      <w:r>
        <w:rPr>
          <w:rFonts w:ascii="Arial" w:cs="Arial" w:eastAsia="Arial" w:hAnsi="Arial"/>
          <w:b w:val="false"/>
          <w:bCs w:val="false"/>
          <w:i w:val="false"/>
          <w:iCs w:val="false"/>
          <w:sz w:val="22"/>
          <w:szCs w:val="22"/>
        </w:rPr>
        <w:t xml:space="preserve">Vitamin D has a complex synthesis pathway, a favorite on exams.</w:t>
      </w:r>
    </w:p>
    <w:p>
      <w:pPr>
        <w:pStyle w:val="ListParagraph"/>
        <w:numPr>
          <w:ilvl w:val="0"/>
          <w:numId w:val="1"/>
        </w:numPr>
        <w:spacing w:after="80"/>
      </w:pPr>
      <w:r>
        <w:rPr>
          <w:rFonts w:ascii="Arial" w:cs="Arial" w:eastAsia="Arial" w:hAnsi="Arial"/>
          <w:b w:val="false"/>
          <w:bCs w:val="false"/>
          <w:i w:val="false"/>
          <w:iCs w:val="false"/>
          <w:sz w:val="22"/>
          <w:szCs w:val="22"/>
        </w:rPr>
        <w:t xml:space="preserve">Vitamin D is stored primarily as 25-hydroxyvitamin D (calcidiol) in the liver and circulation, which is the major storage form and the form measured to assess vitamin D status</w:t>
      </w:r>
    </w:p>
    <w:p>
      <w:pPr>
        <w:pStyle w:val="ListParagraph"/>
        <w:numPr>
          <w:ilvl w:val="0"/>
          <w:numId w:val="1"/>
        </w:numPr>
        <w:spacing w:after="80"/>
      </w:pPr>
      <w:r>
        <w:rPr>
          <w:rFonts w:ascii="Arial" w:cs="Arial" w:eastAsia="Arial" w:hAnsi="Arial"/>
          <w:b w:val="false"/>
          <w:bCs w:val="false"/>
          <w:i w:val="false"/>
          <w:iCs w:val="false"/>
          <w:sz w:val="22"/>
          <w:szCs w:val="22"/>
        </w:rPr>
        <w:t xml:space="preserve">Active form is 1,25-dihydroxyvitamin D (calcitriol), produced in the kidney by 1α-hydroxylase and responsible for the biologic effects of vitamin D</w:t>
      </w:r>
    </w:p>
    <w:p>
      <w:pPr>
        <w:pStyle w:val="ListParagraph"/>
        <w:numPr>
          <w:ilvl w:val="0"/>
          <w:numId w:val="1"/>
        </w:numPr>
        <w:spacing w:after="80"/>
      </w:pPr>
      <w:r>
        <w:rPr>
          <w:rFonts w:ascii="Arial" w:cs="Arial" w:eastAsia="Arial" w:hAnsi="Arial"/>
          <w:b w:val="false"/>
          <w:bCs w:val="false"/>
          <w:i w:val="false"/>
          <w:iCs w:val="false"/>
          <w:sz w:val="22"/>
          <w:szCs w:val="22"/>
        </w:rPr>
        <w:t xml:space="preserve">↑ intestinal absorption of Ca²⁺ and phosphate</w:t>
      </w:r>
    </w:p>
    <w:p>
      <w:pPr>
        <w:pStyle w:val="ListParagraph"/>
        <w:numPr>
          <w:ilvl w:val="0"/>
          <w:numId w:val="1"/>
        </w:numPr>
        <w:spacing w:after="80"/>
      </w:pPr>
      <w:r>
        <w:rPr>
          <w:rFonts w:ascii="Arial" w:cs="Arial" w:eastAsia="Arial" w:hAnsi="Arial"/>
          <w:b w:val="false"/>
          <w:bCs w:val="false"/>
          <w:i w:val="false"/>
          <w:iCs w:val="false"/>
          <w:sz w:val="22"/>
          <w:szCs w:val="22"/>
        </w:rPr>
        <w:t xml:space="preserve">↑ renal reabsorption of Ca²⁺</w:t>
      </w:r>
    </w:p>
    <w:p>
      <w:pPr>
        <w:pStyle w:val="ListParagraph"/>
        <w:numPr>
          <w:ilvl w:val="0"/>
          <w:numId w:val="1"/>
        </w:numPr>
        <w:spacing w:after="80"/>
      </w:pPr>
      <w:r>
        <w:rPr>
          <w:rFonts w:ascii="Arial" w:cs="Arial" w:eastAsia="Arial" w:hAnsi="Arial"/>
          <w:b w:val="false"/>
          <w:bCs w:val="false"/>
          <w:i w:val="false"/>
          <w:iCs w:val="false"/>
          <w:sz w:val="22"/>
          <w:szCs w:val="22"/>
        </w:rPr>
        <w:t xml:space="preserve">↑ bone resorption (osteoclast activation) when calcium is low — works with PTH</w:t>
      </w:r>
    </w:p>
    <w:p>
      <w:pPr>
        <w:pStyle w:val="ListParagraph"/>
        <w:numPr>
          <w:ilvl w:val="0"/>
          <w:numId w:val="1"/>
        </w:numPr>
        <w:spacing w:after="80"/>
      </w:pPr>
      <w:r>
        <w:rPr>
          <w:rFonts w:ascii="Arial" w:cs="Arial" w:eastAsia="Arial" w:hAnsi="Arial"/>
          <w:b w:val="false"/>
          <w:bCs w:val="false"/>
          <w:i w:val="false"/>
          <w:iCs w:val="false"/>
          <w:sz w:val="22"/>
          <w:szCs w:val="22"/>
        </w:rPr>
        <w:t xml:space="preserve">Net effect: ↑ serum Ca²⁺ and PO₄³⁻ → proper bone mineralization</w:t>
      </w:r>
    </w:p>
    <w:p>
      <w:pPr>
        <w:pStyle w:val="ListParagraph"/>
        <w:numPr>
          <w:ilvl w:val="0"/>
          <w:numId w:val="1"/>
        </w:numPr>
        <w:spacing w:after="80"/>
      </w:pPr>
      <w:r>
        <w:rPr>
          <w:rFonts w:ascii="Arial" w:cs="Arial" w:eastAsia="Arial" w:hAnsi="Arial"/>
          <w:b/>
          <w:bCs/>
          <w:i w:val="false"/>
          <w:iCs w:val="false"/>
          <w:sz w:val="22"/>
          <w:szCs w:val="22"/>
        </w:rPr>
        <w:t xml:space="preserve">Test-taking pearl</w:t>
      </w:r>
      <w:r>
        <w:rPr>
          <w:rFonts w:ascii="Arial" w:cs="Arial" w:eastAsia="Arial" w:hAnsi="Arial"/>
          <w:b w:val="false"/>
          <w:bCs w:val="false"/>
          <w:i w:val="false"/>
          <w:iCs w:val="false"/>
          <w:sz w:val="22"/>
          <w:szCs w:val="22"/>
        </w:rPr>
        <w:t xml:space="preserve">: In chronic kidney disease, loss of 1α-hydroxylase activity in the kidney → ↓ calcitriol → hypocalcemia → secondary hyperparathyroidism → renal osteodystrophy (eg, osteomalacia/osteoporosis)</w:t>
      </w:r>
    </w:p>
    <w:p>
      <w:pPr>
        <w:pStyle w:val="Heading2"/>
        <w:spacing w:after="120" w:before="240"/>
      </w:pPr>
      <w:r>
        <w:rPr>
          <w:rFonts w:ascii="Arial" w:cs="Arial" w:eastAsia="Arial" w:hAnsi="Arial"/>
          <w:b/>
          <w:bCs/>
          <w:color w:val="2E75B6"/>
          <w:sz w:val="26"/>
          <w:szCs w:val="26"/>
        </w:rPr>
        <w:t xml:space="preserve">Deficiency</w:t>
      </w:r>
    </w:p>
    <w:p>
      <w:pPr>
        <w:pStyle w:val="ListParagraph"/>
        <w:numPr>
          <w:ilvl w:val="0"/>
          <w:numId w:val="1"/>
        </w:numPr>
        <w:spacing w:after="80"/>
      </w:pPr>
      <w:r>
        <w:rPr>
          <w:rFonts w:ascii="Arial" w:cs="Arial" w:eastAsia="Arial" w:hAnsi="Arial"/>
          <w:b/>
          <w:bCs/>
          <w:i w:val="false"/>
          <w:iCs w:val="false"/>
          <w:sz w:val="22"/>
          <w:szCs w:val="22"/>
        </w:rPr>
        <w:t xml:space="preserve">Osteomalacia</w:t>
      </w:r>
      <w:r>
        <w:rPr>
          <w:rFonts w:ascii="Arial" w:cs="Arial" w:eastAsia="Arial" w:hAnsi="Arial"/>
          <w:b w:val="false"/>
          <w:bCs w:val="false"/>
          <w:i w:val="false"/>
          <w:iCs w:val="false"/>
          <w:sz w:val="22"/>
          <w:szCs w:val="22"/>
        </w:rPr>
        <w:t xml:space="preserve"> (adults): Bone pain, muscle weakness, fractures with minimal trauma (pseudo-fractures = looser zones on x-ray)</w:t>
      </w:r>
    </w:p>
    <w:p>
      <w:pPr>
        <w:pStyle w:val="ListParagraph"/>
        <w:numPr>
          <w:ilvl w:val="0"/>
          <w:numId w:val="1"/>
        </w:numPr>
        <w:spacing w:after="80"/>
      </w:pPr>
      <w:r>
        <w:rPr>
          <w:rFonts w:ascii="Arial" w:cs="Arial" w:eastAsia="Arial" w:hAnsi="Arial"/>
          <w:b/>
          <w:bCs/>
          <w:i w:val="false"/>
          <w:iCs w:val="false"/>
          <w:sz w:val="22"/>
          <w:szCs w:val="22"/>
        </w:rPr>
        <w:t xml:space="preserve">Rickets</w:t>
      </w:r>
      <w:r>
        <w:rPr>
          <w:rFonts w:ascii="Arial" w:cs="Arial" w:eastAsia="Arial" w:hAnsi="Arial"/>
          <w:b w:val="false"/>
          <w:bCs w:val="false"/>
          <w:i w:val="false"/>
          <w:iCs w:val="false"/>
          <w:sz w:val="22"/>
          <w:szCs w:val="22"/>
        </w:rPr>
        <w:t xml:space="preserve"> (children): Bowing of long bones (genu varum), rachitic rosary (costochondral swelling), widened wrists (metaphyseal cupping on x-ray), craniotabes, delayed fontanelle closure</w:t>
      </w:r>
    </w:p>
    <w:p>
      <w:pPr>
        <w:pStyle w:val="ListParagraph"/>
        <w:numPr>
          <w:ilvl w:val="0"/>
          <w:numId w:val="1"/>
        </w:numPr>
        <w:spacing w:after="80"/>
      </w:pPr>
      <w:r>
        <w:rPr>
          <w:rFonts w:ascii="Arial" w:cs="Arial" w:eastAsia="Arial" w:hAnsi="Arial"/>
          <w:b w:val="false"/>
          <w:bCs w:val="false"/>
          <w:i w:val="false"/>
          <w:iCs w:val="false"/>
          <w:sz w:val="22"/>
          <w:szCs w:val="22"/>
        </w:rPr>
        <w:t xml:space="preserve">Risk factor: exclusively breastfed (breast milk is low in vitamin D). Management: supplement with oral vitamin D beginning in the first months of life.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gridSpan w:val="3"/>
            <w:tcBorders>
              <w:top w:val="single" w:color="000000" w:sz="4"/>
              <w:left w:val="single" w:color="000000" w:sz="4"/>
              <w:bottom w:val="single" w:color="000000" w:sz="4"/>
              <w:right w:val="single" w:color="000000" w:sz="4"/>
            </w:tcBorders>
          </w:tcPr>
          <w:p>
            <w:pPr>
              <w:jc w:val="center"/>
            </w:pPr>
            <w:r>
              <w:rPr>
                <w:rFonts w:ascii="Arial" w:cs="Arial" w:eastAsia="Arial" w:hAnsi="Arial"/>
                <w:b/>
                <w:bCs/>
                <w:sz w:val="20"/>
                <w:szCs w:val="20"/>
              </w:rPr>
              <w:t xml:space="preserve">Classic Lab Pattern in Vitamin D Deficiency</w:t>
            </w:r>
          </w:p>
        </w:tc>
      </w:tr>
      <w:tr>
        <w:tc>
          <w:tcPr>
            <w:tcW w:type="dxa" w:w="20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Lab</w:t>
            </w:r>
          </w:p>
        </w:tc>
        <w:tc>
          <w:tcPr>
            <w:tcW w:type="dxa" w:w="15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Direction</w:t>
            </w:r>
          </w:p>
        </w:tc>
        <w:tc>
          <w:tcPr>
            <w:tcW w:type="dxa" w:w="586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Reason</w:t>
            </w:r>
          </w:p>
        </w:tc>
      </w:tr>
      <w:tr>
        <w:tc>
          <w:tcPr>
            <w:tcW w:type="dxa" w:w="20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25-(OH)D₃</w:t>
            </w:r>
          </w:p>
        </w:tc>
        <w:tc>
          <w:tcPr>
            <w:tcW w:type="dxa" w:w="15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w:t>
            </w:r>
          </w:p>
        </w:tc>
        <w:tc>
          <w:tcPr>
            <w:tcW w:type="dxa" w:w="58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Primary deficiency marker</w:t>
            </w:r>
          </w:p>
        </w:tc>
      </w:tr>
      <w:tr>
        <w:tc>
          <w:tcPr>
            <w:tcW w:type="dxa" w:w="20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PTH</w:t>
            </w:r>
          </w:p>
        </w:tc>
        <w:tc>
          <w:tcPr>
            <w:tcW w:type="dxa" w:w="15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w:t>
            </w:r>
          </w:p>
        </w:tc>
        <w:tc>
          <w:tcPr>
            <w:tcW w:type="dxa" w:w="58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Secondary hyperparathyroidism compensating for low Ca²⁺</w:t>
            </w:r>
          </w:p>
        </w:tc>
      </w:tr>
      <w:tr>
        <w:tc>
          <w:tcPr>
            <w:tcW w:type="dxa" w:w="20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Serum Ca²⁺</w:t>
            </w:r>
          </w:p>
        </w:tc>
        <w:tc>
          <w:tcPr>
            <w:tcW w:type="dxa" w:w="15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 or normal</w:t>
            </w:r>
          </w:p>
        </w:tc>
        <w:tc>
          <w:tcPr>
            <w:tcW w:type="dxa" w:w="58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PTH partially compensates</w:t>
            </w:r>
          </w:p>
        </w:tc>
      </w:tr>
      <w:tr>
        <w:tc>
          <w:tcPr>
            <w:tcW w:type="dxa" w:w="20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Serum Phosphate</w:t>
            </w:r>
          </w:p>
        </w:tc>
        <w:tc>
          <w:tcPr>
            <w:tcW w:type="dxa" w:w="15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w:t>
            </w:r>
          </w:p>
        </w:tc>
        <w:tc>
          <w:tcPr>
            <w:tcW w:type="dxa" w:w="58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PTH causes phosphaturia (phosphate wasting)</w:t>
            </w:r>
          </w:p>
        </w:tc>
      </w:tr>
      <w:tr>
        <w:tc>
          <w:tcPr>
            <w:tcW w:type="dxa" w:w="20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Alkaline Phosphatase</w:t>
            </w:r>
          </w:p>
        </w:tc>
        <w:tc>
          <w:tcPr>
            <w:tcW w:type="dxa" w:w="15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w:t>
            </w:r>
          </w:p>
        </w:tc>
        <w:tc>
          <w:tcPr>
            <w:tcW w:type="dxa" w:w="58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 osteoblast activity from PTH stimulation</w:t>
            </w:r>
          </w:p>
        </w:tc>
      </w:tr>
    </w:tbl>
    <w:p>
      <w:pPr>
        <w:pStyle w:val="Heading2"/>
        <w:spacing w:after="120" w:before="240"/>
      </w:pPr>
      <w:r>
        <w:rPr>
          <w:rFonts w:ascii="Arial" w:cs="Arial" w:eastAsia="Arial" w:hAnsi="Arial"/>
          <w:b/>
          <w:bCs/>
          <w:color w:val="2E75B6"/>
          <w:sz w:val="26"/>
          <w:szCs w:val="26"/>
        </w:rPr>
        <w:t xml:space="preserve">Toxicity</w:t>
      </w:r>
    </w:p>
    <w:p>
      <w:pPr>
        <w:pStyle w:val="ListParagraph"/>
        <w:numPr>
          <w:ilvl w:val="0"/>
          <w:numId w:val="1"/>
        </w:numPr>
        <w:spacing w:after="80"/>
      </w:pPr>
      <w:r>
        <w:rPr>
          <w:rFonts w:ascii="Arial" w:cs="Arial" w:eastAsia="Arial" w:hAnsi="Arial"/>
          <w:b/>
          <w:bCs/>
          <w:i w:val="false"/>
          <w:iCs w:val="false"/>
          <w:sz w:val="22"/>
          <w:szCs w:val="22"/>
        </w:rPr>
        <w:t xml:space="preserve">Caused by excessive supplementation</w:t>
      </w:r>
      <w:r>
        <w:rPr>
          <w:rFonts w:ascii="Arial" w:cs="Arial" w:eastAsia="Arial" w:hAnsi="Arial"/>
          <w:b w:val="false"/>
          <w:bCs w:val="false"/>
          <w:i w:val="false"/>
          <w:iCs w:val="false"/>
          <w:sz w:val="22"/>
          <w:szCs w:val="22"/>
        </w:rPr>
        <w:t xml:space="preserve"> (cannot occur from sun exposure alone)</w:t>
      </w:r>
    </w:p>
    <w:p>
      <w:pPr>
        <w:pStyle w:val="ListParagraph"/>
        <w:numPr>
          <w:ilvl w:val="0"/>
          <w:numId w:val="1"/>
        </w:numPr>
        <w:spacing w:after="80"/>
      </w:pPr>
      <w:r>
        <w:rPr>
          <w:rFonts w:ascii="Arial" w:cs="Arial" w:eastAsia="Arial" w:hAnsi="Arial"/>
          <w:b w:val="false"/>
          <w:bCs w:val="false"/>
          <w:i w:val="false"/>
          <w:iCs w:val="false"/>
          <w:sz w:val="22"/>
          <w:szCs w:val="22"/>
        </w:rPr>
        <w:t xml:space="preserve">Results in </w:t>
      </w:r>
      <w:r>
        <w:rPr>
          <w:rFonts w:ascii="Arial" w:cs="Arial" w:eastAsia="Arial" w:hAnsi="Arial"/>
          <w:b/>
          <w:bCs/>
          <w:i w:val="false"/>
          <w:iCs w:val="false"/>
          <w:sz w:val="22"/>
          <w:szCs w:val="22"/>
        </w:rPr>
        <w:t xml:space="preserve">hypercalcemia</w:t>
      </w:r>
      <w:r>
        <w:rPr>
          <w:rFonts w:ascii="Arial" w:cs="Arial" w:eastAsia="Arial" w:hAnsi="Arial"/>
          <w:b w:val="false"/>
          <w:bCs w:val="false"/>
          <w:i w:val="false"/>
          <w:iCs w:val="false"/>
          <w:sz w:val="22"/>
          <w:szCs w:val="22"/>
        </w:rPr>
        <w:t xml:space="preserve">: kidney stones (nephrolithiasis), constipation, confusion, nausea/vomiting, bone pain (remember the mnemonic "Stones, Bones, (abdominal) Groans, and Psychiatric Moans")</w:t>
      </w:r>
    </w:p>
    <w:p>
      <w:pPr>
        <w:pStyle w:val="Heading2"/>
        <w:spacing w:after="120" w:before="240"/>
      </w:pPr>
      <w:r>
        <w:rPr>
          <w:rFonts w:ascii="Arial" w:cs="Arial" w:eastAsia="Arial" w:hAnsi="Arial"/>
          <w:b/>
          <w:bCs/>
          <w:color w:val="2E75B6"/>
          <w:sz w:val="26"/>
          <w:szCs w:val="26"/>
        </w:rPr>
        <w:t xml:space="preserve">Therapeutic Uses</w:t>
      </w:r>
    </w:p>
    <w:p>
      <w:pPr>
        <w:pStyle w:val="ListParagraph"/>
        <w:numPr>
          <w:ilvl w:val="0"/>
          <w:numId w:val="1"/>
        </w:numPr>
        <w:spacing w:after="80"/>
      </w:pPr>
      <w:r>
        <w:rPr>
          <w:rFonts w:ascii="Arial" w:cs="Arial" w:eastAsia="Arial" w:hAnsi="Arial"/>
          <w:b/>
          <w:bCs/>
          <w:i w:val="false"/>
          <w:iCs w:val="false"/>
          <w:sz w:val="22"/>
          <w:szCs w:val="22"/>
        </w:rPr>
        <w:t xml:space="preserve">Rickets</w:t>
      </w:r>
      <w:r>
        <w:rPr>
          <w:rFonts w:ascii="Arial" w:cs="Arial" w:eastAsia="Arial" w:hAnsi="Arial"/>
          <w:b w:val="false"/>
          <w:bCs w:val="false"/>
          <w:i w:val="false"/>
          <w:iCs w:val="false"/>
          <w:sz w:val="22"/>
          <w:szCs w:val="22"/>
        </w:rPr>
        <w:t xml:space="preserve"> (children)</w:t>
      </w:r>
    </w:p>
    <w:p>
      <w:pPr>
        <w:pStyle w:val="ListParagraph"/>
        <w:numPr>
          <w:ilvl w:val="0"/>
          <w:numId w:val="1"/>
        </w:numPr>
        <w:spacing w:after="80"/>
      </w:pPr>
      <w:r>
        <w:rPr>
          <w:rFonts w:ascii="Arial" w:cs="Arial" w:eastAsia="Arial" w:hAnsi="Arial"/>
          <w:b/>
          <w:bCs/>
          <w:i w:val="false"/>
          <w:iCs w:val="false"/>
          <w:sz w:val="22"/>
          <w:szCs w:val="22"/>
        </w:rPr>
        <w:t xml:space="preserve">Osteomalacia</w:t>
      </w:r>
      <w:r>
        <w:rPr>
          <w:rFonts w:ascii="Arial" w:cs="Arial" w:eastAsia="Arial" w:hAnsi="Arial"/>
          <w:b w:val="false"/>
          <w:bCs w:val="false"/>
          <w:i w:val="false"/>
          <w:iCs w:val="false"/>
          <w:sz w:val="22"/>
          <w:szCs w:val="22"/>
        </w:rPr>
        <w:t xml:space="preserve"> (adults)</w:t>
      </w:r>
    </w:p>
    <w:p>
      <w:pPr>
        <w:pStyle w:val="ListParagraph"/>
        <w:numPr>
          <w:ilvl w:val="0"/>
          <w:numId w:val="1"/>
        </w:numPr>
        <w:spacing w:after="80"/>
      </w:pPr>
      <w:r>
        <w:rPr>
          <w:rFonts w:ascii="Arial" w:cs="Arial" w:eastAsia="Arial" w:hAnsi="Arial"/>
          <w:b/>
          <w:bCs/>
          <w:i w:val="false"/>
          <w:iCs w:val="false"/>
          <w:sz w:val="22"/>
          <w:szCs w:val="22"/>
        </w:rPr>
        <w:t xml:space="preserve">Osteoporosis</w:t>
      </w:r>
      <w:r>
        <w:rPr>
          <w:rFonts w:ascii="Arial" w:cs="Arial" w:eastAsia="Arial" w:hAnsi="Arial"/>
          <w:b w:val="false"/>
          <w:bCs w:val="false"/>
          <w:i w:val="false"/>
          <w:iCs w:val="false"/>
          <w:sz w:val="22"/>
          <w:szCs w:val="22"/>
        </w:rPr>
        <w:t xml:space="preserve"> (with calcium supplementation)</w:t>
      </w:r>
    </w:p>
    <w:p>
      <w:pPr>
        <w:pStyle w:val="ListParagraph"/>
        <w:numPr>
          <w:ilvl w:val="0"/>
          <w:numId w:val="1"/>
        </w:numPr>
        <w:spacing w:after="80"/>
      </w:pPr>
      <w:r>
        <w:rPr>
          <w:rFonts w:ascii="Arial" w:cs="Arial" w:eastAsia="Arial" w:hAnsi="Arial"/>
          <w:b/>
          <w:bCs/>
          <w:i w:val="false"/>
          <w:iCs w:val="false"/>
          <w:sz w:val="22"/>
          <w:szCs w:val="22"/>
        </w:rPr>
        <w:t xml:space="preserve">Hypocalcemia</w:t>
      </w:r>
    </w:p>
    <w:p>
      <w:pPr>
        <w:pStyle w:val="ListParagraph"/>
        <w:numPr>
          <w:ilvl w:val="0"/>
          <w:numId w:val="1"/>
        </w:numPr>
        <w:spacing w:after="80"/>
      </w:pPr>
      <w:r>
        <w:rPr>
          <w:rFonts w:ascii="Arial" w:cs="Arial" w:eastAsia="Arial" w:hAnsi="Arial"/>
          <w:b/>
          <w:bCs/>
          <w:i w:val="false"/>
          <w:iCs w:val="false"/>
          <w:sz w:val="22"/>
          <w:szCs w:val="22"/>
        </w:rPr>
        <w:t xml:space="preserve">Hypoparathyroidism</w:t>
      </w:r>
    </w:p>
    <w:p>
      <w:pPr>
        <w:pStyle w:val="ListParagraph"/>
        <w:numPr>
          <w:ilvl w:val="0"/>
          <w:numId w:val="1"/>
        </w:numPr>
        <w:spacing w:after="80"/>
      </w:pPr>
      <w:r>
        <w:rPr>
          <w:rFonts w:ascii="Arial" w:cs="Arial" w:eastAsia="Arial" w:hAnsi="Arial"/>
          <w:b/>
          <w:bCs/>
          <w:i w:val="false"/>
          <w:iCs w:val="false"/>
          <w:sz w:val="22"/>
          <w:szCs w:val="22"/>
        </w:rPr>
        <w:t xml:space="preserve">Chronic kidney disease</w:t>
      </w:r>
      <w:r>
        <w:rPr>
          <w:rFonts w:ascii="Arial" w:cs="Arial" w:eastAsia="Arial" w:hAnsi="Arial"/>
          <w:b w:val="false"/>
          <w:bCs w:val="false"/>
          <w:i w:val="false"/>
          <w:iCs w:val="false"/>
          <w:sz w:val="22"/>
          <w:szCs w:val="22"/>
        </w:rPr>
        <w:t xml:space="preserve">–associated secondary hyperparathyroidism (calcitriol)</w:t>
      </w:r>
    </w:p>
    <w:p>
      <w:pPr>
        <w:pStyle w:val="Heading1"/>
        <w:spacing w:after="120" w:before="240"/>
      </w:pPr>
      <w:r>
        <w:rPr>
          <w:rFonts w:ascii="Arial" w:cs="Arial" w:eastAsia="Arial" w:hAnsi="Arial"/>
          <w:b/>
          <w:bCs/>
          <w:color w:val="1F4E79"/>
          <w:sz w:val="30"/>
          <w:szCs w:val="30"/>
        </w:rPr>
        <w:t xml:space="preserve">Vitamin E</w:t>
      </w:r>
    </w:p>
    <w:p>
      <w:pPr>
        <w:pStyle w:val="Heading2"/>
        <w:spacing w:after="120" w:before="240"/>
      </w:pPr>
      <w:r>
        <w:rPr>
          <w:rFonts w:ascii="Arial" w:cs="Arial" w:eastAsia="Arial" w:hAnsi="Arial"/>
          <w:b/>
          <w:bCs/>
          <w:color w:val="2E75B6"/>
          <w:sz w:val="26"/>
          <w:szCs w:val="26"/>
        </w:rPr>
        <w:t xml:space="preserve">Forms</w:t>
      </w:r>
    </w:p>
    <w:p>
      <w:pPr>
        <w:pStyle w:val="ListParagraph"/>
        <w:numPr>
          <w:ilvl w:val="0"/>
          <w:numId w:val="1"/>
        </w:numPr>
        <w:spacing w:after="80"/>
      </w:pPr>
      <w:r>
        <w:rPr>
          <w:rFonts w:ascii="Arial" w:cs="Arial" w:eastAsia="Arial" w:hAnsi="Arial"/>
          <w:b w:val="false"/>
          <w:bCs w:val="false"/>
          <w:i w:val="false"/>
          <w:iCs w:val="false"/>
          <w:sz w:val="22"/>
          <w:szCs w:val="22"/>
        </w:rPr>
        <w:t xml:space="preserve">α-tocopherol is the most biologically active form in humans</w:t>
      </w:r>
    </w:p>
    <w:p>
      <w:pPr>
        <w:pStyle w:val="Heading2"/>
        <w:spacing w:after="120" w:before="240"/>
      </w:pPr>
      <w:r>
        <w:rPr>
          <w:rFonts w:ascii="Arial" w:cs="Arial" w:eastAsia="Arial" w:hAnsi="Arial"/>
          <w:b/>
          <w:bCs/>
          <w:color w:val="2E75B6"/>
          <w:sz w:val="26"/>
          <w:szCs w:val="26"/>
        </w:rPr>
        <w:t xml:space="preserve">Functions</w:t>
      </w:r>
    </w:p>
    <w:p>
      <w:pPr>
        <w:pStyle w:val="ListParagraph"/>
        <w:numPr>
          <w:ilvl w:val="0"/>
          <w:numId w:val="1"/>
        </w:numPr>
        <w:spacing w:after="80"/>
      </w:pPr>
      <w:r>
        <w:rPr>
          <w:rFonts w:ascii="Arial" w:cs="Arial" w:eastAsia="Arial" w:hAnsi="Arial"/>
          <w:b/>
          <w:bCs/>
          <w:i w:val="false"/>
          <w:iCs w:val="false"/>
          <w:sz w:val="22"/>
          <w:szCs w:val="22"/>
        </w:rPr>
        <w:t xml:space="preserve">Primary antioxidant</w:t>
      </w:r>
      <w:r>
        <w:rPr>
          <w:rFonts w:ascii="Arial" w:cs="Arial" w:eastAsia="Arial" w:hAnsi="Arial"/>
          <w:b w:val="false"/>
          <w:bCs w:val="false"/>
          <w:i w:val="false"/>
          <w:iCs w:val="false"/>
          <w:sz w:val="22"/>
          <w:szCs w:val="22"/>
        </w:rPr>
        <w:t xml:space="preserve">: α-tocopherol scavenges free radicals, protecting polyunsaturated fatty acids in cell membranes (especially RBC membranes) from oxidative damage</w:t>
      </w:r>
    </w:p>
    <w:p>
      <w:pPr>
        <w:pStyle w:val="ListParagraph"/>
        <w:numPr>
          <w:ilvl w:val="0"/>
          <w:numId w:val="1"/>
        </w:numPr>
        <w:spacing w:after="80"/>
      </w:pPr>
      <w:r>
        <w:rPr>
          <w:rFonts w:ascii="Arial" w:cs="Arial" w:eastAsia="Arial" w:hAnsi="Arial"/>
          <w:b w:val="false"/>
          <w:bCs w:val="false"/>
          <w:i w:val="false"/>
          <w:iCs w:val="false"/>
          <w:sz w:val="22"/>
          <w:szCs w:val="22"/>
        </w:rPr>
        <w:t xml:space="preserve">Works synergistically with selenium (glutathione peroxidase) to limit lipid peroxidation</w:t>
      </w:r>
    </w:p>
    <w:p>
      <w:pPr>
        <w:pStyle w:val="Heading2"/>
        <w:spacing w:after="120" w:before="240"/>
      </w:pPr>
      <w:r>
        <w:rPr>
          <w:rFonts w:ascii="Arial" w:cs="Arial" w:eastAsia="Arial" w:hAnsi="Arial"/>
          <w:b/>
          <w:bCs/>
          <w:color w:val="2E75B6"/>
          <w:sz w:val="26"/>
          <w:szCs w:val="26"/>
        </w:rPr>
        <w:t xml:space="preserve">Deficiency</w:t>
      </w:r>
    </w:p>
    <w:p>
      <w:pPr>
        <w:pStyle w:val="ListParagraph"/>
        <w:numPr>
          <w:ilvl w:val="0"/>
          <w:numId w:val="1"/>
        </w:numPr>
        <w:spacing w:after="80"/>
      </w:pPr>
      <w:r>
        <w:rPr>
          <w:rFonts w:ascii="Arial" w:cs="Arial" w:eastAsia="Arial" w:hAnsi="Arial"/>
          <w:b/>
          <w:bCs/>
          <w:i w:val="false"/>
          <w:iCs w:val="false"/>
          <w:sz w:val="22"/>
          <w:szCs w:val="22"/>
        </w:rPr>
        <w:t xml:space="preserve">Rare</w:t>
      </w:r>
      <w:r>
        <w:rPr>
          <w:rFonts w:ascii="Arial" w:cs="Arial" w:eastAsia="Arial" w:hAnsi="Arial"/>
          <w:b w:val="false"/>
          <w:bCs w:val="false"/>
          <w:i w:val="false"/>
          <w:iCs w:val="false"/>
          <w:sz w:val="22"/>
          <w:szCs w:val="22"/>
        </w:rPr>
        <w:t xml:space="preserve">: seen in premature infants, severe fat malabsorption, abetalipoproteinemia</w:t>
      </w:r>
    </w:p>
    <w:p>
      <w:pPr>
        <w:pStyle w:val="ListParagraph"/>
        <w:numPr>
          <w:ilvl w:val="0"/>
          <w:numId w:val="1"/>
        </w:numPr>
        <w:spacing w:after="80"/>
      </w:pPr>
      <w:r>
        <w:rPr>
          <w:rFonts w:ascii="Arial" w:cs="Arial" w:eastAsia="Arial" w:hAnsi="Arial"/>
          <w:b w:val="false"/>
          <w:bCs w:val="false"/>
          <w:i w:val="false"/>
          <w:iCs w:val="false"/>
          <w:sz w:val="22"/>
          <w:szCs w:val="22"/>
        </w:rPr>
        <w:t xml:space="preserve">Hemolytic anemia (RBC membranes susceptible to oxidative damage without protective antioxidant)</w:t>
      </w:r>
    </w:p>
    <w:p>
      <w:pPr>
        <w:pStyle w:val="ListParagraph"/>
        <w:numPr>
          <w:ilvl w:val="0"/>
          <w:numId w:val="1"/>
        </w:numPr>
        <w:spacing w:after="80"/>
      </w:pPr>
      <w:r>
        <w:rPr>
          <w:rFonts w:ascii="Arial" w:cs="Arial" w:eastAsia="Arial" w:hAnsi="Arial"/>
          <w:b w:val="false"/>
          <w:bCs w:val="false"/>
          <w:i w:val="false"/>
          <w:iCs w:val="false"/>
          <w:sz w:val="22"/>
          <w:szCs w:val="22"/>
        </w:rPr>
        <w:t xml:space="preserve">Spinocerebellar ataxia (neuronal membrane damage from lipid peroxidation)</w:t>
      </w:r>
    </w:p>
    <w:p>
      <w:pPr>
        <w:pStyle w:val="ListParagraph"/>
        <w:numPr>
          <w:ilvl w:val="0"/>
          <w:numId w:val="1"/>
        </w:numPr>
        <w:spacing w:after="80"/>
      </w:pPr>
      <w:r>
        <w:rPr>
          <w:rFonts w:ascii="Arial" w:cs="Arial" w:eastAsia="Arial" w:hAnsi="Arial"/>
          <w:b w:val="false"/>
          <w:bCs w:val="false"/>
          <w:i w:val="false"/>
          <w:iCs w:val="false"/>
          <w:sz w:val="22"/>
          <w:szCs w:val="22"/>
        </w:rPr>
        <w:t xml:space="preserve">Areflexia (posterior column and peripheral nerve degeneration)</w:t>
      </w:r>
    </w:p>
    <w:p>
      <w:pPr>
        <w:pStyle w:val="ListParagraph"/>
        <w:numPr>
          <w:ilvl w:val="0"/>
          <w:numId w:val="1"/>
        </w:numPr>
        <w:spacing w:after="80"/>
      </w:pPr>
      <w:r>
        <w:rPr>
          <w:rFonts w:ascii="Arial" w:cs="Arial" w:eastAsia="Arial" w:hAnsi="Arial"/>
          <w:b w:val="false"/>
          <w:bCs w:val="false"/>
          <w:i w:val="false"/>
          <w:iCs w:val="false"/>
          <w:sz w:val="22"/>
          <w:szCs w:val="22"/>
        </w:rPr>
        <w:t xml:space="preserve">Retinopathy (in premature infants) (oxidative damage to retinal cells)</w:t>
      </w:r>
    </w:p>
    <w:p>
      <w:pPr>
        <w:pStyle w:val="Heading2"/>
        <w:spacing w:after="120" w:before="240"/>
      </w:pPr>
      <w:r>
        <w:rPr>
          <w:rFonts w:ascii="Arial" w:cs="Arial" w:eastAsia="Arial" w:hAnsi="Arial"/>
          <w:b/>
          <w:bCs/>
          <w:color w:val="2E75B6"/>
          <w:sz w:val="26"/>
          <w:szCs w:val="26"/>
        </w:rPr>
        <w:t xml:space="preserve">Toxicity</w:t>
      </w:r>
    </w:p>
    <w:p>
      <w:pPr>
        <w:pStyle w:val="ListParagraph"/>
        <w:numPr>
          <w:ilvl w:val="0"/>
          <w:numId w:val="1"/>
        </w:numPr>
        <w:spacing w:after="80"/>
      </w:pPr>
      <w:r>
        <w:rPr>
          <w:rFonts w:ascii="Arial" w:cs="Arial" w:eastAsia="Arial" w:hAnsi="Arial"/>
          <w:b w:val="false"/>
          <w:bCs w:val="false"/>
          <w:i w:val="false"/>
          <w:iCs w:val="false"/>
          <w:sz w:val="22"/>
          <w:szCs w:val="22"/>
        </w:rPr>
        <w:t xml:space="preserve">Relatively non-toxic even at high doses</w:t>
      </w:r>
    </w:p>
    <w:p>
      <w:pPr>
        <w:pStyle w:val="ListParagraph"/>
        <w:numPr>
          <w:ilvl w:val="0"/>
          <w:numId w:val="1"/>
        </w:numPr>
        <w:spacing w:after="80"/>
      </w:pPr>
      <w:r>
        <w:rPr>
          <w:rFonts w:ascii="Arial" w:cs="Arial" w:eastAsia="Arial" w:hAnsi="Arial"/>
          <w:b/>
          <w:bCs/>
          <w:i w:val="false"/>
          <w:iCs w:val="false"/>
          <w:sz w:val="22"/>
          <w:szCs w:val="22"/>
        </w:rPr>
        <w:t xml:space="preserve">High doses may inhibit vitamin K</w:t>
      </w:r>
      <w:r>
        <w:rPr>
          <w:rFonts w:ascii="Arial" w:cs="Arial" w:eastAsia="Arial" w:hAnsi="Arial"/>
          <w:b w:val="false"/>
          <w:bCs w:val="false"/>
          <w:i w:val="false"/>
          <w:iCs w:val="false"/>
          <w:sz w:val="22"/>
          <w:szCs w:val="22"/>
        </w:rPr>
        <w:t xml:space="preserve"> → impair clotting factor synthesis → ↑ bleeding risk (important drug/supplement interaction)</w:t>
      </w:r>
    </w:p>
    <w:p>
      <w:pPr>
        <w:pStyle w:val="Heading2"/>
        <w:spacing w:after="120" w:before="240"/>
      </w:pPr>
      <w:r>
        <w:rPr>
          <w:rFonts w:ascii="Arial" w:cs="Arial" w:eastAsia="Arial" w:hAnsi="Arial"/>
          <w:b/>
          <w:bCs/>
          <w:color w:val="2E75B6"/>
          <w:sz w:val="26"/>
          <w:szCs w:val="26"/>
        </w:rPr>
        <w:t xml:space="preserve">Therapeutic Uses</w:t>
      </w:r>
    </w:p>
    <w:p>
      <w:pPr>
        <w:pStyle w:val="ListParagraph"/>
        <w:numPr>
          <w:ilvl w:val="0"/>
          <w:numId w:val="1"/>
        </w:numPr>
        <w:spacing w:after="80"/>
      </w:pPr>
      <w:r>
        <w:rPr>
          <w:rFonts w:ascii="Arial" w:cs="Arial" w:eastAsia="Arial" w:hAnsi="Arial"/>
          <w:b w:val="false"/>
          <w:bCs w:val="false"/>
          <w:i w:val="false"/>
          <w:iCs w:val="false"/>
          <w:sz w:val="22"/>
          <w:szCs w:val="22"/>
        </w:rPr>
        <w:t xml:space="preserve">Treatment of deficiency-related </w:t>
      </w:r>
      <w:r>
        <w:rPr>
          <w:rFonts w:ascii="Arial" w:cs="Arial" w:eastAsia="Arial" w:hAnsi="Arial"/>
          <w:b/>
          <w:bCs/>
          <w:i w:val="false"/>
          <w:iCs w:val="false"/>
          <w:sz w:val="22"/>
          <w:szCs w:val="22"/>
        </w:rPr>
        <w:t xml:space="preserve">hemolytic anemia</w:t>
      </w:r>
    </w:p>
    <w:p>
      <w:pPr>
        <w:pStyle w:val="ListParagraph"/>
        <w:numPr>
          <w:ilvl w:val="0"/>
          <w:numId w:val="1"/>
        </w:numPr>
        <w:spacing w:after="80"/>
      </w:pPr>
      <w:r>
        <w:rPr>
          <w:rFonts w:ascii="Arial" w:cs="Arial" w:eastAsia="Arial" w:hAnsi="Arial"/>
          <w:b w:val="false"/>
          <w:bCs w:val="false"/>
          <w:i w:val="false"/>
          <w:iCs w:val="false"/>
          <w:sz w:val="22"/>
          <w:szCs w:val="22"/>
        </w:rPr>
        <w:t xml:space="preserve">Treatment of deficiency-related </w:t>
      </w:r>
      <w:r>
        <w:rPr>
          <w:rFonts w:ascii="Arial" w:cs="Arial" w:eastAsia="Arial" w:hAnsi="Arial"/>
          <w:b/>
          <w:bCs/>
          <w:i w:val="false"/>
          <w:iCs w:val="false"/>
          <w:sz w:val="22"/>
          <w:szCs w:val="22"/>
        </w:rPr>
        <w:t xml:space="preserve">neurologic dysfunction</w:t>
      </w:r>
      <w:r>
        <w:rPr>
          <w:rFonts w:ascii="Arial" w:cs="Arial" w:eastAsia="Arial" w:hAnsi="Arial"/>
          <w:b w:val="false"/>
          <w:bCs w:val="false"/>
          <w:i w:val="false"/>
          <w:iCs w:val="false"/>
          <w:sz w:val="22"/>
          <w:szCs w:val="22"/>
        </w:rPr>
        <w:t xml:space="preserve"> (peripheral neuropathy, ataxia)</w:t>
      </w:r>
    </w:p>
    <w:p>
      <w:pPr>
        <w:pStyle w:val="Heading1"/>
        <w:spacing w:after="120" w:before="240"/>
      </w:pPr>
      <w:r>
        <w:rPr>
          <w:rFonts w:ascii="Arial" w:cs="Arial" w:eastAsia="Arial" w:hAnsi="Arial"/>
          <w:b/>
          <w:bCs/>
          <w:color w:val="1F4E79"/>
          <w:sz w:val="30"/>
          <w:szCs w:val="30"/>
        </w:rPr>
        <w:t xml:space="preserve">Vitamin K</w:t>
      </w:r>
    </w:p>
    <w:p>
      <w:pPr>
        <w:pStyle w:val="Heading2"/>
        <w:spacing w:after="120" w:before="240"/>
      </w:pPr>
      <w:r>
        <w:rPr>
          <w:rFonts w:ascii="Arial" w:cs="Arial" w:eastAsia="Arial" w:hAnsi="Arial"/>
          <w:b/>
          <w:bCs/>
          <w:color w:val="2E75B6"/>
          <w:sz w:val="26"/>
          <w:szCs w:val="26"/>
        </w:rPr>
        <w:t xml:space="preserve">Forms &amp; Sources</w:t>
      </w:r>
    </w:p>
    <w:p>
      <w:pPr>
        <w:pStyle w:val="ListParagraph"/>
        <w:numPr>
          <w:ilvl w:val="0"/>
          <w:numId w:val="1"/>
        </w:numPr>
        <w:spacing w:after="80"/>
      </w:pPr>
      <w:r>
        <w:rPr>
          <w:rFonts w:ascii="Arial" w:cs="Arial" w:eastAsia="Arial" w:hAnsi="Arial"/>
          <w:b/>
          <w:bCs/>
          <w:i w:val="false"/>
          <w:iCs w:val="false"/>
          <w:sz w:val="22"/>
          <w:szCs w:val="22"/>
        </w:rPr>
        <w:t xml:space="preserve">K₁ (phylloquinone)</w:t>
      </w:r>
      <w:r>
        <w:rPr>
          <w:rFonts w:ascii="Arial" w:cs="Arial" w:eastAsia="Arial" w:hAnsi="Arial"/>
          <w:b w:val="false"/>
          <w:bCs w:val="false"/>
          <w:i w:val="false"/>
          <w:iCs w:val="false"/>
          <w:sz w:val="22"/>
          <w:szCs w:val="22"/>
        </w:rPr>
        <w:t xml:space="preserve">: green leafy vegetables (dietary)</w:t>
      </w:r>
    </w:p>
    <w:p>
      <w:pPr>
        <w:pStyle w:val="ListParagraph"/>
        <w:numPr>
          <w:ilvl w:val="0"/>
          <w:numId w:val="1"/>
        </w:numPr>
        <w:spacing w:after="80"/>
      </w:pPr>
      <w:r>
        <w:rPr>
          <w:rFonts w:ascii="Arial" w:cs="Arial" w:eastAsia="Arial" w:hAnsi="Arial"/>
          <w:b/>
          <w:bCs/>
          <w:i w:val="false"/>
          <w:iCs w:val="false"/>
          <w:sz w:val="22"/>
          <w:szCs w:val="22"/>
        </w:rPr>
        <w:t xml:space="preserve">K₂ (menaquinone)</w:t>
      </w:r>
      <w:r>
        <w:rPr>
          <w:rFonts w:ascii="Arial" w:cs="Arial" w:eastAsia="Arial" w:hAnsi="Arial"/>
          <w:b w:val="false"/>
          <w:bCs w:val="false"/>
          <w:i w:val="false"/>
          <w:iCs w:val="false"/>
          <w:sz w:val="22"/>
          <w:szCs w:val="22"/>
        </w:rPr>
        <w:t xml:space="preserve">: synthesized by gut flora (GI bacteria) — clinically important because antibiotic use can deplete this source</w:t>
      </w:r>
    </w:p>
    <w:p>
      <w:pPr>
        <w:pStyle w:val="ListParagraph"/>
        <w:numPr>
          <w:ilvl w:val="0"/>
          <w:numId w:val="1"/>
        </w:numPr>
        <w:spacing w:after="80"/>
      </w:pPr>
      <w:r>
        <w:rPr>
          <w:rFonts w:ascii="Arial" w:cs="Arial" w:eastAsia="Arial" w:hAnsi="Arial"/>
          <w:b/>
          <w:bCs/>
          <w:i w:val="false"/>
          <w:iCs w:val="false"/>
          <w:sz w:val="22"/>
          <w:szCs w:val="22"/>
        </w:rPr>
        <w:t xml:space="preserve">K₃ (menadione)</w:t>
      </w:r>
      <w:r>
        <w:rPr>
          <w:rFonts w:ascii="Arial" w:cs="Arial" w:eastAsia="Arial" w:hAnsi="Arial"/>
          <w:b w:val="false"/>
          <w:bCs w:val="false"/>
          <w:i w:val="false"/>
          <w:iCs w:val="false"/>
          <w:sz w:val="22"/>
          <w:szCs w:val="22"/>
        </w:rPr>
        <w:t xml:space="preserve">: synthetic form; can cause hemolytic anemia in newborns — NOT used clinically</w:t>
      </w:r>
    </w:p>
    <w:p>
      <w:pPr>
        <w:pStyle w:val="Heading2"/>
        <w:spacing w:after="120" w:before="240"/>
      </w:pPr>
      <w:r>
        <w:rPr>
          <w:rFonts w:ascii="Arial" w:cs="Arial" w:eastAsia="Arial" w:hAnsi="Arial"/>
          <w:b/>
          <w:bCs/>
          <w:color w:val="2E75B6"/>
          <w:sz w:val="26"/>
          <w:szCs w:val="26"/>
        </w:rPr>
        <w:t xml:space="preserve">Functions</w:t>
      </w:r>
    </w:p>
    <w:p>
      <w:pPr>
        <w:pStyle w:val="ListParagraph"/>
        <w:numPr>
          <w:ilvl w:val="0"/>
          <w:numId w:val="1"/>
        </w:numPr>
        <w:spacing w:after="80"/>
      </w:pPr>
      <w:r>
        <w:rPr>
          <w:rFonts w:ascii="Arial" w:cs="Arial" w:eastAsia="Arial" w:hAnsi="Arial"/>
          <w:b/>
          <w:bCs/>
          <w:i w:val="false"/>
          <w:iCs w:val="false"/>
          <w:sz w:val="22"/>
          <w:szCs w:val="22"/>
        </w:rPr>
        <w:t xml:space="preserve">Vitamin K is required for γ-carboxylation of glutamate residues</w:t>
      </w:r>
      <w:r>
        <w:rPr>
          <w:rFonts w:ascii="Arial" w:cs="Arial" w:eastAsia="Arial" w:hAnsi="Arial"/>
          <w:b w:val="false"/>
          <w:bCs w:val="false"/>
          <w:i w:val="false"/>
          <w:iCs w:val="false"/>
          <w:sz w:val="22"/>
          <w:szCs w:val="22"/>
        </w:rPr>
        <w:t xml:space="preserve"> on coagulation factors and anticoagulant proteins</w:t>
      </w:r>
    </w:p>
    <w:p>
      <w:pPr>
        <w:pStyle w:val="ListParagraph"/>
        <w:numPr>
          <w:ilvl w:val="0"/>
          <w:numId w:val="1"/>
        </w:numPr>
        <w:spacing w:after="80"/>
      </w:pPr>
      <w:r>
        <w:rPr>
          <w:rFonts w:ascii="Arial" w:cs="Arial" w:eastAsia="Arial" w:hAnsi="Arial"/>
          <w:b w:val="false"/>
          <w:bCs w:val="false"/>
          <w:i w:val="false"/>
          <w:iCs w:val="false"/>
          <w:sz w:val="22"/>
          <w:szCs w:val="22"/>
        </w:rPr>
        <w:t xml:space="preserve">Factors II (thrombin), VII, IX, X (pro-coagulant)</w:t>
      </w:r>
    </w:p>
    <w:p>
      <w:pPr>
        <w:pStyle w:val="ListParagraph"/>
        <w:numPr>
          <w:ilvl w:val="0"/>
          <w:numId w:val="1"/>
        </w:numPr>
        <w:spacing w:after="80"/>
      </w:pPr>
      <w:r>
        <w:rPr>
          <w:rFonts w:ascii="Arial" w:cs="Arial" w:eastAsia="Arial" w:hAnsi="Arial"/>
          <w:b w:val="false"/>
          <w:bCs w:val="false"/>
          <w:i w:val="false"/>
          <w:iCs w:val="false"/>
          <w:sz w:val="22"/>
          <w:szCs w:val="22"/>
        </w:rPr>
        <w:t xml:space="preserve">Protein C, protein S (anticoagulant; inhibit factors Va and VIIIa)</w:t>
      </w:r>
    </w:p>
    <w:p>
      <w:pPr>
        <w:pStyle w:val="ListParagraph"/>
        <w:numPr>
          <w:ilvl w:val="0"/>
          <w:numId w:val="1"/>
        </w:numPr>
        <w:spacing w:after="80"/>
      </w:pPr>
      <w:r>
        <w:rPr>
          <w:rFonts w:ascii="Arial" w:cs="Arial" w:eastAsia="Arial" w:hAnsi="Arial"/>
          <w:b w:val="false"/>
          <w:bCs w:val="false"/>
          <w:i w:val="false"/>
          <w:iCs w:val="false"/>
          <w:sz w:val="22"/>
          <w:szCs w:val="22"/>
        </w:rPr>
        <w:t xml:space="preserve">Osteocalcin (bone matrix protein; required for calcium binding in bone)</w:t>
      </w:r>
    </w:p>
    <w:p>
      <w:pPr>
        <w:pStyle w:val="ListParagraph"/>
        <w:numPr>
          <w:ilvl w:val="0"/>
          <w:numId w:val="1"/>
        </w:numPr>
        <w:spacing w:after="80"/>
      </w:pPr>
      <w:r>
        <w:rPr>
          <w:rFonts w:ascii="Arial" w:cs="Arial" w:eastAsia="Arial" w:hAnsi="Arial"/>
          <w:b/>
          <w:bCs/>
          <w:i w:val="false"/>
          <w:iCs w:val="false"/>
          <w:sz w:val="22"/>
          <w:szCs w:val="22"/>
        </w:rPr>
        <w:t xml:space="preserve">Warfarin mechanism</w:t>
      </w:r>
      <w:r>
        <w:rPr>
          <w:rFonts w:ascii="Arial" w:cs="Arial" w:eastAsia="Arial" w:hAnsi="Arial"/>
          <w:b w:val="false"/>
          <w:bCs w:val="false"/>
          <w:i w:val="false"/>
          <w:iCs w:val="false"/>
          <w:sz w:val="22"/>
          <w:szCs w:val="22"/>
        </w:rPr>
        <w:t xml:space="preserve">: inhibits vitamin K epoxide reductase → blocks recycling of vitamin K → ↓ γ-carboxylation of factors II, VII, IX, X, protein C and S</w:t>
      </w:r>
    </w:p>
    <w:p>
      <w:pPr>
        <w:pStyle w:val="Heading2"/>
        <w:spacing w:after="120" w:before="240"/>
      </w:pPr>
      <w:r>
        <w:rPr>
          <w:rFonts w:ascii="Arial" w:cs="Arial" w:eastAsia="Arial" w:hAnsi="Arial"/>
          <w:b/>
          <w:bCs/>
          <w:color w:val="2E75B6"/>
          <w:sz w:val="26"/>
          <w:szCs w:val="26"/>
        </w:rPr>
        <w:t xml:space="preserve">Deficiency</w:t>
      </w:r>
    </w:p>
    <w:p>
      <w:pPr>
        <w:pStyle w:val="ListParagraph"/>
        <w:numPr>
          <w:ilvl w:val="0"/>
          <w:numId w:val="1"/>
        </w:numPr>
        <w:spacing w:after="80"/>
      </w:pPr>
      <w:r>
        <w:rPr>
          <w:rFonts w:ascii="Arial" w:cs="Arial" w:eastAsia="Arial" w:hAnsi="Arial"/>
          <w:b/>
          <w:bCs/>
          <w:i w:val="false"/>
          <w:iCs w:val="false"/>
          <w:sz w:val="22"/>
          <w:szCs w:val="22"/>
        </w:rPr>
        <w:t xml:space="preserve">Vitamin K deficiency bleeding</w:t>
      </w:r>
      <w:r>
        <w:rPr>
          <w:rFonts w:ascii="Arial" w:cs="Arial" w:eastAsia="Arial" w:hAnsi="Arial"/>
          <w:b w:val="false"/>
          <w:bCs w:val="false"/>
          <w:i w:val="false"/>
          <w:iCs w:val="false"/>
          <w:sz w:val="22"/>
          <w:szCs w:val="22"/>
        </w:rPr>
        <w:t xml:space="preserve">: neonates have low vitamin K stores (poor placental transfer) and sterile gut (no bacteria to make K₂) → prophylactic vitamin K given at birth (IM)</w:t>
      </w:r>
    </w:p>
    <w:p>
      <w:pPr>
        <w:pStyle w:val="ListParagraph"/>
        <w:numPr>
          <w:ilvl w:val="0"/>
          <w:numId w:val="1"/>
        </w:numPr>
        <w:spacing w:after="80"/>
      </w:pPr>
      <w:r>
        <w:rPr>
          <w:rFonts w:ascii="Arial" w:cs="Arial" w:eastAsia="Arial" w:hAnsi="Arial"/>
          <w:b/>
          <w:bCs/>
          <w:i w:val="false"/>
          <w:iCs w:val="false"/>
          <w:sz w:val="22"/>
          <w:szCs w:val="22"/>
        </w:rPr>
        <w:t xml:space="preserve">Prolonged PT/INR</w:t>
      </w:r>
      <w:r>
        <w:rPr>
          <w:rFonts w:ascii="Arial" w:cs="Arial" w:eastAsia="Arial" w:hAnsi="Arial"/>
          <w:b w:val="false"/>
          <w:bCs w:val="false"/>
          <w:i w:val="false"/>
          <w:iCs w:val="false"/>
          <w:sz w:val="22"/>
          <w:szCs w:val="22"/>
        </w:rPr>
        <w:t xml:space="preserve"> is the hallmark lab finding (extrinsic pathway factor VII has shortest half-life → most sensitive to deficiency)</w:t>
      </w:r>
    </w:p>
    <w:p>
      <w:pPr>
        <w:pStyle w:val="ListParagraph"/>
        <w:numPr>
          <w:ilvl w:val="0"/>
          <w:numId w:val="1"/>
        </w:numPr>
        <w:spacing w:after="80"/>
      </w:pPr>
      <w:r>
        <w:rPr>
          <w:rFonts w:ascii="Arial" w:cs="Arial" w:eastAsia="Arial" w:hAnsi="Arial"/>
          <w:b w:val="false"/>
          <w:bCs w:val="false"/>
          <w:i w:val="false"/>
          <w:iCs w:val="false"/>
          <w:sz w:val="22"/>
          <w:szCs w:val="22"/>
        </w:rPr>
        <w:t xml:space="preserve">Associated with antibiotic therapy (kills gut flora)</w:t>
      </w:r>
    </w:p>
    <w:p>
      <w:pPr>
        <w:pStyle w:val="ListParagraph"/>
        <w:numPr>
          <w:ilvl w:val="0"/>
          <w:numId w:val="1"/>
        </w:numPr>
        <w:spacing w:after="80"/>
      </w:pPr>
      <w:r>
        <w:rPr>
          <w:rFonts w:ascii="Arial" w:cs="Arial" w:eastAsia="Arial" w:hAnsi="Arial"/>
          <w:b w:val="false"/>
          <w:bCs w:val="false"/>
          <w:i w:val="false"/>
          <w:iCs w:val="false"/>
          <w:sz w:val="22"/>
          <w:szCs w:val="22"/>
        </w:rPr>
        <w:t xml:space="preserve">Presents as easy bruising, mucosal bleeding, intracranial hemorrhage in neonates</w:t>
      </w:r>
    </w:p>
    <w:p>
      <w:pPr>
        <w:pStyle w:val="Heading2"/>
        <w:spacing w:after="120" w:before="240"/>
      </w:pPr>
      <w:r>
        <w:rPr>
          <w:rFonts w:ascii="Arial" w:cs="Arial" w:eastAsia="Arial" w:hAnsi="Arial"/>
          <w:b/>
          <w:bCs/>
          <w:color w:val="2E75B6"/>
          <w:sz w:val="26"/>
          <w:szCs w:val="26"/>
        </w:rPr>
        <w:t xml:space="preserve">Toxicity</w:t>
      </w:r>
    </w:p>
    <w:p>
      <w:pPr>
        <w:pStyle w:val="ListParagraph"/>
        <w:numPr>
          <w:ilvl w:val="0"/>
          <w:numId w:val="1"/>
        </w:numPr>
        <w:spacing w:after="80"/>
      </w:pPr>
      <w:r>
        <w:rPr>
          <w:rFonts w:ascii="Arial" w:cs="Arial" w:eastAsia="Arial" w:hAnsi="Arial"/>
          <w:b w:val="false"/>
          <w:bCs w:val="false"/>
          <w:i w:val="false"/>
          <w:iCs w:val="false"/>
          <w:sz w:val="22"/>
          <w:szCs w:val="22"/>
        </w:rPr>
        <w:t xml:space="preserve">Natural K₁ and K₂ are non-toxic</w:t>
      </w:r>
    </w:p>
    <w:p>
      <w:pPr>
        <w:pStyle w:val="ListParagraph"/>
        <w:numPr>
          <w:ilvl w:val="0"/>
          <w:numId w:val="1"/>
        </w:numPr>
        <w:spacing w:after="80"/>
      </w:pPr>
      <w:r>
        <w:rPr>
          <w:rFonts w:ascii="Arial" w:cs="Arial" w:eastAsia="Arial" w:hAnsi="Arial"/>
          <w:b w:val="false"/>
          <w:bCs w:val="false"/>
          <w:i w:val="false"/>
          <w:iCs w:val="false"/>
          <w:sz w:val="22"/>
          <w:szCs w:val="22"/>
        </w:rPr>
        <w:t xml:space="preserve">Vitamin K reverses warfarin effect (used clinically for reversal)</w:t>
      </w:r>
    </w:p>
    <w:p>
      <w:pPr>
        <w:pStyle w:val="Heading2"/>
        <w:spacing w:after="120" w:before="240"/>
      </w:pPr>
      <w:r>
        <w:rPr>
          <w:rFonts w:ascii="Arial" w:cs="Arial" w:eastAsia="Arial" w:hAnsi="Arial"/>
          <w:b/>
          <w:bCs/>
          <w:color w:val="2E75B6"/>
          <w:sz w:val="26"/>
          <w:szCs w:val="26"/>
        </w:rPr>
        <w:t xml:space="preserve">Therapeutic Uses</w:t>
      </w:r>
    </w:p>
    <w:p>
      <w:pPr>
        <w:pStyle w:val="ListParagraph"/>
        <w:numPr>
          <w:ilvl w:val="0"/>
          <w:numId w:val="1"/>
        </w:numPr>
        <w:spacing w:after="80"/>
      </w:pPr>
      <w:r>
        <w:rPr>
          <w:rFonts w:ascii="Arial" w:cs="Arial" w:eastAsia="Arial" w:hAnsi="Arial"/>
          <w:b w:val="false"/>
          <w:bCs w:val="false"/>
          <w:i w:val="false"/>
          <w:iCs w:val="false"/>
          <w:sz w:val="22"/>
          <w:szCs w:val="22"/>
        </w:rPr>
        <w:t xml:space="preserve">Reversal of </w:t>
      </w:r>
      <w:r>
        <w:rPr>
          <w:rFonts w:ascii="Arial" w:cs="Arial" w:eastAsia="Arial" w:hAnsi="Arial"/>
          <w:b/>
          <w:bCs/>
          <w:i w:val="false"/>
          <w:iCs w:val="false"/>
          <w:sz w:val="22"/>
          <w:szCs w:val="22"/>
        </w:rPr>
        <w:t xml:space="preserve">warfarin</w:t>
      </w:r>
      <w:r>
        <w:rPr>
          <w:rFonts w:ascii="Arial" w:cs="Arial" w:eastAsia="Arial" w:hAnsi="Arial"/>
          <w:b w:val="false"/>
          <w:bCs w:val="false"/>
          <w:i w:val="false"/>
          <w:iCs w:val="false"/>
          <w:sz w:val="22"/>
          <w:szCs w:val="22"/>
        </w:rPr>
        <w:t xml:space="preserve"> anticoagulation</w:t>
      </w:r>
    </w:p>
    <w:p>
      <w:pPr>
        <w:pStyle w:val="ListParagraph"/>
        <w:numPr>
          <w:ilvl w:val="0"/>
          <w:numId w:val="1"/>
        </w:numPr>
        <w:spacing w:after="80"/>
      </w:pPr>
      <w:r>
        <w:rPr>
          <w:rFonts w:ascii="Arial" w:cs="Arial" w:eastAsia="Arial" w:hAnsi="Arial"/>
          <w:b w:val="false"/>
          <w:bCs w:val="false"/>
          <w:i w:val="false"/>
          <w:iCs w:val="false"/>
          <w:sz w:val="22"/>
          <w:szCs w:val="22"/>
        </w:rPr>
        <w:t xml:space="preserve">Routine </w:t>
      </w:r>
      <w:r>
        <w:rPr>
          <w:rFonts w:ascii="Arial" w:cs="Arial" w:eastAsia="Arial" w:hAnsi="Arial"/>
          <w:b/>
          <w:bCs/>
          <w:i w:val="false"/>
          <w:iCs w:val="false"/>
          <w:sz w:val="22"/>
          <w:szCs w:val="22"/>
        </w:rPr>
        <w:t xml:space="preserve">newborn prophylaxis</w:t>
      </w:r>
      <w:r>
        <w:rPr>
          <w:rFonts w:ascii="Arial" w:cs="Arial" w:eastAsia="Arial" w:hAnsi="Arial"/>
          <w:b w:val="false"/>
          <w:bCs w:val="false"/>
          <w:i w:val="false"/>
          <w:iCs w:val="false"/>
          <w:sz w:val="22"/>
          <w:szCs w:val="22"/>
        </w:rPr>
        <w:t xml:space="preserve"> to prevent hemorrhagic disease of the newborn</w:t>
      </w:r>
    </w:p>
    <w:p>
      <w:pPr>
        <w:pStyle w:val="Heading1"/>
        <w:spacing w:after="120" w:before="240"/>
      </w:pPr>
      <w:r>
        <w:rPr>
          <w:rFonts w:ascii="Arial" w:cs="Arial" w:eastAsia="Arial" w:hAnsi="Arial"/>
          <w:b/>
          <w:bCs/>
          <w:color w:val="1F4E79"/>
          <w:sz w:val="30"/>
          <w:szCs w:val="30"/>
        </w:rPr>
        <w:t xml:space="preserve">Fat Malabsorption: Clinical Connections</w:t>
      </w:r>
    </w:p>
    <w:p>
      <w:pPr>
        <w:spacing w:after="160"/>
      </w:pPr>
      <w:r>
        <w:rPr>
          <w:rFonts w:ascii="Arial" w:cs="Arial" w:eastAsia="Arial" w:hAnsi="Arial"/>
          <w:b w:val="false"/>
          <w:bCs w:val="false"/>
          <w:i w:val="false"/>
          <w:iCs w:val="false"/>
          <w:sz w:val="22"/>
          <w:szCs w:val="22"/>
        </w:rPr>
        <w:t xml:space="preserve">Any condition that disrupts fat absorption will cause deficiency of all four fat-soluble vitamins (ADEK).</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gridSpan w:val="4"/>
            <w:tcBorders>
              <w:top w:val="single" w:color="000000" w:sz="4"/>
              <w:left w:val="single" w:color="000000" w:sz="4"/>
              <w:bottom w:val="single" w:color="000000" w:sz="4"/>
              <w:right w:val="single" w:color="000000" w:sz="4"/>
            </w:tcBorders>
          </w:tcPr>
          <w:p>
            <w:pPr>
              <w:jc w:val="center"/>
            </w:pPr>
            <w:r>
              <w:rPr>
                <w:rFonts w:ascii="Arial" w:cs="Arial" w:eastAsia="Arial" w:hAnsi="Arial"/>
                <w:b/>
                <w:bCs/>
                <w:sz w:val="20"/>
                <w:szCs w:val="20"/>
              </w:rPr>
              <w:t xml:space="preserve">Fat Malabsorption Syndromes</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Condition</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Mechanism</w:t>
            </w:r>
          </w:p>
        </w:tc>
        <w:tc>
          <w:tcPr>
            <w:tcW w:type="dxa" w:w="14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Vitamins Affected</w:t>
            </w:r>
          </w:p>
        </w:tc>
        <w:tc>
          <w:tcPr>
            <w:tcW w:type="dxa" w:w="336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Clinical Pearl</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Cystic Fibrosis</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Pancreatic exocrine insufficiency → ↓ lipase → fat malabsorption</w:t>
            </w:r>
          </w:p>
        </w:tc>
        <w:tc>
          <w:tcPr>
            <w:tcW w:type="dxa" w:w="14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A, D, E, K</w:t>
            </w:r>
          </w:p>
        </w:tc>
        <w:tc>
          <w:tcPr>
            <w:tcW w:type="dxa" w:w="33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Vitamin K deficiency → abnormal bleeding (↑ PT)</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Celiac Disease</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Villous atrophy → ↓ absorptive surface</w:t>
            </w:r>
          </w:p>
        </w:tc>
        <w:tc>
          <w:tcPr>
            <w:tcW w:type="dxa" w:w="14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A, D, E, K</w:t>
            </w:r>
          </w:p>
        </w:tc>
        <w:tc>
          <w:tcPr>
            <w:tcW w:type="dxa" w:w="33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Vitamin A deficiency → night blindness risk factor</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Crohn Disease</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Inflammation of terminal ileum → malabsorption</w:t>
            </w:r>
          </w:p>
        </w:tc>
        <w:tc>
          <w:tcPr>
            <w:tcW w:type="dxa" w:w="14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A, D, E, K + B₁₂</w:t>
            </w:r>
          </w:p>
        </w:tc>
        <w:tc>
          <w:tcPr>
            <w:tcW w:type="dxa" w:w="33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Also causes B₁₂ deficiency (terminal ileum is site of B₁₂ absorption)</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Cholestasis / Biliary Obstruction</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 bile salts → ↓ fat micelle formation</w:t>
            </w:r>
          </w:p>
        </w:tc>
        <w:tc>
          <w:tcPr>
            <w:tcW w:type="dxa" w:w="14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A, D, E, K</w:t>
            </w:r>
          </w:p>
        </w:tc>
        <w:tc>
          <w:tcPr>
            <w:tcW w:type="dxa" w:w="33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K deficiency → bleeding (tested with cholestyramine use)</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Abetalipoproteinemia</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No chylomicrons formed → cannot absorb fat-soluble vitamins</w:t>
            </w:r>
          </w:p>
        </w:tc>
        <w:tc>
          <w:tcPr>
            <w:tcW w:type="dxa" w:w="14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A, D, E (most severely affected), K</w:t>
            </w:r>
          </w:p>
        </w:tc>
        <w:tc>
          <w:tcPr>
            <w:tcW w:type="dxa" w:w="33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Vitamin E deficiency → spinocerebellar ataxia, acanthocytosis</w:t>
            </w:r>
          </w:p>
        </w:tc>
      </w:tr>
      <w:tr>
        <w:tc>
          <w:tcPr>
            <w:tcW w:type="dxa" w:w="1800"/>
            <w:tcBorders>
              <w:top w:val="single" w:color="000000" w:sz="4"/>
              <w:left w:val="single" w:color="000000" w:sz="4"/>
              <w:bottom w:val="single" w:color="000000" w:sz="4"/>
              <w:right w:val="single" w:color="000000" w:sz="4"/>
            </w:tcBorders>
            <w:shd w:fill="FFFFFF" w:color="auto" w:val="clear"/>
            <w:vAlign w:val="center"/>
          </w:tcPr>
          <w:p>
            <w:pPr>
              <w:jc w:val="center"/>
            </w:pPr>
            <w:r>
              <w:rPr>
                <w:rFonts w:ascii="Arial" w:cs="Arial" w:eastAsia="Arial" w:hAnsi="Arial"/>
                <w:b/>
                <w:bCs/>
                <w:i w:val="false"/>
                <w:iCs w:val="false"/>
                <w:sz w:val="20"/>
                <w:szCs w:val="20"/>
              </w:rPr>
              <w:t xml:space="preserve">Chronic Pancreatitis</w:t>
            </w:r>
          </w:p>
        </w:tc>
        <w:tc>
          <w:tcPr>
            <w:tcW w:type="dxa" w:w="28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 lipase secretion</w:t>
            </w:r>
          </w:p>
        </w:tc>
        <w:tc>
          <w:tcPr>
            <w:tcW w:type="dxa" w:w="140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A, D, E, K</w:t>
            </w:r>
          </w:p>
        </w:tc>
        <w:tc>
          <w:tcPr>
            <w:tcW w:type="dxa" w:w="3360"/>
            <w:tcBorders>
              <w:top w:val="single" w:color="000000" w:sz="4"/>
              <w:left w:val="single" w:color="000000" w:sz="4"/>
              <w:bottom w:val="single" w:color="000000" w:sz="4"/>
              <w:right w:val="single" w:color="000000" w:sz="4"/>
            </w:tcBorders>
            <w:shd w:fill="FFFFFF" w:color="auto" w:val="clear"/>
            <w:vAlign w:val="center"/>
          </w:tcPr>
          <w:p>
            <w:pPr>
              <w:jc w:val="left"/>
            </w:pPr>
            <w:r>
              <w:rPr>
                <w:rFonts w:ascii="Arial" w:cs="Arial" w:eastAsia="Arial" w:hAnsi="Arial"/>
                <w:b w:val="false"/>
                <w:bCs w:val="false"/>
                <w:i w:val="false"/>
                <w:iCs w:val="false"/>
                <w:sz w:val="20"/>
                <w:szCs w:val="20"/>
              </w:rPr>
              <w:t xml:space="preserve">Vitamin A deficiency is a specific risk factor</w:t>
            </w:r>
          </w:p>
        </w:tc>
      </w:tr>
    </w:tbl>
    <w:p>
      <w:pPr>
        <w:pStyle w:val="Heading1"/>
        <w:spacing w:after="120" w:before="240"/>
      </w:pPr>
      <w:r>
        <w:rPr>
          <w:rFonts w:ascii="Arial" w:cs="Arial" w:eastAsia="Arial" w:hAnsi="Arial"/>
          <w:b/>
          <w:bCs/>
          <w:color w:val="1F4E79"/>
          <w:sz w:val="30"/>
          <w:szCs w:val="30"/>
        </w:rPr>
        <w:t xml:space="preserve">Key Takeaways</w:t>
      </w:r>
    </w:p>
    <w:p>
      <w:pPr>
        <w:pStyle w:val="ListParagraph"/>
        <w:numPr>
          <w:ilvl w:val="0"/>
          <w:numId w:val="1"/>
        </w:numPr>
        <w:spacing w:after="80"/>
      </w:pPr>
      <w:r>
        <w:rPr>
          <w:rFonts w:ascii="Arial" w:cs="Arial" w:eastAsia="Arial" w:hAnsi="Arial"/>
          <w:b w:val="false"/>
          <w:bCs w:val="false"/>
          <w:i w:val="false"/>
          <w:iCs w:val="false"/>
          <w:sz w:val="22"/>
          <w:szCs w:val="22"/>
        </w:rPr>
        <w:t xml:space="preserve">Fat-soluble vitamins (A, D, E, K) are absorbed with fat; deficiency = think malabsorption.</w:t>
      </w:r>
    </w:p>
    <w:p>
      <w:pPr>
        <w:pStyle w:val="ListParagraph"/>
        <w:numPr>
          <w:ilvl w:val="0"/>
          <w:numId w:val="1"/>
        </w:numPr>
        <w:spacing w:after="80"/>
      </w:pPr>
      <w:r>
        <w:rPr>
          <w:rFonts w:ascii="Arial" w:cs="Arial" w:eastAsia="Arial" w:hAnsi="Arial"/>
          <w:b/>
          <w:bCs/>
          <w:i w:val="false"/>
          <w:iCs w:val="false"/>
          <w:sz w:val="22"/>
          <w:szCs w:val="22"/>
        </w:rPr>
        <w:t xml:space="preserve">Vitamin A</w:t>
      </w:r>
      <w:r>
        <w:rPr>
          <w:rFonts w:ascii="Arial" w:cs="Arial" w:eastAsia="Arial" w:hAnsi="Arial"/>
          <w:b w:val="false"/>
          <w:bCs w:val="false"/>
          <w:i w:val="false"/>
          <w:iCs w:val="false"/>
          <w:sz w:val="22"/>
          <w:szCs w:val="22"/>
        </w:rPr>
        <w:t xml:space="preserve">: vision (retinal) + epithelial integrity + gene regulation (retinoic acid). Deficiency = night blindness. Toxicity = teratogen + ↑ ICP</w:t>
      </w:r>
    </w:p>
    <w:p>
      <w:pPr>
        <w:pStyle w:val="ListParagraph"/>
        <w:numPr>
          <w:ilvl w:val="0"/>
          <w:numId w:val="1"/>
        </w:numPr>
        <w:spacing w:after="80"/>
      </w:pPr>
      <w:r>
        <w:rPr>
          <w:rFonts w:ascii="Arial" w:cs="Arial" w:eastAsia="Arial" w:hAnsi="Arial"/>
          <w:b/>
          <w:bCs/>
          <w:i w:val="false"/>
          <w:iCs w:val="false"/>
          <w:sz w:val="22"/>
          <w:szCs w:val="22"/>
        </w:rPr>
        <w:t xml:space="preserve">Vitamin D</w:t>
      </w:r>
      <w:r>
        <w:rPr>
          <w:rFonts w:ascii="Arial" w:cs="Arial" w:eastAsia="Arial" w:hAnsi="Arial"/>
          <w:b w:val="false"/>
          <w:bCs w:val="false"/>
          <w:i w:val="false"/>
          <w:iCs w:val="false"/>
          <w:sz w:val="22"/>
          <w:szCs w:val="22"/>
        </w:rPr>
        <w:t xml:space="preserve">: activated in liver (25-OH) then kidney (1,25-(OH)₂ = calcitriol). Deficiency = rickets/osteomalacia + secondary hyperparathyroidism. Toxicity = hypercalcemia</w:t>
      </w:r>
    </w:p>
    <w:p>
      <w:pPr>
        <w:pStyle w:val="ListParagraph"/>
        <w:numPr>
          <w:ilvl w:val="0"/>
          <w:numId w:val="1"/>
        </w:numPr>
        <w:spacing w:after="80"/>
      </w:pPr>
      <w:r>
        <w:rPr>
          <w:rFonts w:ascii="Arial" w:cs="Arial" w:eastAsia="Arial" w:hAnsi="Arial"/>
          <w:b/>
          <w:bCs/>
          <w:i w:val="false"/>
          <w:iCs w:val="false"/>
          <w:sz w:val="22"/>
          <w:szCs w:val="22"/>
        </w:rPr>
        <w:t xml:space="preserve">Vitamin E</w:t>
      </w:r>
      <w:r>
        <w:rPr>
          <w:rFonts w:ascii="Arial" w:cs="Arial" w:eastAsia="Arial" w:hAnsi="Arial"/>
          <w:b w:val="false"/>
          <w:bCs w:val="false"/>
          <w:i w:val="false"/>
          <w:iCs w:val="false"/>
          <w:sz w:val="22"/>
          <w:szCs w:val="22"/>
        </w:rPr>
        <w:t xml:space="preserve">: antioxidant protecting cell membranes. Deficiency (rare) = hemolytic anemia + neurodegeneration</w:t>
      </w:r>
    </w:p>
    <w:p>
      <w:pPr>
        <w:pStyle w:val="ListParagraph"/>
        <w:numPr>
          <w:ilvl w:val="0"/>
          <w:numId w:val="1"/>
        </w:numPr>
        <w:spacing w:after="80"/>
      </w:pPr>
      <w:r>
        <w:rPr>
          <w:rFonts w:ascii="Arial" w:cs="Arial" w:eastAsia="Arial" w:hAnsi="Arial"/>
          <w:b/>
          <w:bCs/>
          <w:i w:val="false"/>
          <w:iCs w:val="false"/>
          <w:sz w:val="22"/>
          <w:szCs w:val="22"/>
        </w:rPr>
        <w:t xml:space="preserve">Vitamin K</w:t>
      </w:r>
      <w:r>
        <w:rPr>
          <w:rFonts w:ascii="Arial" w:cs="Arial" w:eastAsia="Arial" w:hAnsi="Arial"/>
          <w:b w:val="false"/>
          <w:bCs w:val="false"/>
          <w:i w:val="false"/>
          <w:iCs w:val="false"/>
          <w:sz w:val="22"/>
          <w:szCs w:val="22"/>
        </w:rPr>
        <w:t xml:space="preserve">: γ-carboxylation of factors II, VII, IX, X + protein C/S. Deficiency = ↑ PT/INR + bleeding. Remember: warfarin blocks K recycling</w:t>
      </w:r>
    </w:p>
    <w:p>
      <w:pPr>
        <w:pStyle w:val="ListParagraph"/>
        <w:numPr>
          <w:ilvl w:val="0"/>
          <w:numId w:val="1"/>
        </w:numPr>
        <w:spacing w:after="80"/>
      </w:pPr>
      <w:r>
        <w:rPr>
          <w:rFonts w:ascii="Arial" w:cs="Arial" w:eastAsia="Arial" w:hAnsi="Arial"/>
          <w:b w:val="false"/>
          <w:bCs w:val="false"/>
          <w:i w:val="false"/>
          <w:iCs w:val="false"/>
          <w:sz w:val="22"/>
          <w:szCs w:val="22"/>
        </w:rPr>
        <w:t xml:space="preserve">When a test question describes a patient with fat malabsorption (steatorrhea, cystic fibrosis, cholestasis, Crohn disease, celiac disease, bariatric surgery), immediately consider deficiency of all four fat-soluble vitamins. The specific clinical presentation, night blindness (A), bone deformity (D), hemolytic anemia (E), or bleeding (K), will direct you to the correct vitamin. Conversely, whenever you see hypercalcemia in a patient taking supplements, always consider vitamin D toxicity</w:t>
      </w:r>
    </w:p>
    <w:p>
      <w:pPr>
        <w:pStyle w:val="Heading1"/>
        <w:spacing w:after="120" w:before="240"/>
      </w:pPr>
      <w:r>
        <w:rPr>
          <w:rFonts w:ascii="Arial" w:cs="Arial" w:eastAsia="Arial" w:hAnsi="Arial"/>
          <w:b/>
          <w:bCs/>
          <w:color w:val="1F4E79"/>
          <w:sz w:val="30"/>
          <w:szCs w:val="30"/>
        </w:rPr>
        <w:t xml:space="preserve">Teaching Cases</w:t>
      </w:r>
    </w:p>
    <w:p>
      <w:pPr>
        <w:pStyle w:val="Heading3"/>
        <w:spacing w:after="100" w:before="200"/>
      </w:pPr>
      <w:r>
        <w:rPr>
          <w:rFonts w:ascii="Arial" w:cs="Arial" w:eastAsia="Arial" w:hAnsi="Arial"/>
          <w:b/>
          <w:bCs/>
          <w:color w:val="404040"/>
          <w:sz w:val="24"/>
          <w:szCs w:val="24"/>
        </w:rPr>
        <w:t xml:space="preserve">Case 1: Vitamin A Deficiency</w:t>
      </w:r>
    </w:p>
    <w:p>
      <w:pPr>
        <w:spacing w:after="160"/>
      </w:pPr>
      <w:r>
        <w:rPr>
          <w:rFonts w:ascii="Arial" w:cs="Arial" w:eastAsia="Arial" w:hAnsi="Arial"/>
          <w:b w:val="false"/>
          <w:bCs w:val="false"/>
          <w:i w:val="false"/>
          <w:iCs w:val="false"/>
          <w:sz w:val="22"/>
          <w:szCs w:val="22"/>
        </w:rPr>
        <w:t xml:space="preserve">A 40-year-old woman with </w:t>
      </w:r>
      <w:r>
        <w:rPr>
          <w:rFonts w:ascii="Arial" w:cs="Arial" w:eastAsia="Arial" w:hAnsi="Arial"/>
          <w:b/>
          <w:bCs/>
          <w:i w:val="false"/>
          <w:iCs w:val="false"/>
          <w:sz w:val="22"/>
          <w:szCs w:val="22"/>
        </w:rPr>
        <w:t xml:space="preserve">celiac disease</w:t>
      </w:r>
      <w:r>
        <w:rPr>
          <w:rFonts w:ascii="Arial" w:cs="Arial" w:eastAsia="Arial" w:hAnsi="Arial"/>
          <w:b w:val="false"/>
          <w:bCs w:val="false"/>
          <w:i w:val="false"/>
          <w:iCs w:val="false"/>
          <w:sz w:val="22"/>
          <w:szCs w:val="22"/>
        </w:rPr>
        <w:t xml:space="preserve"> presents with worsening vision at night, especially while driving. Exam shows foamy plaques on the conjunctiva. Diagnosis: </w:t>
      </w:r>
      <w:r>
        <w:rPr>
          <w:rFonts w:ascii="Arial" w:cs="Arial" w:eastAsia="Arial" w:hAnsi="Arial"/>
          <w:b/>
          <w:bCs/>
          <w:i w:val="false"/>
          <w:iCs w:val="false"/>
          <w:sz w:val="22"/>
          <w:szCs w:val="22"/>
        </w:rPr>
        <w:t xml:space="preserve">Vitamin A deficiency</w:t>
      </w:r>
      <w:r>
        <w:rPr>
          <w:rFonts w:ascii="Arial" w:cs="Arial" w:eastAsia="Arial" w:hAnsi="Arial"/>
          <w:b w:val="false"/>
          <w:bCs w:val="false"/>
          <w:i w:val="false"/>
          <w:iCs w:val="false"/>
          <w:sz w:val="22"/>
          <w:szCs w:val="22"/>
        </w:rPr>
        <w:t xml:space="preserve">, refer for dietary assessment and supplementation. </w:t>
      </w:r>
      <w:r>
        <w:rPr>
          <w:rFonts w:ascii="Arial" w:cs="Arial" w:eastAsia="Arial" w:hAnsi="Arial"/>
          <w:b/>
          <w:bCs/>
          <w:i w:val="false"/>
          <w:iCs w:val="false"/>
          <w:sz w:val="22"/>
          <w:szCs w:val="22"/>
        </w:rPr>
        <w:t xml:space="preserve">Key teaching:</w:t>
      </w:r>
      <w:r>
        <w:rPr>
          <w:rFonts w:ascii="Arial" w:cs="Arial" w:eastAsia="Arial" w:hAnsi="Arial"/>
          <w:b w:val="false"/>
          <w:bCs w:val="false"/>
          <w:i w:val="false"/>
          <w:iCs w:val="false"/>
          <w:sz w:val="22"/>
          <w:szCs w:val="22"/>
        </w:rPr>
        <w:t xml:space="preserve"> celiac disease leads to fat malabsorption, which lowers vitamin A, which impairs rhodopsin production.</w:t>
      </w:r>
    </w:p>
    <w:p>
      <w:pPr>
        <w:pStyle w:val="Heading3"/>
        <w:spacing w:after="100" w:before="200"/>
      </w:pPr>
      <w:r>
        <w:rPr>
          <w:rFonts w:ascii="Arial" w:cs="Arial" w:eastAsia="Arial" w:hAnsi="Arial"/>
          <w:b/>
          <w:bCs/>
          <w:color w:val="404040"/>
          <w:sz w:val="24"/>
          <w:szCs w:val="24"/>
        </w:rPr>
        <w:t xml:space="preserve">Case 2: Vitamin D Deficiency / Rickets</w:t>
      </w:r>
    </w:p>
    <w:p>
      <w:pPr>
        <w:spacing w:after="160"/>
      </w:pPr>
      <w:r>
        <w:rPr>
          <w:rFonts w:ascii="Arial" w:cs="Arial" w:eastAsia="Arial" w:hAnsi="Arial"/>
          <w:b w:val="false"/>
          <w:bCs w:val="false"/>
          <w:i w:val="false"/>
          <w:iCs w:val="false"/>
          <w:sz w:val="22"/>
          <w:szCs w:val="22"/>
        </w:rPr>
        <w:t xml:space="preserve">An 18-month-old exclusively breastfed boy presents with bowed legs and swelling of the wrists. X-ray shows metaphyseal cupping. Labs: ↓ 25-(OH)D₃, ↑ PTH, ↓ phosphate, ↑ ALP. Diagnosis: </w:t>
      </w:r>
      <w:r>
        <w:rPr>
          <w:rFonts w:ascii="Arial" w:cs="Arial" w:eastAsia="Arial" w:hAnsi="Arial"/>
          <w:b/>
          <w:bCs/>
          <w:i w:val="false"/>
          <w:iCs w:val="false"/>
          <w:sz w:val="22"/>
          <w:szCs w:val="22"/>
        </w:rPr>
        <w:t xml:space="preserve">Nutritional rickets</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Key teaching:</w:t>
      </w:r>
      <w:r>
        <w:rPr>
          <w:rFonts w:ascii="Arial" w:cs="Arial" w:eastAsia="Arial" w:hAnsi="Arial"/>
          <w:b w:val="false"/>
          <w:bCs w:val="false"/>
          <w:i w:val="false"/>
          <w:iCs w:val="false"/>
          <w:sz w:val="22"/>
          <w:szCs w:val="22"/>
        </w:rPr>
        <w:t xml:space="preserve"> breast milk is low in vitamin D; supplement with oral vitamin D beginning in the first few days of life.</w:t>
      </w:r>
    </w:p>
    <w:p>
      <w:pPr>
        <w:pStyle w:val="Heading3"/>
        <w:spacing w:after="100" w:before="200"/>
      </w:pPr>
      <w:r>
        <w:rPr>
          <w:rFonts w:ascii="Arial" w:cs="Arial" w:eastAsia="Arial" w:hAnsi="Arial"/>
          <w:b/>
          <w:bCs/>
          <w:color w:val="404040"/>
          <w:sz w:val="24"/>
          <w:szCs w:val="24"/>
        </w:rPr>
        <w:t xml:space="preserve">Case 3: Vitamin D Toxicity</w:t>
      </w:r>
    </w:p>
    <w:p>
      <w:pPr>
        <w:spacing w:after="160"/>
      </w:pPr>
      <w:r>
        <w:rPr>
          <w:rFonts w:ascii="Arial" w:cs="Arial" w:eastAsia="Arial" w:hAnsi="Arial"/>
          <w:b w:val="false"/>
          <w:bCs w:val="false"/>
          <w:i w:val="false"/>
          <w:iCs w:val="false"/>
          <w:sz w:val="22"/>
          <w:szCs w:val="22"/>
        </w:rPr>
        <w:t xml:space="preserve">A 43-year-old woman on multiple supplements presents with confusion, abdominal pain, constipation, and nephrolithiasis. Serum Ca²⁺ is elevated. Diagnosis: </w:t>
      </w:r>
      <w:r>
        <w:rPr>
          <w:rFonts w:ascii="Arial" w:cs="Arial" w:eastAsia="Arial" w:hAnsi="Arial"/>
          <w:b/>
          <w:bCs/>
          <w:i w:val="false"/>
          <w:iCs w:val="false"/>
          <w:sz w:val="22"/>
          <w:szCs w:val="22"/>
        </w:rPr>
        <w:t xml:space="preserve">Vitamin D toxicity</w:t>
      </w:r>
      <w:r>
        <w:rPr>
          <w:rFonts w:ascii="Arial" w:cs="Arial" w:eastAsia="Arial" w:hAnsi="Arial"/>
          <w:b w:val="false"/>
          <w:bCs w:val="false"/>
          <w:i w:val="false"/>
          <w:iCs w:val="false"/>
          <w:sz w:val="22"/>
          <w:szCs w:val="22"/>
        </w:rPr>
        <w:t xml:space="preserve">, hypercalcemia. </w:t>
      </w:r>
      <w:r>
        <w:rPr>
          <w:rFonts w:ascii="Arial" w:cs="Arial" w:eastAsia="Arial" w:hAnsi="Arial"/>
          <w:b/>
          <w:bCs/>
          <w:i w:val="false"/>
          <w:iCs w:val="false"/>
          <w:sz w:val="22"/>
          <w:szCs w:val="22"/>
        </w:rPr>
        <w:t xml:space="preserve">Key teaching:</w:t>
      </w:r>
      <w:r>
        <w:rPr>
          <w:rFonts w:ascii="Arial" w:cs="Arial" w:eastAsia="Arial" w:hAnsi="Arial"/>
          <w:b w:val="false"/>
          <w:bCs w:val="false"/>
          <w:i w:val="false"/>
          <w:iCs w:val="false"/>
          <w:sz w:val="22"/>
          <w:szCs w:val="22"/>
        </w:rPr>
        <w:t xml:space="preserve"> treatment is to stop supplements, restrict dietary calcium, give IV fluids, ± glucocorticoids or bisphosphonates.</w:t>
      </w:r>
    </w:p>
    <w:p>
      <w:pPr>
        <w:pStyle w:val="Heading3"/>
        <w:spacing w:after="100" w:before="200"/>
      </w:pPr>
      <w:r>
        <w:rPr>
          <w:rFonts w:ascii="Arial" w:cs="Arial" w:eastAsia="Arial" w:hAnsi="Arial"/>
          <w:b/>
          <w:bCs/>
          <w:color w:val="404040"/>
          <w:sz w:val="24"/>
          <w:szCs w:val="24"/>
        </w:rPr>
        <w:t xml:space="preserve">Case 4: Vitamin K Deficiency (Cystic Fibrosis)</w:t>
      </w:r>
    </w:p>
    <w:p>
      <w:pPr>
        <w:spacing w:after="160"/>
      </w:pPr>
      <w:r>
        <w:rPr>
          <w:rFonts w:ascii="Arial" w:cs="Arial" w:eastAsia="Arial" w:hAnsi="Arial"/>
          <w:b w:val="false"/>
          <w:bCs w:val="false"/>
          <w:i w:val="false"/>
          <w:iCs w:val="false"/>
          <w:sz w:val="22"/>
          <w:szCs w:val="22"/>
        </w:rPr>
        <w:t xml:space="preserve">A 5-month-old infant with cystic fibrosis has frequent bulky stools and is brought in for failure to thrive. The mother notes easy bruising. Labs show ↑ PT/INR. Diagnosis: vitamin K deficiency from fat malabsorption. </w:t>
      </w:r>
      <w:r>
        <w:rPr>
          <w:rFonts w:ascii="Arial" w:cs="Arial" w:eastAsia="Arial" w:hAnsi="Arial"/>
          <w:b/>
          <w:bCs/>
          <w:i w:val="false"/>
          <w:iCs w:val="false"/>
          <w:sz w:val="22"/>
          <w:szCs w:val="22"/>
        </w:rPr>
        <w:t xml:space="preserve">Key teaching:</w:t>
      </w:r>
      <w:r>
        <w:rPr>
          <w:rFonts w:ascii="Arial" w:cs="Arial" w:eastAsia="Arial" w:hAnsi="Arial"/>
          <w:b w:val="false"/>
          <w:bCs w:val="false"/>
          <w:i w:val="false"/>
          <w:iCs w:val="false"/>
          <w:sz w:val="22"/>
          <w:szCs w:val="22"/>
        </w:rPr>
        <w:t xml:space="preserve"> fat malabsorption leads to vitamin K deficiency, which reduces γ-carboxylation of clotting factors II, VII, IX, X, producing a bleeding diathesis.</w:t>
      </w:r>
    </w:p>
    <w:p>
      <w:pPr>
        <w:pStyle w:val="Heading1"/>
        <w:spacing w:after="120" w:before="240"/>
      </w:pPr>
      <w:r>
        <w:rPr>
          <w:rFonts w:ascii="Arial" w:cs="Arial" w:eastAsia="Arial" w:hAnsi="Arial"/>
          <w:b/>
          <w:bCs/>
          <w:color w:val="1F4E79"/>
          <w:sz w:val="30"/>
          <w:szCs w:val="30"/>
        </w:rPr>
        <w:t xml:space="preserve">References</w:t>
      </w:r>
    </w:p>
    <w:p>
      <w:pPr>
        <w:spacing w:after="0"/>
      </w:pPr>
      <w:hyperlink w:history="1" r:id="rIdxi0gjbzv7zowevwuhvmlw">
        <w:r>
          <w:rPr>
            <w:rStyle w:val="Hyperlink"/>
            <w:rFonts w:ascii="Arial" w:cs="Arial" w:eastAsia="Arial" w:hAnsi="Arial"/>
            <w:color w:val="0563C1"/>
            <w:sz w:val="22"/>
            <w:szCs w:val="22"/>
            <w:u w:val="single"/>
          </w:rPr>
          <w:t xml:space="preserve">Biochemistry, Fat Soluble Vitamins: StatPearls</w:t>
        </w:r>
      </w:hyperlink>
    </w:p>
    <w:p>
      <w:pPr>
        <w:spacing w:after="0"/>
      </w:pPr>
      <w:hyperlink w:history="1" r:id="rIdtdk8oqyhoduoipsvisfon">
        <w:r>
          <w:rPr>
            <w:rStyle w:val="Hyperlink"/>
            <w:rFonts w:ascii="Arial" w:cs="Arial" w:eastAsia="Arial" w:hAnsi="Arial"/>
            <w:color w:val="0563C1"/>
            <w:sz w:val="22"/>
            <w:szCs w:val="22"/>
            <w:u w:val="single"/>
          </w:rPr>
          <w:t xml:space="preserve">Andrès E, Lorenzo-Villalba N, Terrade JE, Méndez-Bailon M. Fat-Soluble Vitamins A, D, E, and K: Review of the Literature and Points of Interest for the Clinician. J Clin Med. 2024;13(13):3641. doi:10.3390/jcm13133641</w:t>
        </w:r>
      </w:hyperlink>
    </w:p>
    <w:p>
      <w:pPr>
        <w:spacing w:after="0"/>
      </w:pPr>
      <w:hyperlink w:history="1" r:id="rIdu8buoafenlkarnkuc5vym">
        <w:r>
          <w:rPr>
            <w:rStyle w:val="Hyperlink"/>
            <w:rFonts w:ascii="Arial" w:cs="Arial" w:eastAsia="Arial" w:hAnsi="Arial"/>
            <w:color w:val="0563C1"/>
            <w:sz w:val="22"/>
            <w:szCs w:val="22"/>
            <w:u w:val="single"/>
          </w:rPr>
          <w:t xml:space="preserve">Giustina A, Bilezikian JP, Adler RA, et al. Consensus Statement on Vitamin D Status Assessment and Supplementation: Whys, Whens, and Hows. Endocr Rev. 2024;45(5):625-654. doi:10.1210/endrev/bnae009</w:t>
        </w:r>
      </w:hyperlink>
    </w:p>
    <w:p>
      <w:pPr>
        <w:spacing w:after="0"/>
      </w:pPr>
      <w:hyperlink w:history="1" r:id="rIdb2o2ddzs_mthw9asj49ca">
        <w:r>
          <w:rPr>
            <w:rStyle w:val="Hyperlink"/>
            <w:rFonts w:ascii="Arial" w:cs="Arial" w:eastAsia="Arial" w:hAnsi="Arial"/>
            <w:color w:val="0563C1"/>
            <w:sz w:val="22"/>
            <w:szCs w:val="22"/>
            <w:u w:val="single"/>
          </w:rPr>
          <w:t xml:space="preserve">Mladěnka P, Macáková K, Kujovská Krčmová L, et al. Vitamin K - sources, physiological role, kinetics, deficiency, detection, therapeutic use, and toxicity. Nutr Rev. 2022;80(4):677-698. doi:10.1093/nutrit/nuab061</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TrueLearn | Biochemistry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TrueLearn Medical Library | Fat-Soluble Vitamins (A, D, E, 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i0gjbzv7zowevwuhvmlw" Type="http://schemas.openxmlformats.org/officeDocument/2006/relationships/hyperlink" Target="https://www.ncbi.nlm.nih.gov/books/NBK534869/" TargetMode="External"/><Relationship Id="rIdtdk8oqyhoduoipsvisfon" Type="http://schemas.openxmlformats.org/officeDocument/2006/relationships/hyperlink" Target="https://www.mdpi.com/2077-0383/13/13/3641" TargetMode="External"/><Relationship Id="rIdu8buoafenlkarnkuc5vym" Type="http://schemas.openxmlformats.org/officeDocument/2006/relationships/hyperlink" Target="https://academic.oup.com/edrv/article/45/5/625/7659127" TargetMode="External"/><Relationship Id="rIdb2o2ddzs_mthw9asj49ca" Type="http://schemas.openxmlformats.org/officeDocument/2006/relationships/hyperlink" Target="https://academic.oup.com/nutritionreviews/article/80/4/677/6362591"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2026-09-09T20:19:15.660Z</dcterms:created>
  <dcterms:modified xsi:type="dcterms:W3CDTF">2026-09-09T20:19:15.660Z</dcterms:modified>
</cp:coreProperties>
</file>

<file path=docProps/custom.xml><?xml version="1.0" encoding="utf-8"?>
<Properties xmlns="http://schemas.openxmlformats.org/officeDocument/2006/custom-properties" xmlns:vt="http://schemas.openxmlformats.org/officeDocument/2006/docPropsVTypes"/>
</file>