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4E79"/>
          <w:sz w:val="30"/>
          <w:szCs w:val="30"/>
        </w:rPr>
        <w:t xml:space="preserve">Minerals and Trace Elements</w:t>
      </w:r>
    </w:p>
    <w:p>
      <w:pPr>
        <w:pStyle w:val="Heading1"/>
        <w:spacing w:after="120" w:before="240"/>
      </w:pPr>
      <w:r>
        <w:rPr>
          <w:rFonts w:ascii="Arial" w:cs="Arial" w:eastAsia="Arial" w:hAnsi="Arial"/>
          <w:b/>
          <w:bCs/>
          <w:color w:val="1F4E79"/>
          <w:sz w:val="30"/>
          <w:szCs w:val="30"/>
        </w:rPr>
        <w:t xml:space="preserve">Summary</w:t>
      </w:r>
    </w:p>
    <w:p>
      <w:pPr>
        <w:spacing w:after="160"/>
      </w:pPr>
      <w:r>
        <w:rPr>
          <w:rFonts w:ascii="Arial" w:cs="Arial" w:eastAsia="Arial" w:hAnsi="Arial"/>
          <w:b w:val="false"/>
          <w:bCs w:val="false"/>
          <w:i w:val="false"/>
          <w:iCs w:val="false"/>
          <w:sz w:val="22"/>
          <w:szCs w:val="22"/>
        </w:rPr>
        <w:t xml:space="preserve">Minerals and trace elements are inorganic micronutrients required for enzymatic reactions, oxygen transport, antioxidant defense, connective tissue integrity, and thyroid hormone synthesis. Board-relevant topics include iron deficiency and hereditary hemochromatosis, copper disorders such as Menkes and Wilson disease, iodine physiology and thyroid hormone synthesis, selenium deficiency with Keshan disease, zinc deficiency with acrodermatitis enteropathica, fluoride effects on enamel, and the catalytic roles of manganese and molybdenum in the urea cycle and purine catabolism, respectively.</w:t>
      </w:r>
    </w:p>
    <w:p>
      <w:pPr>
        <w:pStyle w:val="Heading1"/>
        <w:spacing w:after="120" w:before="240"/>
      </w:pPr>
      <w:r>
        <w:rPr>
          <w:rFonts w:ascii="Arial" w:cs="Arial" w:eastAsia="Arial" w:hAnsi="Arial"/>
          <w:b/>
          <w:bCs/>
          <w:color w:val="1F4E79"/>
          <w:sz w:val="30"/>
          <w:szCs w:val="30"/>
        </w:rPr>
        <w:t xml:space="preserve">At-a-Glance Overview</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2360"/>
        <w:gridCol w:w="2300"/>
      </w:tblGrid>
      <w:tr>
        <w:tc>
          <w:tcPr>
            <w:gridSpan w:val="5"/>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Minerals and Trace Elements</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Mineral</w:t>
            </w:r>
          </w:p>
        </w:tc>
        <w:tc>
          <w:tcPr>
            <w:tcW w:type="dxa" w:w="20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Function</w:t>
            </w:r>
          </w:p>
        </w:tc>
        <w:tc>
          <w:tcPr>
            <w:tcW w:type="dxa" w:w="15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Dietary Sources</w:t>
            </w:r>
          </w:p>
        </w:tc>
        <w:tc>
          <w:tcPr>
            <w:tcW w:type="dxa" w:w="23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Deficiency</w:t>
            </w:r>
          </w:p>
        </w:tc>
        <w:tc>
          <w:tcPr>
            <w:tcW w:type="dxa" w:w="23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Toxicity / Excess</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Iron</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Heme synthesis (hemoglobin, myoglobin)</w:t>
            </w:r>
          </w:p>
          <w:p>
            <w:pPr>
              <w:pStyle w:val="ListParagraph"/>
              <w:numPr>
                <w:ilvl w:val="0"/>
                <w:numId w:val="1"/>
              </w:numPr>
              <w:jc w:val="left"/>
            </w:pPr>
            <w:r>
              <w:rPr>
                <w:rFonts w:ascii="Arial" w:cs="Arial" w:eastAsia="Arial" w:hAnsi="Arial"/>
                <w:b w:val="false"/>
                <w:bCs w:val="false"/>
                <w:i w:val="false"/>
                <w:iCs w:val="false"/>
                <w:sz w:val="20"/>
                <w:szCs w:val="20"/>
              </w:rPr>
              <w:t xml:space="preserve">Electron transport (cytochromes)</w:t>
            </w:r>
          </w:p>
          <w:p>
            <w:pPr>
              <w:pStyle w:val="ListParagraph"/>
              <w:numPr>
                <w:ilvl w:val="0"/>
                <w:numId w:val="1"/>
              </w:numPr>
              <w:jc w:val="left"/>
            </w:pPr>
            <w:r>
              <w:rPr>
                <w:rFonts w:ascii="Arial" w:cs="Arial" w:eastAsia="Arial" w:hAnsi="Arial"/>
                <w:b w:val="false"/>
                <w:bCs w:val="false"/>
                <w:i w:val="false"/>
                <w:iCs w:val="false"/>
                <w:sz w:val="20"/>
                <w:szCs w:val="20"/>
              </w:rPr>
              <w:t xml:space="preserve">Cofactor for numerous enzymes</w:t>
            </w:r>
          </w:p>
        </w:tc>
        <w:tc>
          <w:tcPr>
            <w:tcW w:type="dxa" w:w="15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Meat</w:t>
            </w:r>
          </w:p>
          <w:p>
            <w:pPr>
              <w:pStyle w:val="ListParagraph"/>
              <w:numPr>
                <w:ilvl w:val="0"/>
                <w:numId w:val="1"/>
              </w:numPr>
              <w:jc w:val="left"/>
            </w:pPr>
            <w:r>
              <w:rPr>
                <w:rFonts w:ascii="Arial" w:cs="Arial" w:eastAsia="Arial" w:hAnsi="Arial"/>
                <w:b w:val="false"/>
                <w:bCs w:val="false"/>
                <w:i w:val="false"/>
                <w:iCs w:val="false"/>
                <w:sz w:val="20"/>
                <w:szCs w:val="20"/>
              </w:rPr>
              <w:t xml:space="preserve">Fortified cereals</w:t>
            </w:r>
          </w:p>
          <w:p>
            <w:pPr>
              <w:pStyle w:val="ListParagraph"/>
              <w:numPr>
                <w:ilvl w:val="0"/>
                <w:numId w:val="1"/>
              </w:numPr>
              <w:jc w:val="left"/>
            </w:pPr>
            <w:r>
              <w:rPr>
                <w:rFonts w:ascii="Arial" w:cs="Arial" w:eastAsia="Arial" w:hAnsi="Arial"/>
                <w:b w:val="false"/>
                <w:bCs w:val="false"/>
                <w:i w:val="false"/>
                <w:iCs w:val="false"/>
                <w:sz w:val="20"/>
                <w:szCs w:val="20"/>
              </w:rPr>
              <w:t xml:space="preserve">Legumes</w:t>
            </w:r>
          </w:p>
          <w:p>
            <w:pPr>
              <w:pStyle w:val="ListParagraph"/>
              <w:numPr>
                <w:ilvl w:val="0"/>
                <w:numId w:val="1"/>
              </w:numPr>
              <w:jc w:val="left"/>
            </w:pPr>
            <w:r>
              <w:rPr>
                <w:rFonts w:ascii="Arial" w:cs="Arial" w:eastAsia="Arial" w:hAnsi="Arial"/>
                <w:b w:val="false"/>
                <w:bCs w:val="false"/>
                <w:i w:val="false"/>
                <w:iCs w:val="false"/>
                <w:sz w:val="20"/>
                <w:szCs w:val="20"/>
              </w:rPr>
              <w:t xml:space="preserve">Leafy greens</w:t>
            </w:r>
          </w:p>
        </w:tc>
        <w:tc>
          <w:tcPr>
            <w:tcW w:type="dxa" w:w="23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Microcytic hypochromic anemia</w:t>
            </w:r>
          </w:p>
          <w:p>
            <w:pPr>
              <w:pStyle w:val="ListParagraph"/>
              <w:numPr>
                <w:ilvl w:val="0"/>
                <w:numId w:val="1"/>
              </w:numPr>
              <w:jc w:val="left"/>
            </w:pPr>
            <w:r>
              <w:rPr>
                <w:rFonts w:ascii="Arial" w:cs="Arial" w:eastAsia="Arial" w:hAnsi="Arial"/>
                <w:b w:val="false"/>
                <w:bCs w:val="false"/>
                <w:i w:val="false"/>
                <w:iCs w:val="false"/>
                <w:sz w:val="20"/>
                <w:szCs w:val="20"/>
              </w:rPr>
              <w:t xml:space="preserve">Koilonychia</w:t>
            </w:r>
          </w:p>
          <w:p>
            <w:pPr>
              <w:pStyle w:val="ListParagraph"/>
              <w:numPr>
                <w:ilvl w:val="0"/>
                <w:numId w:val="1"/>
              </w:numPr>
              <w:jc w:val="left"/>
            </w:pPr>
            <w:r>
              <w:rPr>
                <w:rFonts w:ascii="Arial" w:cs="Arial" w:eastAsia="Arial" w:hAnsi="Arial"/>
                <w:b w:val="false"/>
                <w:bCs w:val="false"/>
                <w:i w:val="false"/>
                <w:iCs w:val="false"/>
                <w:sz w:val="20"/>
                <w:szCs w:val="20"/>
              </w:rPr>
              <w:t xml:space="preserve">Glossitis</w:t>
            </w:r>
          </w:p>
          <w:p>
            <w:pPr>
              <w:pStyle w:val="ListParagraph"/>
              <w:numPr>
                <w:ilvl w:val="0"/>
                <w:numId w:val="1"/>
              </w:numPr>
              <w:jc w:val="left"/>
            </w:pPr>
            <w:r>
              <w:rPr>
                <w:rFonts w:ascii="Arial" w:cs="Arial" w:eastAsia="Arial" w:hAnsi="Arial"/>
                <w:b w:val="false"/>
                <w:bCs w:val="false"/>
                <w:i w:val="false"/>
                <w:iCs w:val="false"/>
                <w:sz w:val="20"/>
                <w:szCs w:val="20"/>
              </w:rPr>
              <w:t xml:space="preserve">Pica</w:t>
            </w:r>
          </w:p>
          <w:p>
            <w:pPr>
              <w:pStyle w:val="ListParagraph"/>
              <w:numPr>
                <w:ilvl w:val="0"/>
                <w:numId w:val="1"/>
              </w:numPr>
              <w:jc w:val="left"/>
            </w:pPr>
            <w:r>
              <w:rPr>
                <w:rFonts w:ascii="Arial" w:cs="Arial" w:eastAsia="Arial" w:hAnsi="Arial"/>
                <w:b w:val="false"/>
                <w:bCs w:val="false"/>
                <w:i w:val="false"/>
                <w:iCs w:val="false"/>
                <w:sz w:val="20"/>
                <w:szCs w:val="20"/>
              </w:rPr>
              <w:t xml:space="preserve">Plummer-Vinson syndrome</w:t>
            </w:r>
          </w:p>
        </w:tc>
        <w:tc>
          <w:tcPr>
            <w:tcW w:type="dxa" w:w="23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Hereditary hemochromatosis: bronze diabetes, cirrhosis, cardiomyopathy</w:t>
            </w:r>
          </w:p>
          <w:p>
            <w:pPr>
              <w:pStyle w:val="ListParagraph"/>
              <w:numPr>
                <w:ilvl w:val="0"/>
                <w:numId w:val="1"/>
              </w:numPr>
              <w:jc w:val="left"/>
            </w:pPr>
            <w:r>
              <w:rPr>
                <w:rFonts w:ascii="Arial" w:cs="Arial" w:eastAsia="Arial" w:hAnsi="Arial"/>
                <w:b w:val="false"/>
                <w:bCs w:val="false"/>
                <w:i w:val="false"/>
                <w:iCs w:val="false"/>
                <w:sz w:val="20"/>
                <w:szCs w:val="20"/>
              </w:rPr>
              <w:t xml:space="preserve">Hemosiderosis (transfusion-related)</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Zinc</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Cofactor for &gt; 300 enzymes (eg, carbonic anhydrase, DNA/RNA polymerases, alkaline phosphatase)</w:t>
            </w:r>
          </w:p>
          <w:p>
            <w:pPr>
              <w:pStyle w:val="ListParagraph"/>
              <w:numPr>
                <w:ilvl w:val="0"/>
                <w:numId w:val="1"/>
              </w:numPr>
              <w:jc w:val="left"/>
            </w:pPr>
            <w:r>
              <w:rPr>
                <w:rFonts w:ascii="Arial" w:cs="Arial" w:eastAsia="Arial" w:hAnsi="Arial"/>
                <w:b w:val="false"/>
                <w:bCs w:val="false"/>
                <w:i w:val="false"/>
                <w:iCs w:val="false"/>
                <w:sz w:val="20"/>
                <w:szCs w:val="20"/>
              </w:rPr>
              <w:t xml:space="preserve">Structural role in zinc-finger proteins</w:t>
            </w:r>
          </w:p>
          <w:p>
            <w:pPr>
              <w:pStyle w:val="ListParagraph"/>
              <w:numPr>
                <w:ilvl w:val="0"/>
                <w:numId w:val="1"/>
              </w:numPr>
              <w:jc w:val="left"/>
            </w:pPr>
            <w:r>
              <w:rPr>
                <w:rFonts w:ascii="Arial" w:cs="Arial" w:eastAsia="Arial" w:hAnsi="Arial"/>
                <w:b w:val="false"/>
                <w:bCs w:val="false"/>
                <w:i w:val="false"/>
                <w:iCs w:val="false"/>
                <w:sz w:val="20"/>
                <w:szCs w:val="20"/>
              </w:rPr>
              <w:t xml:space="preserve">Immune function, wound healing, taste</w:t>
            </w:r>
          </w:p>
        </w:tc>
        <w:tc>
          <w:tcPr>
            <w:tcW w:type="dxa" w:w="15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Oysters</w:t>
            </w:r>
          </w:p>
          <w:p>
            <w:pPr>
              <w:pStyle w:val="ListParagraph"/>
              <w:numPr>
                <w:ilvl w:val="0"/>
                <w:numId w:val="1"/>
              </w:numPr>
              <w:jc w:val="left"/>
            </w:pPr>
            <w:r>
              <w:rPr>
                <w:rFonts w:ascii="Arial" w:cs="Arial" w:eastAsia="Arial" w:hAnsi="Arial"/>
                <w:b w:val="false"/>
                <w:bCs w:val="false"/>
                <w:i w:val="false"/>
                <w:iCs w:val="false"/>
                <w:sz w:val="20"/>
                <w:szCs w:val="20"/>
              </w:rPr>
              <w:t xml:space="preserve">Red meat</w:t>
            </w:r>
          </w:p>
          <w:p>
            <w:pPr>
              <w:pStyle w:val="ListParagraph"/>
              <w:numPr>
                <w:ilvl w:val="0"/>
                <w:numId w:val="1"/>
              </w:numPr>
              <w:jc w:val="left"/>
            </w:pPr>
            <w:r>
              <w:rPr>
                <w:rFonts w:ascii="Arial" w:cs="Arial" w:eastAsia="Arial" w:hAnsi="Arial"/>
                <w:b w:val="false"/>
                <w:bCs w:val="false"/>
                <w:i w:val="false"/>
                <w:iCs w:val="false"/>
                <w:sz w:val="20"/>
                <w:szCs w:val="20"/>
              </w:rPr>
              <w:t xml:space="preserve">Whole grains</w:t>
            </w:r>
          </w:p>
          <w:p>
            <w:pPr>
              <w:pStyle w:val="ListParagraph"/>
              <w:numPr>
                <w:ilvl w:val="0"/>
                <w:numId w:val="1"/>
              </w:numPr>
              <w:jc w:val="left"/>
            </w:pPr>
            <w:r>
              <w:rPr>
                <w:rFonts w:ascii="Arial" w:cs="Arial" w:eastAsia="Arial" w:hAnsi="Arial"/>
                <w:b w:val="false"/>
                <w:bCs w:val="false"/>
                <w:i w:val="false"/>
                <w:iCs w:val="false"/>
                <w:sz w:val="20"/>
                <w:szCs w:val="20"/>
              </w:rPr>
              <w:t xml:space="preserve">Legumes</w:t>
            </w:r>
          </w:p>
          <w:p>
            <w:pPr>
              <w:pStyle w:val="ListParagraph"/>
              <w:numPr>
                <w:ilvl w:val="0"/>
                <w:numId w:val="1"/>
              </w:numPr>
              <w:jc w:val="left"/>
            </w:pPr>
            <w:r>
              <w:rPr>
                <w:rFonts w:ascii="Arial" w:cs="Arial" w:eastAsia="Arial" w:hAnsi="Arial"/>
                <w:b w:val="false"/>
                <w:bCs w:val="false"/>
                <w:i w:val="false"/>
                <w:iCs w:val="false"/>
                <w:sz w:val="20"/>
                <w:szCs w:val="20"/>
              </w:rPr>
              <w:t xml:space="preserve">Nuts</w:t>
            </w:r>
          </w:p>
        </w:tc>
        <w:tc>
          <w:tcPr>
            <w:tcW w:type="dxa" w:w="23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Acrodermatitis enteropathica: perioral/perineal rash + diarrhea + alopecia</w:t>
            </w:r>
          </w:p>
          <w:p>
            <w:pPr>
              <w:pStyle w:val="ListParagraph"/>
              <w:numPr>
                <w:ilvl w:val="0"/>
                <w:numId w:val="1"/>
              </w:numPr>
              <w:jc w:val="left"/>
            </w:pPr>
            <w:r>
              <w:rPr>
                <w:rFonts w:ascii="Arial" w:cs="Arial" w:eastAsia="Arial" w:hAnsi="Arial"/>
                <w:b w:val="false"/>
                <w:bCs w:val="false"/>
                <w:i w:val="false"/>
                <w:iCs w:val="false"/>
                <w:sz w:val="20"/>
                <w:szCs w:val="20"/>
              </w:rPr>
              <w:t xml:space="preserve">Impaired wound healing, immune deficiency, dysgeusia</w:t>
            </w:r>
          </w:p>
        </w:tc>
        <w:tc>
          <w:tcPr>
            <w:tcW w:type="dxa" w:w="23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Nausea, vomiting</w:t>
            </w:r>
          </w:p>
          <w:p>
            <w:pPr>
              <w:pStyle w:val="ListParagraph"/>
              <w:numPr>
                <w:ilvl w:val="0"/>
                <w:numId w:val="1"/>
              </w:numPr>
              <w:jc w:val="left"/>
            </w:pPr>
            <w:r>
              <w:rPr>
                <w:rFonts w:ascii="Arial" w:cs="Arial" w:eastAsia="Arial" w:hAnsi="Arial"/>
                <w:b w:val="false"/>
                <w:bCs w:val="false"/>
                <w:i w:val="false"/>
                <w:iCs w:val="false"/>
                <w:sz w:val="20"/>
                <w:szCs w:val="20"/>
              </w:rPr>
              <w:t xml:space="preserve">↓ copper absorption</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Copper</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Cofactor for ceruloplasmin (ferroxidase activity), cytochrome c oxidase (complex IV), dopamine β-hydroxylase, lysyl oxidase (collagen/elastin crosslinking), superoxide dismutase (SOD1)</w:t>
            </w:r>
          </w:p>
        </w:tc>
        <w:tc>
          <w:tcPr>
            <w:tcW w:type="dxa" w:w="15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Liver</w:t>
            </w:r>
          </w:p>
          <w:p>
            <w:pPr>
              <w:pStyle w:val="ListParagraph"/>
              <w:numPr>
                <w:ilvl w:val="0"/>
                <w:numId w:val="1"/>
              </w:numPr>
              <w:jc w:val="left"/>
            </w:pPr>
            <w:r>
              <w:rPr>
                <w:rFonts w:ascii="Arial" w:cs="Arial" w:eastAsia="Arial" w:hAnsi="Arial"/>
                <w:b w:val="false"/>
                <w:bCs w:val="false"/>
                <w:i w:val="false"/>
                <w:iCs w:val="false"/>
                <w:sz w:val="20"/>
                <w:szCs w:val="20"/>
              </w:rPr>
              <w:t xml:space="preserve">Shellfish</w:t>
            </w:r>
          </w:p>
          <w:p>
            <w:pPr>
              <w:pStyle w:val="ListParagraph"/>
              <w:numPr>
                <w:ilvl w:val="0"/>
                <w:numId w:val="1"/>
              </w:numPr>
              <w:jc w:val="left"/>
            </w:pPr>
            <w:r>
              <w:rPr>
                <w:rFonts w:ascii="Arial" w:cs="Arial" w:eastAsia="Arial" w:hAnsi="Arial"/>
                <w:b w:val="false"/>
                <w:bCs w:val="false"/>
                <w:i w:val="false"/>
                <w:iCs w:val="false"/>
                <w:sz w:val="20"/>
                <w:szCs w:val="20"/>
              </w:rPr>
              <w:t xml:space="preserve">Nuts</w:t>
            </w:r>
          </w:p>
          <w:p>
            <w:pPr>
              <w:pStyle w:val="ListParagraph"/>
              <w:numPr>
                <w:ilvl w:val="0"/>
                <w:numId w:val="1"/>
              </w:numPr>
              <w:jc w:val="left"/>
            </w:pPr>
            <w:r>
              <w:rPr>
                <w:rFonts w:ascii="Arial" w:cs="Arial" w:eastAsia="Arial" w:hAnsi="Arial"/>
                <w:b w:val="false"/>
                <w:bCs w:val="false"/>
                <w:i w:val="false"/>
                <w:iCs w:val="false"/>
                <w:sz w:val="20"/>
                <w:szCs w:val="20"/>
              </w:rPr>
              <w:t xml:space="preserve">Chocolate</w:t>
            </w:r>
          </w:p>
        </w:tc>
        <w:tc>
          <w:tcPr>
            <w:tcW w:type="dxa" w:w="23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Microcytic anemia (↓ ceruloplasmin → ↓ iron mobilization)</w:t>
            </w:r>
          </w:p>
          <w:p>
            <w:pPr>
              <w:pStyle w:val="ListParagraph"/>
              <w:numPr>
                <w:ilvl w:val="0"/>
                <w:numId w:val="1"/>
              </w:numPr>
              <w:jc w:val="left"/>
            </w:pPr>
            <w:r>
              <w:rPr>
                <w:rFonts w:ascii="Arial" w:cs="Arial" w:eastAsia="Arial" w:hAnsi="Arial"/>
                <w:b w:val="false"/>
                <w:bCs w:val="false"/>
                <w:i w:val="false"/>
                <w:iCs w:val="false"/>
                <w:sz w:val="20"/>
                <w:szCs w:val="20"/>
              </w:rPr>
              <w:t xml:space="preserve">Menkes disease: kinky/steely hair, neurodegeneration, hypotonia, X-linked (</w:t>
            </w:r>
            <w:r>
              <w:rPr>
                <w:rFonts w:ascii="Arial" w:cs="Arial" w:eastAsia="Arial" w:hAnsi="Arial"/>
                <w:b w:val="false"/>
                <w:bCs w:val="false"/>
                <w:i/>
                <w:iCs/>
                <w:sz w:val="20"/>
                <w:szCs w:val="20"/>
              </w:rPr>
              <w:t xml:space="preserve">ATP7A</w:t>
            </w:r>
            <w:r>
              <w:rPr>
                <w:rFonts w:ascii="Arial" w:cs="Arial" w:eastAsia="Arial" w:hAnsi="Arial"/>
                <w:b w:val="false"/>
                <w:bCs w:val="false"/>
                <w:i w:val="false"/>
                <w:iCs w:val="false"/>
                <w:sz w:val="20"/>
                <w:szCs w:val="20"/>
              </w:rPr>
              <w:t xml:space="preserve">)</w:t>
            </w:r>
          </w:p>
        </w:tc>
        <w:tc>
          <w:tcPr>
            <w:tcW w:type="dxa" w:w="23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Wilson disease: hepatolenticular degeneration, Kayser-Fleischer rings, asterixis, cirrhosis, neuropsychiatric changes, AR mutation in </w:t>
            </w:r>
            <w:r>
              <w:rPr>
                <w:rFonts w:ascii="Arial" w:cs="Arial" w:eastAsia="Arial" w:hAnsi="Arial"/>
                <w:b w:val="false"/>
                <w:bCs w:val="false"/>
                <w:i/>
                <w:iCs/>
                <w:sz w:val="20"/>
                <w:szCs w:val="20"/>
              </w:rPr>
              <w:t xml:space="preserve">ATP7B</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Selenium</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Component of selenoproteins (eg, glutathione peroxidase, thioredoxin reductase)</w:t>
            </w:r>
          </w:p>
          <w:p>
            <w:pPr>
              <w:pStyle w:val="ListParagraph"/>
              <w:numPr>
                <w:ilvl w:val="0"/>
                <w:numId w:val="1"/>
              </w:numPr>
              <w:jc w:val="left"/>
            </w:pPr>
            <w:r>
              <w:rPr>
                <w:rFonts w:ascii="Arial" w:cs="Arial" w:eastAsia="Arial" w:hAnsi="Arial"/>
                <w:b w:val="false"/>
                <w:bCs w:val="false"/>
                <w:i w:val="false"/>
                <w:iCs w:val="false"/>
                <w:sz w:val="20"/>
                <w:szCs w:val="20"/>
              </w:rPr>
              <w:t xml:space="preserve">Antioxidant defense</w:t>
            </w:r>
          </w:p>
          <w:p>
            <w:pPr>
              <w:pStyle w:val="ListParagraph"/>
              <w:numPr>
                <w:ilvl w:val="0"/>
                <w:numId w:val="1"/>
              </w:numPr>
              <w:jc w:val="left"/>
            </w:pPr>
            <w:r>
              <w:rPr>
                <w:rFonts w:ascii="Arial" w:cs="Arial" w:eastAsia="Arial" w:hAnsi="Arial"/>
                <w:b w:val="false"/>
                <w:bCs w:val="false"/>
                <w:i w:val="false"/>
                <w:iCs w:val="false"/>
                <w:sz w:val="20"/>
                <w:szCs w:val="20"/>
              </w:rPr>
              <w:t xml:space="preserve">Required for T4 → T3 conversion</w:t>
            </w:r>
          </w:p>
        </w:tc>
        <w:tc>
          <w:tcPr>
            <w:tcW w:type="dxa" w:w="15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Brazil nuts</w:t>
            </w:r>
          </w:p>
          <w:p>
            <w:pPr>
              <w:pStyle w:val="ListParagraph"/>
              <w:numPr>
                <w:ilvl w:val="0"/>
                <w:numId w:val="1"/>
              </w:numPr>
              <w:jc w:val="left"/>
            </w:pPr>
            <w:r>
              <w:rPr>
                <w:rFonts w:ascii="Arial" w:cs="Arial" w:eastAsia="Arial" w:hAnsi="Arial"/>
                <w:b w:val="false"/>
                <w:bCs w:val="false"/>
                <w:i w:val="false"/>
                <w:iCs w:val="false"/>
                <w:sz w:val="20"/>
                <w:szCs w:val="20"/>
              </w:rPr>
              <w:t xml:space="preserve">Fish</w:t>
            </w:r>
          </w:p>
          <w:p>
            <w:pPr>
              <w:pStyle w:val="ListParagraph"/>
              <w:numPr>
                <w:ilvl w:val="0"/>
                <w:numId w:val="1"/>
              </w:numPr>
              <w:jc w:val="left"/>
            </w:pPr>
            <w:r>
              <w:rPr>
                <w:rFonts w:ascii="Arial" w:cs="Arial" w:eastAsia="Arial" w:hAnsi="Arial"/>
                <w:b w:val="false"/>
                <w:bCs w:val="false"/>
                <w:i w:val="false"/>
                <w:iCs w:val="false"/>
                <w:sz w:val="20"/>
                <w:szCs w:val="20"/>
              </w:rPr>
              <w:t xml:space="preserve">Meat</w:t>
            </w:r>
          </w:p>
        </w:tc>
        <w:tc>
          <w:tcPr>
            <w:tcW w:type="dxa" w:w="23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Keshan disease: dilated cardiomyopathy (endemic in China)</w:t>
            </w:r>
          </w:p>
          <w:p>
            <w:pPr>
              <w:pStyle w:val="ListParagraph"/>
              <w:numPr>
                <w:ilvl w:val="0"/>
                <w:numId w:val="1"/>
              </w:numPr>
              <w:jc w:val="left"/>
            </w:pPr>
            <w:r>
              <w:rPr>
                <w:rFonts w:ascii="Arial" w:cs="Arial" w:eastAsia="Arial" w:hAnsi="Arial"/>
                <w:b w:val="false"/>
                <w:bCs w:val="false"/>
                <w:i w:val="false"/>
                <w:iCs w:val="false"/>
                <w:sz w:val="20"/>
                <w:szCs w:val="20"/>
              </w:rPr>
              <w:t xml:space="preserve">Kashin-Beck disease: osteoarthropathy</w:t>
            </w:r>
          </w:p>
        </w:tc>
        <w:tc>
          <w:tcPr>
            <w:tcW w:type="dxa" w:w="23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Selenosis: brittle hair/nails, garlic breath, neurological symptoms</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Iodine</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Substrate for thyroid hormone synthesis (T3, T4)</w:t>
            </w:r>
          </w:p>
          <w:p>
            <w:pPr>
              <w:pStyle w:val="ListParagraph"/>
              <w:numPr>
                <w:ilvl w:val="0"/>
                <w:numId w:val="1"/>
              </w:numPr>
              <w:jc w:val="left"/>
            </w:pPr>
            <w:r>
              <w:rPr>
                <w:rFonts w:ascii="Arial" w:cs="Arial" w:eastAsia="Arial" w:hAnsi="Arial"/>
                <w:b w:val="false"/>
                <w:bCs w:val="false"/>
                <w:i w:val="false"/>
                <w:iCs w:val="false"/>
                <w:sz w:val="20"/>
                <w:szCs w:val="20"/>
              </w:rPr>
              <w:t xml:space="preserve">Thyroperoxidase oxidizes iodide and incorporates it into thyroglobulin</w:t>
            </w:r>
          </w:p>
        </w:tc>
        <w:tc>
          <w:tcPr>
            <w:tcW w:type="dxa" w:w="15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Seafood</w:t>
            </w:r>
          </w:p>
          <w:p>
            <w:pPr>
              <w:pStyle w:val="ListParagraph"/>
              <w:numPr>
                <w:ilvl w:val="0"/>
                <w:numId w:val="1"/>
              </w:numPr>
              <w:jc w:val="left"/>
            </w:pPr>
            <w:r>
              <w:rPr>
                <w:rFonts w:ascii="Arial" w:cs="Arial" w:eastAsia="Arial" w:hAnsi="Arial"/>
                <w:b w:val="false"/>
                <w:bCs w:val="false"/>
                <w:i w:val="false"/>
                <w:iCs w:val="false"/>
                <w:sz w:val="20"/>
                <w:szCs w:val="20"/>
              </w:rPr>
              <w:t xml:space="preserve">Iodized salt</w:t>
            </w:r>
          </w:p>
          <w:p>
            <w:pPr>
              <w:pStyle w:val="ListParagraph"/>
              <w:numPr>
                <w:ilvl w:val="0"/>
                <w:numId w:val="1"/>
              </w:numPr>
              <w:jc w:val="left"/>
            </w:pPr>
            <w:r>
              <w:rPr>
                <w:rFonts w:ascii="Arial" w:cs="Arial" w:eastAsia="Arial" w:hAnsi="Arial"/>
                <w:b w:val="false"/>
                <w:bCs w:val="false"/>
                <w:i w:val="false"/>
                <w:iCs w:val="false"/>
                <w:sz w:val="20"/>
                <w:szCs w:val="20"/>
              </w:rPr>
              <w:t xml:space="preserve">Dairy</w:t>
            </w:r>
          </w:p>
        </w:tc>
        <w:tc>
          <w:tcPr>
            <w:tcW w:type="dxa" w:w="23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Hypothyroidism, goiter</w:t>
            </w:r>
          </w:p>
          <w:p>
            <w:pPr>
              <w:pStyle w:val="ListParagraph"/>
              <w:numPr>
                <w:ilvl w:val="0"/>
                <w:numId w:val="1"/>
              </w:numPr>
              <w:jc w:val="left"/>
            </w:pPr>
            <w:r>
              <w:rPr>
                <w:rFonts w:ascii="Arial" w:cs="Arial" w:eastAsia="Arial" w:hAnsi="Arial"/>
                <w:b w:val="false"/>
                <w:bCs w:val="false"/>
                <w:i w:val="false"/>
                <w:iCs w:val="false"/>
                <w:sz w:val="20"/>
                <w:szCs w:val="20"/>
              </w:rPr>
              <w:t xml:space="preserve">Cretinism (congenital): intellectual disability, short stature, deafness (iodine deficiency in pregnancy)</w:t>
            </w:r>
          </w:p>
        </w:tc>
        <w:tc>
          <w:tcPr>
            <w:tcW w:type="dxa" w:w="23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Jod-Basedow phenomenon: iodine load triggers hyperthyroidism in susceptible patients</w:t>
            </w:r>
          </w:p>
          <w:p>
            <w:pPr>
              <w:pStyle w:val="ListParagraph"/>
              <w:numPr>
                <w:ilvl w:val="0"/>
                <w:numId w:val="1"/>
              </w:numPr>
              <w:jc w:val="left"/>
            </w:pPr>
            <w:r>
              <w:rPr>
                <w:rFonts w:ascii="Arial" w:cs="Arial" w:eastAsia="Arial" w:hAnsi="Arial"/>
                <w:b w:val="false"/>
                <w:bCs w:val="false"/>
                <w:i w:val="false"/>
                <w:iCs w:val="false"/>
                <w:sz w:val="20"/>
                <w:szCs w:val="20"/>
              </w:rPr>
              <w:t xml:space="preserve">High iodine can also cause hypothyroidism (Wolff-Chaikoff)</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Fluoride</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Incorporation into hydroxyapatite → fluorapatite (harder, more acid-resistant enamel)</w:t>
            </w:r>
          </w:p>
          <w:p>
            <w:pPr>
              <w:pStyle w:val="ListParagraph"/>
              <w:numPr>
                <w:ilvl w:val="0"/>
                <w:numId w:val="1"/>
              </w:numPr>
              <w:jc w:val="left"/>
            </w:pPr>
            <w:r>
              <w:rPr>
                <w:rFonts w:ascii="Arial" w:cs="Arial" w:eastAsia="Arial" w:hAnsi="Arial"/>
                <w:b w:val="false"/>
                <w:bCs w:val="false"/>
                <w:i w:val="false"/>
                <w:iCs w:val="false"/>
                <w:sz w:val="20"/>
                <w:szCs w:val="20"/>
              </w:rPr>
              <w:t xml:space="preserve">Inhibits bacterial acid production</w:t>
            </w:r>
          </w:p>
        </w:tc>
        <w:tc>
          <w:tcPr>
            <w:tcW w:type="dxa" w:w="15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Fluoridated water</w:t>
            </w:r>
          </w:p>
          <w:p>
            <w:pPr>
              <w:pStyle w:val="ListParagraph"/>
              <w:numPr>
                <w:ilvl w:val="0"/>
                <w:numId w:val="1"/>
              </w:numPr>
              <w:jc w:val="left"/>
            </w:pPr>
            <w:r>
              <w:rPr>
                <w:rFonts w:ascii="Arial" w:cs="Arial" w:eastAsia="Arial" w:hAnsi="Arial"/>
                <w:b w:val="false"/>
                <w:bCs w:val="false"/>
                <w:i w:val="false"/>
                <w:iCs w:val="false"/>
                <w:sz w:val="20"/>
                <w:szCs w:val="20"/>
              </w:rPr>
              <w:t xml:space="preserve">Dental products</w:t>
            </w:r>
          </w:p>
          <w:p>
            <w:pPr>
              <w:pStyle w:val="ListParagraph"/>
              <w:numPr>
                <w:ilvl w:val="0"/>
                <w:numId w:val="1"/>
              </w:numPr>
              <w:jc w:val="left"/>
            </w:pPr>
            <w:r>
              <w:rPr>
                <w:rFonts w:ascii="Arial" w:cs="Arial" w:eastAsia="Arial" w:hAnsi="Arial"/>
                <w:b w:val="false"/>
                <w:bCs w:val="false"/>
                <w:i w:val="false"/>
                <w:iCs w:val="false"/>
                <w:sz w:val="20"/>
                <w:szCs w:val="20"/>
              </w:rPr>
              <w:t xml:space="preserve">Fish</w:t>
            </w:r>
          </w:p>
        </w:tc>
        <w:tc>
          <w:tcPr>
            <w:tcW w:type="dxa" w:w="236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Dental caries</w:t>
            </w:r>
          </w:p>
        </w:tc>
        <w:tc>
          <w:tcPr>
            <w:tcW w:type="dxa" w:w="23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Dental fluorosis: white/brown mottling</w:t>
            </w:r>
          </w:p>
          <w:p>
            <w:pPr>
              <w:pStyle w:val="ListParagraph"/>
              <w:numPr>
                <w:ilvl w:val="0"/>
                <w:numId w:val="1"/>
              </w:numPr>
              <w:jc w:val="left"/>
            </w:pPr>
            <w:r>
              <w:rPr>
                <w:rFonts w:ascii="Arial" w:cs="Arial" w:eastAsia="Arial" w:hAnsi="Arial"/>
                <w:b w:val="false"/>
                <w:bCs w:val="false"/>
                <w:i w:val="false"/>
                <w:iCs w:val="false"/>
                <w:sz w:val="20"/>
                <w:szCs w:val="20"/>
              </w:rPr>
              <w:t xml:space="preserve">Skeletal fluorosis: joint pain, osteosclerosis</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Chromium</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Enhances insulin signaling (chromodulin)</w:t>
            </w:r>
          </w:p>
          <w:p>
            <w:pPr>
              <w:pStyle w:val="ListParagraph"/>
              <w:numPr>
                <w:ilvl w:val="0"/>
                <w:numId w:val="1"/>
              </w:numPr>
              <w:jc w:val="left"/>
            </w:pPr>
            <w:r>
              <w:rPr>
                <w:rFonts w:ascii="Arial" w:cs="Arial" w:eastAsia="Arial" w:hAnsi="Arial"/>
                <w:b w:val="false"/>
                <w:bCs w:val="false"/>
                <w:i w:val="false"/>
                <w:iCs w:val="false"/>
                <w:sz w:val="20"/>
                <w:szCs w:val="20"/>
              </w:rPr>
              <w:t xml:space="preserve">Potentiates insulin-receptor binding</w:t>
            </w:r>
          </w:p>
        </w:tc>
        <w:tc>
          <w:tcPr>
            <w:tcW w:type="dxa" w:w="15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Whole grains</w:t>
            </w:r>
          </w:p>
          <w:p>
            <w:pPr>
              <w:pStyle w:val="ListParagraph"/>
              <w:numPr>
                <w:ilvl w:val="0"/>
                <w:numId w:val="1"/>
              </w:numPr>
              <w:jc w:val="left"/>
            </w:pPr>
            <w:r>
              <w:rPr>
                <w:rFonts w:ascii="Arial" w:cs="Arial" w:eastAsia="Arial" w:hAnsi="Arial"/>
                <w:b w:val="false"/>
                <w:bCs w:val="false"/>
                <w:i w:val="false"/>
                <w:iCs w:val="false"/>
                <w:sz w:val="20"/>
                <w:szCs w:val="20"/>
              </w:rPr>
              <w:t xml:space="preserve">Meat</w:t>
            </w:r>
          </w:p>
          <w:p>
            <w:pPr>
              <w:pStyle w:val="ListParagraph"/>
              <w:numPr>
                <w:ilvl w:val="0"/>
                <w:numId w:val="1"/>
              </w:numPr>
              <w:jc w:val="left"/>
            </w:pPr>
            <w:r>
              <w:rPr>
                <w:rFonts w:ascii="Arial" w:cs="Arial" w:eastAsia="Arial" w:hAnsi="Arial"/>
                <w:b w:val="false"/>
                <w:bCs w:val="false"/>
                <w:i w:val="false"/>
                <w:iCs w:val="false"/>
                <w:sz w:val="20"/>
                <w:szCs w:val="20"/>
              </w:rPr>
              <w:t xml:space="preserve">Broccoli</w:t>
            </w:r>
          </w:p>
          <w:p>
            <w:pPr>
              <w:pStyle w:val="ListParagraph"/>
              <w:numPr>
                <w:ilvl w:val="0"/>
                <w:numId w:val="1"/>
              </w:numPr>
              <w:jc w:val="left"/>
            </w:pPr>
            <w:r>
              <w:rPr>
                <w:rFonts w:ascii="Arial" w:cs="Arial" w:eastAsia="Arial" w:hAnsi="Arial"/>
                <w:b w:val="false"/>
                <w:bCs w:val="false"/>
                <w:i w:val="false"/>
                <w:iCs w:val="false"/>
                <w:sz w:val="20"/>
                <w:szCs w:val="20"/>
              </w:rPr>
              <w:t xml:space="preserve">Nuts</w:t>
            </w:r>
          </w:p>
        </w:tc>
        <w:tc>
          <w:tcPr>
            <w:tcW w:type="dxa" w:w="236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Impaired glucose tolerance, insulin resistance</w:t>
            </w:r>
          </w:p>
        </w:tc>
        <w:tc>
          <w:tcPr>
            <w:tcW w:type="dxa" w:w="23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Rare; hexavalent Cr(VI) causes lung cancer (occupational)</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Manganese</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Cofactor for arginase (urea cycle), superoxide dismutase (MnSOD), pyruvate carboxylase, glycosyl transferases</w:t>
            </w:r>
          </w:p>
        </w:tc>
        <w:tc>
          <w:tcPr>
            <w:tcW w:type="dxa" w:w="15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Nuts</w:t>
            </w:r>
          </w:p>
          <w:p>
            <w:pPr>
              <w:pStyle w:val="ListParagraph"/>
              <w:numPr>
                <w:ilvl w:val="0"/>
                <w:numId w:val="1"/>
              </w:numPr>
              <w:jc w:val="left"/>
            </w:pPr>
            <w:r>
              <w:rPr>
                <w:rFonts w:ascii="Arial" w:cs="Arial" w:eastAsia="Arial" w:hAnsi="Arial"/>
                <w:b w:val="false"/>
                <w:bCs w:val="false"/>
                <w:i w:val="false"/>
                <w:iCs w:val="false"/>
                <w:sz w:val="20"/>
                <w:szCs w:val="20"/>
              </w:rPr>
              <w:t xml:space="preserve">Grains</w:t>
            </w:r>
          </w:p>
          <w:p>
            <w:pPr>
              <w:pStyle w:val="ListParagraph"/>
              <w:numPr>
                <w:ilvl w:val="0"/>
                <w:numId w:val="1"/>
              </w:numPr>
              <w:jc w:val="left"/>
            </w:pPr>
            <w:r>
              <w:rPr>
                <w:rFonts w:ascii="Arial" w:cs="Arial" w:eastAsia="Arial" w:hAnsi="Arial"/>
                <w:b w:val="false"/>
                <w:bCs w:val="false"/>
                <w:i w:val="false"/>
                <w:iCs w:val="false"/>
                <w:sz w:val="20"/>
                <w:szCs w:val="20"/>
              </w:rPr>
              <w:t xml:space="preserve">Leafy greens</w:t>
            </w:r>
          </w:p>
        </w:tc>
        <w:tc>
          <w:tcPr>
            <w:tcW w:type="dxa" w:w="236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Rare; skeletal abnormalities, altered lipid metabolism</w:t>
            </w:r>
          </w:p>
        </w:tc>
        <w:tc>
          <w:tcPr>
            <w:tcW w:type="dxa" w:w="23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Manganism: parkinsonism-like syndrome from occupational inhalation</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Molybdenum</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Cofactor for xanthine oxidase (purine catabolism → uric acid), sulfite oxidase, aldehyde oxidase</w:t>
            </w:r>
          </w:p>
        </w:tc>
        <w:tc>
          <w:tcPr>
            <w:tcW w:type="dxa" w:w="15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Legumes</w:t>
            </w:r>
          </w:p>
          <w:p>
            <w:pPr>
              <w:pStyle w:val="ListParagraph"/>
              <w:numPr>
                <w:ilvl w:val="0"/>
                <w:numId w:val="1"/>
              </w:numPr>
              <w:jc w:val="left"/>
            </w:pPr>
            <w:r>
              <w:rPr>
                <w:rFonts w:ascii="Arial" w:cs="Arial" w:eastAsia="Arial" w:hAnsi="Arial"/>
                <w:b w:val="false"/>
                <w:bCs w:val="false"/>
                <w:i w:val="false"/>
                <w:iCs w:val="false"/>
                <w:sz w:val="20"/>
                <w:szCs w:val="20"/>
              </w:rPr>
              <w:t xml:space="preserve">Whole grains</w:t>
            </w:r>
          </w:p>
          <w:p>
            <w:pPr>
              <w:pStyle w:val="ListParagraph"/>
              <w:numPr>
                <w:ilvl w:val="0"/>
                <w:numId w:val="1"/>
              </w:numPr>
              <w:jc w:val="left"/>
            </w:pPr>
            <w:r>
              <w:rPr>
                <w:rFonts w:ascii="Arial" w:cs="Arial" w:eastAsia="Arial" w:hAnsi="Arial"/>
                <w:b w:val="false"/>
                <w:bCs w:val="false"/>
                <w:i w:val="false"/>
                <w:iCs w:val="false"/>
                <w:sz w:val="20"/>
                <w:szCs w:val="20"/>
              </w:rPr>
              <w:t xml:space="preserve">Organ meats</w:t>
            </w:r>
          </w:p>
        </w:tc>
        <w:tc>
          <w:tcPr>
            <w:tcW w:type="dxa" w:w="23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Rare; neurological dysfunction</w:t>
            </w:r>
          </w:p>
          <w:p>
            <w:pPr>
              <w:pStyle w:val="ListParagraph"/>
              <w:numPr>
                <w:ilvl w:val="0"/>
                <w:numId w:val="1"/>
              </w:numPr>
              <w:jc w:val="left"/>
            </w:pPr>
            <w:r>
              <w:rPr>
                <w:rFonts w:ascii="Arial" w:cs="Arial" w:eastAsia="Arial" w:hAnsi="Arial"/>
                <w:b w:val="false"/>
                <w:bCs w:val="false"/>
                <w:i w:val="false"/>
                <w:iCs w:val="false"/>
                <w:sz w:val="20"/>
                <w:szCs w:val="20"/>
              </w:rPr>
              <w:t xml:space="preserve">Isolated in total parenteral nutrition</w:t>
            </w:r>
          </w:p>
        </w:tc>
        <w:tc>
          <w:tcPr>
            <w:tcW w:type="dxa" w:w="23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Gout-like syndrome</w:t>
            </w:r>
          </w:p>
          <w:p>
            <w:pPr>
              <w:pStyle w:val="ListParagraph"/>
              <w:numPr>
                <w:ilvl w:val="0"/>
                <w:numId w:val="1"/>
              </w:numPr>
              <w:jc w:val="left"/>
            </w:pPr>
            <w:r>
              <w:rPr>
                <w:rFonts w:ascii="Arial" w:cs="Arial" w:eastAsia="Arial" w:hAnsi="Arial"/>
                <w:b w:val="false"/>
                <w:bCs w:val="false"/>
                <w:i w:val="false"/>
                <w:iCs w:val="false"/>
                <w:sz w:val="20"/>
                <w:szCs w:val="20"/>
              </w:rPr>
              <w:t xml:space="preserve">Antagonizes copper</w:t>
            </w:r>
          </w:p>
        </w:tc>
      </w:tr>
      <w:tr>
        <w:tc>
          <w:tcPr>
            <w:gridSpan w:val="5"/>
            <w:tcBorders>
              <w:top w:val="single" w:color="000000" w:sz="4"/>
              <w:left w:val="single" w:color="000000" w:sz="4"/>
              <w:bottom w:val="single" w:color="000000" w:sz="4"/>
              <w:right w:val="single" w:color="000000" w:sz="4"/>
            </w:tcBorders>
          </w:tcPr>
          <w:p>
            <w:r>
              <w:rPr>
                <w:rFonts w:ascii="Arial" w:cs="Arial" w:eastAsia="Arial" w:hAnsi="Arial"/>
                <w:sz w:val="18"/>
                <w:szCs w:val="18"/>
              </w:rPr>
              <w:t xml:space="preserve">AR = autosomal recessive; T3 = triiodothyronine; T4 = thyroxine.</w:t>
            </w:r>
          </w:p>
        </w:tc>
      </w:tr>
    </w:tbl>
    <w:p>
      <w:pPr>
        <w:pStyle w:val="Heading1"/>
        <w:spacing w:after="120" w:before="240"/>
      </w:pPr>
      <w:r>
        <w:rPr>
          <w:rFonts w:ascii="Arial" w:cs="Arial" w:eastAsia="Arial" w:hAnsi="Arial"/>
          <w:b/>
          <w:bCs/>
          <w:color w:val="1F4E79"/>
          <w:sz w:val="30"/>
          <w:szCs w:val="30"/>
        </w:rPr>
        <w:t xml:space="preserve">Iron</w:t>
      </w:r>
    </w:p>
    <w:p>
      <w:pPr>
        <w:pStyle w:val="Heading2"/>
        <w:spacing w:after="120" w:before="240"/>
      </w:pPr>
      <w:r>
        <w:rPr>
          <w:rFonts w:ascii="Arial" w:cs="Arial" w:eastAsia="Arial" w:hAnsi="Arial"/>
          <w:b/>
          <w:bCs/>
          <w:color w:val="2E75B6"/>
          <w:sz w:val="26"/>
          <w:szCs w:val="26"/>
        </w:rPr>
        <w:t xml:space="preserve">Biochemistry &amp; Metabolism</w:t>
      </w:r>
    </w:p>
    <w:p>
      <w:pPr>
        <w:spacing w:after="160"/>
      </w:pPr>
      <w:r>
        <w:rPr>
          <w:rFonts w:ascii="Arial" w:cs="Arial" w:eastAsia="Arial" w:hAnsi="Arial"/>
          <w:b w:val="false"/>
          <w:bCs w:val="false"/>
          <w:i w:val="false"/>
          <w:iCs w:val="false"/>
          <w:sz w:val="22"/>
          <w:szCs w:val="22"/>
        </w:rPr>
        <w:t xml:space="preserve">Dietary iron exists in two forms:</w:t>
      </w:r>
    </w:p>
    <w:p>
      <w:pPr>
        <w:pStyle w:val="ListParagraph"/>
        <w:numPr>
          <w:ilvl w:val="0"/>
          <w:numId w:val="1"/>
        </w:numPr>
        <w:spacing w:after="80"/>
      </w:pPr>
      <w:r>
        <w:rPr>
          <w:rFonts w:ascii="Arial" w:cs="Arial" w:eastAsia="Arial" w:hAnsi="Arial"/>
          <w:b/>
          <w:bCs/>
          <w:i w:val="false"/>
          <w:iCs w:val="false"/>
          <w:sz w:val="22"/>
          <w:szCs w:val="22"/>
        </w:rPr>
        <w:t xml:space="preserve">Heme iron</w:t>
      </w:r>
      <w:r>
        <w:rPr>
          <w:rFonts w:ascii="Arial" w:cs="Arial" w:eastAsia="Arial" w:hAnsi="Arial"/>
          <w:b w:val="false"/>
          <w:bCs w:val="false"/>
          <w:i w:val="false"/>
          <w:iCs w:val="false"/>
          <w:sz w:val="22"/>
          <w:szCs w:val="22"/>
        </w:rPr>
        <w:t xml:space="preserve">: Fe2+, found in animal products, absorbed directly via heme carrier protein 1</w:t>
      </w:r>
    </w:p>
    <w:p>
      <w:pPr>
        <w:pStyle w:val="ListParagraph"/>
        <w:numPr>
          <w:ilvl w:val="0"/>
          <w:numId w:val="1"/>
        </w:numPr>
        <w:spacing w:after="80"/>
      </w:pPr>
      <w:r>
        <w:rPr>
          <w:rFonts w:ascii="Arial" w:cs="Arial" w:eastAsia="Arial" w:hAnsi="Arial"/>
          <w:b/>
          <w:bCs/>
          <w:i w:val="false"/>
          <w:iCs w:val="false"/>
          <w:sz w:val="22"/>
          <w:szCs w:val="22"/>
        </w:rPr>
        <w:t xml:space="preserve">Non-heme iron</w:t>
      </w:r>
      <w:r>
        <w:rPr>
          <w:rFonts w:ascii="Arial" w:cs="Arial" w:eastAsia="Arial" w:hAnsi="Arial"/>
          <w:b w:val="false"/>
          <w:bCs w:val="false"/>
          <w:i w:val="false"/>
          <w:iCs w:val="false"/>
          <w:sz w:val="22"/>
          <w:szCs w:val="22"/>
        </w:rPr>
        <w:t xml:space="preserve">: Fe3+, plant-derived, must be reduced to Fe2+ by duodenal cytochrome B before absorption via divalent metal transporter 1 (DMT-1)</w:t>
      </w:r>
    </w:p>
    <w:p>
      <w:pPr>
        <w:pStyle w:val="ListParagraph"/>
        <w:numPr>
          <w:ilvl w:val="0"/>
          <w:numId w:val="1"/>
        </w:numPr>
        <w:spacing w:after="80"/>
      </w:pPr>
      <w:r>
        <w:rPr>
          <w:rFonts w:ascii="Arial" w:cs="Arial" w:eastAsia="Arial" w:hAnsi="Arial"/>
          <w:b w:val="false"/>
          <w:bCs w:val="false"/>
          <w:i w:val="false"/>
          <w:iCs w:val="false"/>
          <w:sz w:val="22"/>
          <w:szCs w:val="22"/>
        </w:rPr>
        <w:t xml:space="preserve">Absorbed iron enters the portal circulation bound to </w:t>
      </w:r>
      <w:r>
        <w:rPr>
          <w:rFonts w:ascii="Arial" w:cs="Arial" w:eastAsia="Arial" w:hAnsi="Arial"/>
          <w:b/>
          <w:bCs/>
          <w:i w:val="false"/>
          <w:iCs w:val="false"/>
          <w:sz w:val="22"/>
          <w:szCs w:val="22"/>
        </w:rPr>
        <w:t xml:space="preserve">transferrin</w:t>
      </w:r>
      <w:r>
        <w:rPr>
          <w:rFonts w:ascii="Arial" w:cs="Arial" w:eastAsia="Arial" w:hAnsi="Arial"/>
          <w:b w:val="false"/>
          <w:bCs w:val="false"/>
          <w:i w:val="false"/>
          <w:iCs w:val="false"/>
          <w:sz w:val="22"/>
          <w:szCs w:val="22"/>
        </w:rPr>
        <w:t xml:space="preserve"> and is stored in hepatocytes and macrophages as </w:t>
      </w:r>
      <w:r>
        <w:rPr>
          <w:rFonts w:ascii="Arial" w:cs="Arial" w:eastAsia="Arial" w:hAnsi="Arial"/>
          <w:b/>
          <w:bCs/>
          <w:i w:val="false"/>
          <w:iCs w:val="false"/>
          <w:sz w:val="22"/>
          <w:szCs w:val="22"/>
        </w:rPr>
        <w:t xml:space="preserve">ferritin</w:t>
      </w:r>
      <w:r>
        <w:rPr>
          <w:rFonts w:ascii="Arial" w:cs="Arial" w:eastAsia="Arial" w:hAnsi="Arial"/>
          <w:b w:val="false"/>
          <w:bCs w:val="false"/>
          <w:i w:val="false"/>
          <w:iCs w:val="false"/>
          <w:sz w:val="22"/>
          <w:szCs w:val="22"/>
        </w:rPr>
        <w:t xml:space="preserve"> or </w:t>
      </w:r>
      <w:r>
        <w:rPr>
          <w:rFonts w:ascii="Arial" w:cs="Arial" w:eastAsia="Arial" w:hAnsi="Arial"/>
          <w:b/>
          <w:bCs/>
          <w:i w:val="false"/>
          <w:iCs w:val="false"/>
          <w:sz w:val="22"/>
          <w:szCs w:val="22"/>
        </w:rPr>
        <w:t xml:space="preserve">hemosiderin</w:t>
      </w:r>
    </w:p>
    <w:p>
      <w:pPr>
        <w:pStyle w:val="ListParagraph"/>
        <w:numPr>
          <w:ilvl w:val="0"/>
          <w:numId w:val="1"/>
        </w:numPr>
        <w:spacing w:after="80"/>
      </w:pPr>
      <w:r>
        <w:rPr>
          <w:rFonts w:ascii="Arial" w:cs="Arial" w:eastAsia="Arial" w:hAnsi="Arial"/>
          <w:b w:val="false"/>
          <w:bCs w:val="false"/>
          <w:i w:val="false"/>
          <w:iCs w:val="false"/>
          <w:sz w:val="22"/>
          <w:szCs w:val="22"/>
        </w:rPr>
        <w:t xml:space="preserve">Systemic iron homeostasis is regulated by </w:t>
      </w:r>
      <w:r>
        <w:rPr>
          <w:rFonts w:ascii="Arial" w:cs="Arial" w:eastAsia="Arial" w:hAnsi="Arial"/>
          <w:b/>
          <w:bCs/>
          <w:i w:val="false"/>
          <w:iCs w:val="false"/>
          <w:sz w:val="22"/>
          <w:szCs w:val="22"/>
        </w:rPr>
        <w:t xml:space="preserve">hepcidin</w:t>
      </w:r>
      <w:r>
        <w:rPr>
          <w:rFonts w:ascii="Arial" w:cs="Arial" w:eastAsia="Arial" w:hAnsi="Arial"/>
          <w:b w:val="false"/>
          <w:bCs w:val="false"/>
          <w:i w:val="false"/>
          <w:iCs w:val="false"/>
          <w:sz w:val="22"/>
          <w:szCs w:val="22"/>
        </w:rPr>
        <w:t xml:space="preserve">, a hepatic peptide that inhibits ferroportin (the iron exporter on enterocytes and macrophages), reducing intestinal iron absorption and iron release from stores when levels are adequate</w:t>
      </w:r>
    </w:p>
    <w:p>
      <w:pPr>
        <w:pStyle w:val="ListParagraph"/>
        <w:numPr>
          <w:ilvl w:val="0"/>
          <w:numId w:val="1"/>
        </w:numPr>
        <w:spacing w:after="80"/>
      </w:pPr>
      <w:r>
        <w:rPr>
          <w:rFonts w:ascii="Arial" w:cs="Arial" w:eastAsia="Arial" w:hAnsi="Arial"/>
          <w:b w:val="false"/>
          <w:bCs w:val="false"/>
          <w:i w:val="false"/>
          <w:iCs w:val="false"/>
          <w:sz w:val="22"/>
          <w:szCs w:val="22"/>
        </w:rPr>
        <w:t xml:space="preserve">Vitamin C enhances non-heme iron absorption by maintaining iron in the Fe2+ state</w:t>
      </w:r>
    </w:p>
    <w:p>
      <w:pPr>
        <w:pStyle w:val="ListParagraph"/>
        <w:numPr>
          <w:ilvl w:val="0"/>
          <w:numId w:val="1"/>
        </w:numPr>
        <w:spacing w:after="80"/>
      </w:pPr>
      <w:r>
        <w:rPr>
          <w:rFonts w:ascii="Arial" w:cs="Arial" w:eastAsia="Arial" w:hAnsi="Arial"/>
          <w:b w:val="false"/>
          <w:bCs w:val="false"/>
          <w:i w:val="false"/>
          <w:iCs w:val="false"/>
          <w:sz w:val="22"/>
          <w:szCs w:val="22"/>
        </w:rPr>
        <w:t xml:space="preserve">Phytates, tannins, and calcium inhibit absorption</w:t>
      </w:r>
    </w:p>
    <w:p>
      <w:pPr>
        <w:pStyle w:val="Heading2"/>
        <w:spacing w:after="120" w:before="240"/>
      </w:pPr>
      <w:r>
        <w:rPr>
          <w:rFonts w:ascii="Arial" w:cs="Arial" w:eastAsia="Arial" w:hAnsi="Arial"/>
          <w:b/>
          <w:bCs/>
          <w:color w:val="2E75B6"/>
          <w:sz w:val="26"/>
          <w:szCs w:val="26"/>
        </w:rPr>
        <w:t xml:space="preserve">Deficiency (Iron Deficiency Anemia)</w:t>
      </w:r>
    </w:p>
    <w:p>
      <w:pPr>
        <w:spacing w:after="160"/>
      </w:pPr>
      <w:r>
        <w:rPr>
          <w:rFonts w:ascii="Arial" w:cs="Arial" w:eastAsia="Arial" w:hAnsi="Arial"/>
          <w:b w:val="false"/>
          <w:bCs w:val="false"/>
          <w:i w:val="false"/>
          <w:iCs w:val="false"/>
          <w:sz w:val="22"/>
          <w:szCs w:val="22"/>
        </w:rPr>
        <w:t xml:space="preserve">Iron deficiency is the most common nutritional deficiency worldwide.</w:t>
      </w:r>
    </w:p>
    <w:p>
      <w:pPr>
        <w:pStyle w:val="ListParagraph"/>
        <w:numPr>
          <w:ilvl w:val="0"/>
          <w:numId w:val="1"/>
        </w:numPr>
        <w:spacing w:after="80"/>
      </w:pPr>
      <w:r>
        <w:rPr>
          <w:rFonts w:ascii="Arial" w:cs="Arial" w:eastAsia="Arial" w:hAnsi="Arial"/>
          <w:b/>
          <w:bCs/>
          <w:i w:val="false"/>
          <w:iCs w:val="false"/>
          <w:sz w:val="22"/>
          <w:szCs w:val="22"/>
        </w:rPr>
        <w:t xml:space="preserve">Etiology</w:t>
      </w:r>
    </w:p>
    <w:p>
      <w:pPr>
        <w:pStyle w:val="ListParagraph"/>
        <w:numPr>
          <w:ilvl w:val="0"/>
          <w:numId w:val="1"/>
        </w:numPr>
        <w:spacing w:after="80"/>
      </w:pPr>
      <w:r>
        <w:rPr>
          <w:rFonts w:ascii="Arial" w:cs="Arial" w:eastAsia="Arial" w:hAnsi="Arial"/>
          <w:b w:val="false"/>
          <w:bCs w:val="false"/>
          <w:i w:val="false"/>
          <w:iCs w:val="false"/>
          <w:sz w:val="22"/>
          <w:szCs w:val="22"/>
        </w:rPr>
        <w:t xml:space="preserve">Chronic blood loss (GI bleeding, menorrhagia)</w:t>
      </w:r>
    </w:p>
    <w:p>
      <w:pPr>
        <w:pStyle w:val="ListParagraph"/>
        <w:numPr>
          <w:ilvl w:val="0"/>
          <w:numId w:val="1"/>
        </w:numPr>
        <w:spacing w:after="80"/>
      </w:pPr>
      <w:r>
        <w:rPr>
          <w:rFonts w:ascii="Arial" w:cs="Arial" w:eastAsia="Arial" w:hAnsi="Arial"/>
          <w:b w:val="false"/>
          <w:bCs w:val="false"/>
          <w:i w:val="false"/>
          <w:iCs w:val="false"/>
          <w:sz w:val="22"/>
          <w:szCs w:val="22"/>
        </w:rPr>
        <w:t xml:space="preserve">Inadequate intake (eg, strict vegan diet, malnutrition)</w:t>
      </w:r>
    </w:p>
    <w:p>
      <w:pPr>
        <w:pStyle w:val="ListParagraph"/>
        <w:numPr>
          <w:ilvl w:val="0"/>
          <w:numId w:val="1"/>
        </w:numPr>
        <w:spacing w:after="80"/>
      </w:pPr>
      <w:r>
        <w:rPr>
          <w:rFonts w:ascii="Arial" w:cs="Arial" w:eastAsia="Arial" w:hAnsi="Arial"/>
          <w:b w:val="false"/>
          <w:bCs w:val="false"/>
          <w:i w:val="false"/>
          <w:iCs w:val="false"/>
          <w:sz w:val="22"/>
          <w:szCs w:val="22"/>
        </w:rPr>
        <w:t xml:space="preserve">Malabsorption (eg, celiac disease, achlorhydria, post-gastrectomy)</w:t>
      </w:r>
    </w:p>
    <w:p>
      <w:pPr>
        <w:pStyle w:val="ListParagraph"/>
        <w:numPr>
          <w:ilvl w:val="0"/>
          <w:numId w:val="1"/>
        </w:numPr>
        <w:spacing w:after="80"/>
      </w:pPr>
      <w:r>
        <w:rPr>
          <w:rFonts w:ascii="Arial" w:cs="Arial" w:eastAsia="Arial" w:hAnsi="Arial"/>
          <w:b w:val="false"/>
          <w:bCs w:val="false"/>
          <w:i w:val="false"/>
          <w:iCs w:val="false"/>
          <w:sz w:val="22"/>
          <w:szCs w:val="22"/>
        </w:rPr>
        <w:t xml:space="preserve">Increased demand (eg, pregnancy, infancy)</w:t>
      </w:r>
    </w:p>
    <w:p>
      <w:pPr>
        <w:pStyle w:val="ListParagraph"/>
        <w:numPr>
          <w:ilvl w:val="0"/>
          <w:numId w:val="1"/>
        </w:numPr>
        <w:spacing w:after="80"/>
      </w:pPr>
      <w:r>
        <w:rPr>
          <w:rFonts w:ascii="Arial" w:cs="Arial" w:eastAsia="Arial" w:hAnsi="Arial"/>
          <w:b/>
          <w:bCs/>
          <w:i w:val="false"/>
          <w:iCs w:val="false"/>
          <w:sz w:val="22"/>
          <w:szCs w:val="22"/>
        </w:rPr>
        <w:t xml:space="preserve">Clinical presentation</w:t>
      </w:r>
    </w:p>
    <w:p>
      <w:pPr>
        <w:pStyle w:val="ListParagraph"/>
        <w:numPr>
          <w:ilvl w:val="0"/>
          <w:numId w:val="1"/>
        </w:numPr>
        <w:spacing w:after="80"/>
      </w:pPr>
      <w:r>
        <w:rPr>
          <w:rFonts w:ascii="Arial" w:cs="Arial" w:eastAsia="Arial" w:hAnsi="Arial"/>
          <w:b w:val="false"/>
          <w:bCs w:val="false"/>
          <w:i w:val="false"/>
          <w:iCs w:val="false"/>
          <w:sz w:val="22"/>
          <w:szCs w:val="22"/>
        </w:rPr>
        <w:t xml:space="preserve">Fatigue</w:t>
      </w:r>
    </w:p>
    <w:p>
      <w:pPr>
        <w:pStyle w:val="ListParagraph"/>
        <w:numPr>
          <w:ilvl w:val="0"/>
          <w:numId w:val="1"/>
        </w:numPr>
        <w:spacing w:after="80"/>
      </w:pPr>
      <w:r>
        <w:rPr>
          <w:rFonts w:ascii="Arial" w:cs="Arial" w:eastAsia="Arial" w:hAnsi="Arial"/>
          <w:b w:val="false"/>
          <w:bCs w:val="false"/>
          <w:i w:val="false"/>
          <w:iCs w:val="false"/>
          <w:sz w:val="22"/>
          <w:szCs w:val="22"/>
        </w:rPr>
        <w:t xml:space="preserve">Pallor</w:t>
      </w:r>
    </w:p>
    <w:p>
      <w:pPr>
        <w:pStyle w:val="ListParagraph"/>
        <w:numPr>
          <w:ilvl w:val="0"/>
          <w:numId w:val="1"/>
        </w:numPr>
        <w:spacing w:after="80"/>
      </w:pPr>
      <w:r>
        <w:rPr>
          <w:rFonts w:ascii="Arial" w:cs="Arial" w:eastAsia="Arial" w:hAnsi="Arial"/>
          <w:b w:val="false"/>
          <w:bCs w:val="false"/>
          <w:i w:val="false"/>
          <w:iCs w:val="false"/>
          <w:sz w:val="22"/>
          <w:szCs w:val="22"/>
        </w:rPr>
        <w:t xml:space="preserve">Tachycardia</w:t>
      </w:r>
    </w:p>
    <w:p>
      <w:pPr>
        <w:pStyle w:val="ListParagraph"/>
        <w:numPr>
          <w:ilvl w:val="0"/>
          <w:numId w:val="1"/>
        </w:numPr>
        <w:spacing w:after="80"/>
      </w:pPr>
      <w:r>
        <w:rPr>
          <w:rFonts w:ascii="Arial" w:cs="Arial" w:eastAsia="Arial" w:hAnsi="Arial"/>
          <w:b/>
          <w:bCs/>
          <w:i w:val="false"/>
          <w:iCs w:val="false"/>
          <w:sz w:val="22"/>
          <w:szCs w:val="22"/>
        </w:rPr>
        <w:t xml:space="preserve">Koilonychia</w:t>
      </w:r>
      <w:r>
        <w:rPr>
          <w:rFonts w:ascii="Arial" w:cs="Arial" w:eastAsia="Arial" w:hAnsi="Arial"/>
          <w:b w:val="false"/>
          <w:bCs w:val="false"/>
          <w:i w:val="false"/>
          <w:iCs w:val="false"/>
          <w:sz w:val="22"/>
          <w:szCs w:val="22"/>
        </w:rPr>
        <w:t xml:space="preserve"> (spoon-shaped nails)</w:t>
      </w:r>
    </w:p>
    <w:p>
      <w:pPr>
        <w:pStyle w:val="ListParagraph"/>
        <w:numPr>
          <w:ilvl w:val="0"/>
          <w:numId w:val="1"/>
        </w:numPr>
        <w:spacing w:after="80"/>
      </w:pPr>
      <w:r>
        <w:rPr>
          <w:rFonts w:ascii="Arial" w:cs="Arial" w:eastAsia="Arial" w:hAnsi="Arial"/>
          <w:b/>
          <w:bCs/>
          <w:i w:val="false"/>
          <w:iCs w:val="false"/>
          <w:sz w:val="22"/>
          <w:szCs w:val="22"/>
        </w:rPr>
        <w:t xml:space="preserve">Glossitis</w:t>
      </w:r>
    </w:p>
    <w:p>
      <w:pPr>
        <w:pStyle w:val="ListParagraph"/>
        <w:numPr>
          <w:ilvl w:val="0"/>
          <w:numId w:val="1"/>
        </w:numPr>
        <w:spacing w:after="80"/>
      </w:pPr>
      <w:r>
        <w:rPr>
          <w:rFonts w:ascii="Arial" w:cs="Arial" w:eastAsia="Arial" w:hAnsi="Arial"/>
          <w:b w:val="false"/>
          <w:bCs w:val="false"/>
          <w:i w:val="false"/>
          <w:iCs w:val="false"/>
          <w:sz w:val="22"/>
          <w:szCs w:val="22"/>
        </w:rPr>
        <w:t xml:space="preserve">Angular cheilosis</w:t>
      </w:r>
    </w:p>
    <w:p>
      <w:pPr>
        <w:pStyle w:val="ListParagraph"/>
        <w:numPr>
          <w:ilvl w:val="0"/>
          <w:numId w:val="1"/>
        </w:numPr>
        <w:spacing w:after="80"/>
      </w:pPr>
      <w:r>
        <w:rPr>
          <w:rFonts w:ascii="Arial" w:cs="Arial" w:eastAsia="Arial" w:hAnsi="Arial"/>
          <w:b/>
          <w:bCs/>
          <w:i w:val="false"/>
          <w:iCs w:val="false"/>
          <w:sz w:val="22"/>
          <w:szCs w:val="22"/>
        </w:rPr>
        <w:t xml:space="preserve">Pica</w:t>
      </w:r>
      <w:r>
        <w:rPr>
          <w:rFonts w:ascii="Arial" w:cs="Arial" w:eastAsia="Arial" w:hAnsi="Arial"/>
          <w:b w:val="false"/>
          <w:bCs w:val="false"/>
          <w:i w:val="false"/>
          <w:iCs w:val="false"/>
          <w:sz w:val="22"/>
          <w:szCs w:val="22"/>
        </w:rPr>
        <w:t xml:space="preserve"> (craving non-food items)</w:t>
      </w:r>
    </w:p>
    <w:p>
      <w:pPr>
        <w:pStyle w:val="ListParagraph"/>
        <w:numPr>
          <w:ilvl w:val="0"/>
          <w:numId w:val="1"/>
        </w:numPr>
        <w:spacing w:after="80"/>
      </w:pPr>
      <w:r>
        <w:rPr>
          <w:rFonts w:ascii="Arial" w:cs="Arial" w:eastAsia="Arial" w:hAnsi="Arial"/>
          <w:b w:val="false"/>
          <w:bCs w:val="false"/>
          <w:i w:val="false"/>
          <w:iCs w:val="false"/>
          <w:sz w:val="22"/>
          <w:szCs w:val="22"/>
        </w:rPr>
        <w:t xml:space="preserve">Dysphagia combined with pharyngeal webs (</w:t>
      </w:r>
      <w:r>
        <w:rPr>
          <w:rFonts w:ascii="Arial" w:cs="Arial" w:eastAsia="Arial" w:hAnsi="Arial"/>
          <w:b/>
          <w:bCs/>
          <w:i w:val="false"/>
          <w:iCs w:val="false"/>
          <w:sz w:val="22"/>
          <w:szCs w:val="22"/>
        </w:rPr>
        <w:t xml:space="preserve">Plummer-Vinson syndrome</w:t>
      </w:r>
      <w:r>
        <w:rPr>
          <w:rFonts w:ascii="Arial" w:cs="Arial" w:eastAsia="Arial" w:hAnsi="Arial"/>
          <w:b w:val="false"/>
          <w:bCs w:val="false"/>
          <w:i w:val="false"/>
          <w:iCs w:val="false"/>
          <w:sz w:val="22"/>
          <w:szCs w:val="22"/>
        </w:rPr>
        <w:t xml:space="preserve">)</w:t>
      </w:r>
    </w:p>
    <w:p>
      <w:pPr>
        <w:pStyle w:val="ListParagraph"/>
        <w:numPr>
          <w:ilvl w:val="0"/>
          <w:numId w:val="1"/>
        </w:numPr>
        <w:spacing w:after="80"/>
      </w:pPr>
      <w:r>
        <w:rPr>
          <w:rFonts w:ascii="Arial" w:cs="Arial" w:eastAsia="Arial" w:hAnsi="Arial"/>
          <w:b/>
          <w:bCs/>
          <w:i w:val="false"/>
          <w:iCs w:val="false"/>
          <w:sz w:val="22"/>
          <w:szCs w:val="22"/>
        </w:rPr>
        <w:t xml:space="preserve">Laboratory findings</w:t>
      </w:r>
    </w:p>
    <w:p>
      <w:pPr>
        <w:pStyle w:val="ListParagraph"/>
        <w:numPr>
          <w:ilvl w:val="0"/>
          <w:numId w:val="1"/>
        </w:numPr>
        <w:spacing w:after="80"/>
      </w:pPr>
      <w:r>
        <w:rPr>
          <w:rFonts w:ascii="Arial" w:cs="Arial" w:eastAsia="Arial" w:hAnsi="Arial"/>
          <w:b/>
          <w:bCs/>
          <w:i w:val="false"/>
          <w:iCs w:val="false"/>
          <w:sz w:val="22"/>
          <w:szCs w:val="22"/>
        </w:rPr>
        <w:t xml:space="preserve">Microcytic, hypochromic anemia</w:t>
      </w:r>
    </w:p>
    <w:p>
      <w:pPr>
        <w:pStyle w:val="ListParagraph"/>
        <w:numPr>
          <w:ilvl w:val="0"/>
          <w:numId w:val="1"/>
        </w:numPr>
        <w:spacing w:after="80"/>
      </w:pPr>
      <w:r>
        <w:rPr>
          <w:rFonts w:ascii="Arial" w:cs="Arial" w:eastAsia="Arial" w:hAnsi="Arial"/>
          <w:b w:val="false"/>
          <w:bCs w:val="false"/>
          <w:i w:val="false"/>
          <w:iCs w:val="false"/>
          <w:sz w:val="22"/>
          <w:szCs w:val="22"/>
        </w:rPr>
        <w:t xml:space="preserve">Low mean corpuscular volume</w:t>
      </w:r>
    </w:p>
    <w:p>
      <w:pPr>
        <w:pStyle w:val="ListParagraph"/>
        <w:numPr>
          <w:ilvl w:val="0"/>
          <w:numId w:val="1"/>
        </w:numPr>
        <w:spacing w:after="80"/>
      </w:pPr>
      <w:r>
        <w:rPr>
          <w:rFonts w:ascii="Arial" w:cs="Arial" w:eastAsia="Arial" w:hAnsi="Arial"/>
          <w:b w:val="false"/>
          <w:bCs w:val="false"/>
          <w:i w:val="false"/>
          <w:iCs w:val="false"/>
          <w:sz w:val="22"/>
          <w:szCs w:val="22"/>
        </w:rPr>
        <w:t xml:space="preserve">Elevated red cell distribution width</w:t>
      </w:r>
    </w:p>
    <w:p>
      <w:pPr>
        <w:pStyle w:val="ListParagraph"/>
        <w:numPr>
          <w:ilvl w:val="0"/>
          <w:numId w:val="1"/>
        </w:numPr>
        <w:spacing w:after="80"/>
      </w:pPr>
      <w:r>
        <w:rPr>
          <w:rFonts w:ascii="Arial" w:cs="Arial" w:eastAsia="Arial" w:hAnsi="Arial"/>
          <w:b/>
          <w:bCs/>
          <w:i w:val="false"/>
          <w:iCs w:val="false"/>
          <w:sz w:val="22"/>
          <w:szCs w:val="22"/>
        </w:rPr>
        <w:t xml:space="preserve">Treatment</w:t>
      </w:r>
    </w:p>
    <w:p>
      <w:pPr>
        <w:pStyle w:val="ListParagraph"/>
        <w:numPr>
          <w:ilvl w:val="0"/>
          <w:numId w:val="1"/>
        </w:numPr>
        <w:spacing w:after="80"/>
      </w:pPr>
      <w:r>
        <w:rPr>
          <w:rFonts w:ascii="Arial" w:cs="Arial" w:eastAsia="Arial" w:hAnsi="Arial"/>
          <w:b w:val="false"/>
          <w:bCs w:val="false"/>
          <w:i w:val="false"/>
          <w:iCs w:val="false"/>
          <w:sz w:val="22"/>
          <w:szCs w:val="22"/>
        </w:rPr>
        <w:t xml:space="preserve">Oral ferrous sulfate is first-line</w:t>
      </w:r>
    </w:p>
    <w:p>
      <w:pPr>
        <w:pStyle w:val="ListParagraph"/>
        <w:numPr>
          <w:ilvl w:val="0"/>
          <w:numId w:val="1"/>
        </w:numPr>
        <w:spacing w:after="80"/>
      </w:pPr>
      <w:r>
        <w:rPr>
          <w:rFonts w:ascii="Arial" w:cs="Arial" w:eastAsia="Arial" w:hAnsi="Arial"/>
          <w:b w:val="false"/>
          <w:bCs w:val="false"/>
          <w:i w:val="false"/>
          <w:iCs w:val="false"/>
          <w:sz w:val="22"/>
          <w:szCs w:val="22"/>
        </w:rPr>
        <w:t xml:space="preserve">IV iron is used when oral therapy fails or is poorly tolerated (eg, inflammatory bowel disease, post-bariatric surgery)</w:t>
      </w:r>
    </w:p>
    <w:p>
      <w:pPr>
        <w:pStyle w:val="ListParagraph"/>
        <w:numPr>
          <w:ilvl w:val="0"/>
          <w:numId w:val="1"/>
        </w:numPr>
        <w:spacing w:after="80"/>
      </w:pPr>
      <w:r>
        <w:rPr>
          <w:rFonts w:ascii="Arial" w:cs="Arial" w:eastAsia="Arial" w:hAnsi="Arial"/>
          <w:b w:val="false"/>
          <w:bCs w:val="false"/>
          <w:i w:val="false"/>
          <w:iCs w:val="false"/>
          <w:sz w:val="22"/>
          <w:szCs w:val="22"/>
        </w:rPr>
        <w:t xml:space="preserve">Reticulocytosis peaks at 7-10 days after initiating therapy</w:t>
      </w:r>
    </w:p>
    <w:p>
      <w:pPr>
        <w:pStyle w:val="Heading2"/>
        <w:spacing w:after="120" w:before="240"/>
      </w:pPr>
      <w:r>
        <w:rPr>
          <w:rFonts w:ascii="Arial" w:cs="Arial" w:eastAsia="Arial" w:hAnsi="Arial"/>
          <w:b/>
          <w:bCs/>
          <w:color w:val="2E75B6"/>
          <w:sz w:val="26"/>
          <w:szCs w:val="26"/>
        </w:rPr>
        <w:t xml:space="preserve">Toxicity/Excess</w:t>
      </w:r>
    </w:p>
    <w:p>
      <w:pPr>
        <w:pStyle w:val="Heading3"/>
        <w:spacing w:after="120" w:before="240"/>
      </w:pPr>
      <w:r>
        <w:rPr>
          <w:rFonts w:ascii="Arial" w:cs="Arial" w:eastAsia="Arial" w:hAnsi="Arial"/>
          <w:b/>
          <w:bCs/>
          <w:color w:val="404040"/>
          <w:sz w:val="24"/>
          <w:szCs w:val="24"/>
        </w:rPr>
        <w:t xml:space="preserve">Hereditary Hemochromatosis</w:t>
      </w:r>
    </w:p>
    <w:p>
      <w:pPr>
        <w:pStyle w:val="ListParagraph"/>
        <w:numPr>
          <w:ilvl w:val="0"/>
          <w:numId w:val="1"/>
        </w:numPr>
        <w:spacing w:after="80"/>
      </w:pPr>
      <w:r>
        <w:rPr>
          <w:rFonts w:ascii="Arial" w:cs="Arial" w:eastAsia="Arial" w:hAnsi="Arial"/>
          <w:b w:val="false"/>
          <w:bCs w:val="false"/>
          <w:i w:val="false"/>
          <w:iCs w:val="false"/>
          <w:sz w:val="22"/>
          <w:szCs w:val="22"/>
        </w:rPr>
        <w:t xml:space="preserve">Epidemiology: most common inherited metabolic disorder in people of Northern European descent</w:t>
      </w:r>
    </w:p>
    <w:p>
      <w:pPr>
        <w:pStyle w:val="ListParagraph"/>
        <w:numPr>
          <w:ilvl w:val="0"/>
          <w:numId w:val="1"/>
        </w:numPr>
        <w:spacing w:after="80"/>
      </w:pPr>
      <w:r>
        <w:rPr>
          <w:rFonts w:ascii="Arial" w:cs="Arial" w:eastAsia="Arial" w:hAnsi="Arial"/>
          <w:b/>
          <w:bCs/>
          <w:i w:val="false"/>
          <w:iCs w:val="false"/>
          <w:sz w:val="22"/>
          <w:szCs w:val="22"/>
        </w:rPr>
        <w:t xml:space="preserve">Etiology</w:t>
      </w:r>
      <w:r>
        <w:rPr>
          <w:rFonts w:ascii="Arial" w:cs="Arial" w:eastAsia="Arial" w:hAnsi="Arial"/>
          <w:b w:val="false"/>
          <w:bCs w:val="false"/>
          <w:i w:val="false"/>
          <w:iCs w:val="false"/>
          <w:sz w:val="22"/>
          <w:szCs w:val="22"/>
        </w:rPr>
        <w:t xml:space="preserve">: most cases involve a homozygous </w:t>
      </w:r>
      <w:r>
        <w:rPr>
          <w:rFonts w:ascii="Arial" w:cs="Arial" w:eastAsia="Arial" w:hAnsi="Arial"/>
          <w:b/>
          <w:bCs/>
          <w:i w:val="false"/>
          <w:iCs w:val="false"/>
          <w:sz w:val="22"/>
          <w:szCs w:val="22"/>
        </w:rPr>
        <w:t xml:space="preserve">C282Y mutation in the HFE gene</w:t>
      </w:r>
      <w:r>
        <w:rPr>
          <w:rFonts w:ascii="Arial" w:cs="Arial" w:eastAsia="Arial" w:hAnsi="Arial"/>
          <w:b w:val="false"/>
          <w:bCs w:val="false"/>
          <w:i w:val="false"/>
          <w:iCs w:val="false"/>
          <w:sz w:val="22"/>
          <w:szCs w:val="22"/>
        </w:rPr>
        <w:t xml:space="preserve"> (chromosome 6). HFE protein normally interacts with transferrin receptor to sense iron saturation; loss of function leads to inappropriately low hepcidin production and excess iron absorption</w:t>
      </w:r>
    </w:p>
    <w:p>
      <w:pPr>
        <w:pStyle w:val="ListParagraph"/>
        <w:numPr>
          <w:ilvl w:val="0"/>
          <w:numId w:val="1"/>
        </w:numPr>
        <w:spacing w:after="80"/>
      </w:pPr>
      <w:r>
        <w:rPr>
          <w:rFonts w:ascii="Arial" w:cs="Arial" w:eastAsia="Arial" w:hAnsi="Arial"/>
          <w:b w:val="false"/>
          <w:bCs w:val="false"/>
          <w:i w:val="false"/>
          <w:iCs w:val="false"/>
          <w:sz w:val="22"/>
          <w:szCs w:val="22"/>
        </w:rPr>
        <w:t xml:space="preserve">Pathophysiology: dysregulated iron absorption, leading to progressive iron deposition in liver, pancreas, heart, skin, pituitary, and joints</w:t>
      </w:r>
    </w:p>
    <w:p>
      <w:pPr>
        <w:pStyle w:val="ListParagraph"/>
        <w:numPr>
          <w:ilvl w:val="0"/>
          <w:numId w:val="1"/>
        </w:numPr>
        <w:spacing w:after="80"/>
      </w:pPr>
      <w:r>
        <w:rPr>
          <w:rFonts w:ascii="Arial" w:cs="Arial" w:eastAsia="Arial" w:hAnsi="Arial"/>
          <w:b/>
          <w:bCs/>
          <w:i w:val="false"/>
          <w:iCs w:val="false"/>
          <w:sz w:val="22"/>
          <w:szCs w:val="22"/>
        </w:rPr>
        <w:t xml:space="preserve">Classic triad</w:t>
      </w:r>
    </w:p>
    <w:p>
      <w:pPr>
        <w:pStyle w:val="ListParagraph"/>
        <w:numPr>
          <w:ilvl w:val="0"/>
          <w:numId w:val="1"/>
        </w:numPr>
        <w:spacing w:after="80"/>
      </w:pPr>
      <w:r>
        <w:rPr>
          <w:rFonts w:ascii="Arial" w:cs="Arial" w:eastAsia="Arial" w:hAnsi="Arial"/>
          <w:b/>
          <w:bCs/>
          <w:i w:val="false"/>
          <w:iCs w:val="false"/>
          <w:sz w:val="22"/>
          <w:szCs w:val="22"/>
        </w:rPr>
        <w:t xml:space="preserve">Bronze diabetes</w:t>
      </w:r>
      <w:r>
        <w:rPr>
          <w:rFonts w:ascii="Arial" w:cs="Arial" w:eastAsia="Arial" w:hAnsi="Arial"/>
          <w:b w:val="false"/>
          <w:bCs w:val="false"/>
          <w:i w:val="false"/>
          <w:iCs w:val="false"/>
          <w:sz w:val="22"/>
          <w:szCs w:val="22"/>
        </w:rPr>
        <w:t xml:space="preserve"> (skin hyperpigmentation + diabetes mellitus)</w:t>
      </w:r>
    </w:p>
    <w:p>
      <w:pPr>
        <w:pStyle w:val="ListParagraph"/>
        <w:numPr>
          <w:ilvl w:val="0"/>
          <w:numId w:val="1"/>
        </w:numPr>
        <w:spacing w:after="80"/>
      </w:pPr>
      <w:r>
        <w:rPr>
          <w:rFonts w:ascii="Arial" w:cs="Arial" w:eastAsia="Arial" w:hAnsi="Arial"/>
          <w:b/>
          <w:bCs/>
          <w:i w:val="false"/>
          <w:iCs w:val="false"/>
          <w:sz w:val="22"/>
          <w:szCs w:val="22"/>
        </w:rPr>
        <w:t xml:space="preserve">Cirrhosis</w:t>
      </w:r>
    </w:p>
    <w:p>
      <w:pPr>
        <w:pStyle w:val="ListParagraph"/>
        <w:numPr>
          <w:ilvl w:val="0"/>
          <w:numId w:val="1"/>
        </w:numPr>
        <w:spacing w:after="80"/>
      </w:pPr>
      <w:r>
        <w:rPr>
          <w:rFonts w:ascii="Arial" w:cs="Arial" w:eastAsia="Arial" w:hAnsi="Arial"/>
          <w:b/>
          <w:bCs/>
          <w:i w:val="false"/>
          <w:iCs w:val="false"/>
          <w:sz w:val="22"/>
          <w:szCs w:val="22"/>
        </w:rPr>
        <w:t xml:space="preserve">Cardiomyopathy</w:t>
      </w:r>
    </w:p>
    <w:p>
      <w:pPr>
        <w:pStyle w:val="ListParagraph"/>
        <w:numPr>
          <w:ilvl w:val="0"/>
          <w:numId w:val="1"/>
        </w:numPr>
        <w:spacing w:after="80"/>
      </w:pPr>
      <w:r>
        <w:rPr>
          <w:rFonts w:ascii="Arial" w:cs="Arial" w:eastAsia="Arial" w:hAnsi="Arial"/>
          <w:b w:val="false"/>
          <w:bCs w:val="false"/>
          <w:i w:val="false"/>
          <w:iCs w:val="false"/>
          <w:sz w:val="22"/>
          <w:szCs w:val="22"/>
        </w:rPr>
        <w:t xml:space="preserve">Additional features include hypogonadism, arthropathy (especially second and third metacarpophalangeal [MCP] joints), and elevated liver enzymes</w:t>
      </w:r>
    </w:p>
    <w:p>
      <w:pPr>
        <w:pStyle w:val="ListParagraph"/>
        <w:numPr>
          <w:ilvl w:val="0"/>
          <w:numId w:val="1"/>
        </w:numPr>
        <w:spacing w:after="80"/>
      </w:pPr>
      <w:r>
        <w:rPr>
          <w:rFonts w:ascii="Arial" w:cs="Arial" w:eastAsia="Arial" w:hAnsi="Arial"/>
          <w:b/>
          <w:bCs/>
          <w:i w:val="false"/>
          <w:iCs w:val="false"/>
          <w:sz w:val="22"/>
          <w:szCs w:val="22"/>
        </w:rPr>
        <w:t xml:space="preserve">Screening</w:t>
      </w:r>
    </w:p>
    <w:p>
      <w:pPr>
        <w:pStyle w:val="ListParagraph"/>
        <w:numPr>
          <w:ilvl w:val="0"/>
          <w:numId w:val="1"/>
        </w:numPr>
        <w:spacing w:after="80"/>
      </w:pPr>
      <w:r>
        <w:rPr>
          <w:rFonts w:ascii="Arial" w:cs="Arial" w:eastAsia="Arial" w:hAnsi="Arial"/>
          <w:b w:val="false"/>
          <w:bCs w:val="false"/>
          <w:i w:val="false"/>
          <w:iCs w:val="false"/>
          <w:sz w:val="22"/>
          <w:szCs w:val="22"/>
        </w:rPr>
        <w:t xml:space="preserve">Transferrin saturation &gt; 45% is the most sensitive initial test</w:t>
      </w:r>
    </w:p>
    <w:p>
      <w:pPr>
        <w:pStyle w:val="ListParagraph"/>
        <w:numPr>
          <w:ilvl w:val="0"/>
          <w:numId w:val="1"/>
        </w:numPr>
        <w:spacing w:after="80"/>
      </w:pPr>
      <w:r>
        <w:rPr>
          <w:rFonts w:ascii="Arial" w:cs="Arial" w:eastAsia="Arial" w:hAnsi="Arial"/>
          <w:b w:val="false"/>
          <w:bCs w:val="false"/>
          <w:i w:val="false"/>
          <w:iCs w:val="false"/>
          <w:sz w:val="22"/>
          <w:szCs w:val="22"/>
        </w:rPr>
        <w:t xml:space="preserve">Elevated serum ferritin is supportive but nonspecific</w:t>
      </w:r>
    </w:p>
    <w:p>
      <w:pPr>
        <w:pStyle w:val="ListParagraph"/>
        <w:numPr>
          <w:ilvl w:val="0"/>
          <w:numId w:val="1"/>
        </w:numPr>
        <w:spacing w:after="80"/>
      </w:pPr>
      <w:r>
        <w:rPr>
          <w:rFonts w:ascii="Arial" w:cs="Arial" w:eastAsia="Arial" w:hAnsi="Arial"/>
          <w:b w:val="false"/>
          <w:bCs w:val="false"/>
          <w:i w:val="false"/>
          <w:iCs w:val="false"/>
          <w:sz w:val="22"/>
          <w:szCs w:val="22"/>
        </w:rPr>
        <w:t xml:space="preserve">Confirmatory testing uses HFE genetic testing for C282Y homozygosity</w:t>
      </w:r>
    </w:p>
    <w:p>
      <w:pPr>
        <w:pStyle w:val="ListParagraph"/>
        <w:numPr>
          <w:ilvl w:val="0"/>
          <w:numId w:val="1"/>
        </w:numPr>
        <w:spacing w:after="80"/>
      </w:pPr>
      <w:r>
        <w:rPr>
          <w:rFonts w:ascii="Arial" w:cs="Arial" w:eastAsia="Arial" w:hAnsi="Arial"/>
          <w:b/>
          <w:bCs/>
          <w:i w:val="false"/>
          <w:iCs w:val="false"/>
          <w:sz w:val="22"/>
          <w:szCs w:val="22"/>
        </w:rPr>
        <w:t xml:space="preserve">Treatment</w:t>
      </w:r>
    </w:p>
    <w:p>
      <w:pPr>
        <w:pStyle w:val="ListParagraph"/>
        <w:numPr>
          <w:ilvl w:val="0"/>
          <w:numId w:val="1"/>
        </w:numPr>
        <w:spacing w:after="80"/>
      </w:pPr>
      <w:r>
        <w:rPr>
          <w:rFonts w:ascii="Arial" w:cs="Arial" w:eastAsia="Arial" w:hAnsi="Arial"/>
          <w:b w:val="false"/>
          <w:bCs w:val="false"/>
          <w:i w:val="false"/>
          <w:iCs w:val="false"/>
          <w:sz w:val="22"/>
          <w:szCs w:val="22"/>
        </w:rPr>
        <w:t xml:space="preserve">Therapeutic phlebotomy (removing 1 unit of blood per week until ferritin &lt; 50 ng/mL, then maintenance phlebotomy)</w:t>
      </w:r>
    </w:p>
    <w:p>
      <w:pPr>
        <w:pStyle w:val="ListParagraph"/>
        <w:numPr>
          <w:ilvl w:val="0"/>
          <w:numId w:val="1"/>
        </w:numPr>
        <w:spacing w:after="80"/>
      </w:pPr>
      <w:r>
        <w:rPr>
          <w:rFonts w:ascii="Arial" w:cs="Arial" w:eastAsia="Arial" w:hAnsi="Arial"/>
          <w:b w:val="false"/>
          <w:bCs w:val="false"/>
          <w:i w:val="false"/>
          <w:iCs w:val="false"/>
          <w:sz w:val="22"/>
          <w:szCs w:val="22"/>
        </w:rPr>
        <w:t xml:space="preserve">Chelation with </w:t>
      </w:r>
      <w:r>
        <w:rPr>
          <w:rFonts w:ascii="Arial" w:cs="Arial" w:eastAsia="Arial" w:hAnsi="Arial"/>
          <w:b/>
          <w:bCs/>
          <w:i w:val="false"/>
          <w:iCs w:val="false"/>
          <w:sz w:val="22"/>
          <w:szCs w:val="22"/>
        </w:rPr>
        <w:t xml:space="preserve">deferoxamine</w:t>
      </w:r>
      <w:r>
        <w:rPr>
          <w:rFonts w:ascii="Arial" w:cs="Arial" w:eastAsia="Arial" w:hAnsi="Arial"/>
          <w:b w:val="false"/>
          <w:bCs w:val="false"/>
          <w:i w:val="false"/>
          <w:iCs w:val="false"/>
          <w:sz w:val="22"/>
          <w:szCs w:val="22"/>
        </w:rPr>
        <w:t xml:space="preserve"> is used when phlebotomy is contraindicated (eg, significant anemia)</w:t>
      </w:r>
    </w:p>
    <w:p>
      <w:pPr>
        <w:pStyle w:val="ListParagraph"/>
        <w:numPr>
          <w:ilvl w:val="0"/>
          <w:numId w:val="1"/>
        </w:numPr>
        <w:spacing w:after="80"/>
      </w:pPr>
      <w:r>
        <w:rPr>
          <w:rFonts w:ascii="Arial" w:cs="Arial" w:eastAsia="Arial" w:hAnsi="Arial"/>
          <w:b/>
          <w:bCs/>
          <w:i w:val="false"/>
          <w:iCs w:val="false"/>
          <w:sz w:val="22"/>
          <w:szCs w:val="22"/>
        </w:rPr>
        <w:t xml:space="preserve">Complications</w:t>
      </w:r>
      <w:r>
        <w:rPr>
          <w:rFonts w:ascii="Arial" w:cs="Arial" w:eastAsia="Arial" w:hAnsi="Arial"/>
          <w:b w:val="false"/>
          <w:bCs w:val="false"/>
          <w:i w:val="false"/>
          <w:iCs w:val="false"/>
          <w:sz w:val="22"/>
          <w:szCs w:val="22"/>
        </w:rPr>
        <w:t xml:space="preserve">: hepatocellular carcinoma risk is increased ~200-fold in patients with hereditary hemochromatosis and cirrhosis. Phlebotomy reduces but does not eliminate this risk</w:t>
      </w:r>
    </w:p>
    <w:p>
      <w:pPr>
        <w:spacing w:after="160"/>
      </w:pPr>
      <w:r>
        <w:rPr>
          <w:rFonts w:ascii="Arial" w:cs="Arial" w:eastAsia="Arial" w:hAnsi="Arial"/>
          <w:b/>
          <w:bCs/>
          <w:i w:val="false"/>
          <w:iCs w:val="false"/>
          <w:sz w:val="22"/>
          <w:szCs w:val="22"/>
        </w:rPr>
        <w:t xml:space="preserve">Lab findings</w:t>
      </w:r>
      <w:r>
        <w:rPr>
          <w:rFonts w:ascii="Arial" w:cs="Arial" w:eastAsia="Arial" w:hAnsi="Arial"/>
          <w:b w:val="false"/>
          <w:bCs w:val="false"/>
          <w:i w:val="false"/>
          <w:iCs w:val="false"/>
          <w:sz w:val="22"/>
          <w:szCs w:val="22"/>
        </w:rPr>
        <w:t xml:space="preserve">: the table below summarizes the pattern of iron studies in deficiency vs. overload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860"/>
        <w:gridCol w:w="2500"/>
      </w:tblGrid>
      <w:tr>
        <w:tc>
          <w:tcPr>
            <w:gridSpan w:val="4"/>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Iron Studies in Iron Deficiency vs. Iron Overload</w:t>
            </w:r>
          </w:p>
        </w:tc>
      </w:tr>
      <w:tr>
        <w:tc>
          <w:tcPr>
            <w:tcW w:type="dxa" w:w="19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Lab Value</w:t>
            </w:r>
          </w:p>
        </w:tc>
        <w:tc>
          <w:tcPr>
            <w:tcW w:type="dxa" w:w="21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Iron Deficiency</w:t>
            </w:r>
          </w:p>
        </w:tc>
        <w:tc>
          <w:tcPr>
            <w:tcW w:type="dxa" w:w="28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Iron Overload / Hemochromatosis</w:t>
            </w:r>
          </w:p>
        </w:tc>
        <w:tc>
          <w:tcPr>
            <w:tcW w:type="dxa" w:w="25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Notes</w:t>
            </w:r>
          </w:p>
        </w:tc>
      </w:tr>
      <w:tr>
        <w:tc>
          <w:tcPr>
            <w:tcW w:type="dxa" w:w="19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Serum Iron</w:t>
            </w:r>
          </w:p>
        </w:tc>
        <w:tc>
          <w:tcPr>
            <w:tcW w:type="dxa" w:w="21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w:t>
            </w:r>
          </w:p>
        </w:tc>
        <w:tc>
          <w:tcPr>
            <w:tcW w:type="dxa" w:w="2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w:t>
            </w:r>
          </w:p>
        </w:tc>
        <w:tc>
          <w:tcPr>
            <w:tcW w:type="dxa" w:w="2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Reflects circulating iron, not stored iron</w:t>
            </w:r>
          </w:p>
        </w:tc>
      </w:tr>
      <w:tr>
        <w:tc>
          <w:tcPr>
            <w:tcW w:type="dxa" w:w="19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Serum Ferritin</w:t>
            </w:r>
          </w:p>
        </w:tc>
        <w:tc>
          <w:tcPr>
            <w:tcW w:type="dxa" w:w="21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 (most sensitive early marker)</w:t>
            </w:r>
          </w:p>
        </w:tc>
        <w:tc>
          <w:tcPr>
            <w:tcW w:type="dxa" w:w="2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w:t>
            </w:r>
          </w:p>
        </w:tc>
        <w:tc>
          <w:tcPr>
            <w:tcW w:type="dxa" w:w="2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sz w:val="20"/>
                <w:szCs w:val="20"/>
              </w:rPr>
              <w:t xml:space="preserve"/>
            </w:r>
          </w:p>
        </w:tc>
      </w:tr>
      <w:tr>
        <w:tc>
          <w:tcPr>
            <w:tcW w:type="dxa" w:w="19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Total Iron-binding Capacity (TIBC)</w:t>
            </w:r>
          </w:p>
        </w:tc>
        <w:tc>
          <w:tcPr>
            <w:tcW w:type="dxa" w:w="21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 (transferrin is upregulated)</w:t>
            </w:r>
          </w:p>
        </w:tc>
        <w:tc>
          <w:tcPr>
            <w:tcW w:type="dxa" w:w="2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w:t>
            </w:r>
          </w:p>
        </w:tc>
        <w:tc>
          <w:tcPr>
            <w:tcW w:type="dxa" w:w="2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Reflects transferrin availability</w:t>
            </w:r>
          </w:p>
        </w:tc>
      </w:tr>
      <w:tr>
        <w:tc>
          <w:tcPr>
            <w:tcW w:type="dxa" w:w="19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Transferrin Saturation</w:t>
            </w:r>
          </w:p>
        </w:tc>
        <w:tc>
          <w:tcPr>
            <w:tcW w:type="dxa" w:w="21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 (&lt; 15%)</w:t>
            </w:r>
          </w:p>
        </w:tc>
        <w:tc>
          <w:tcPr>
            <w:tcW w:type="dxa" w:w="2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 (&gt; 45%)</w:t>
            </w:r>
          </w:p>
        </w:tc>
        <w:tc>
          <w:tcPr>
            <w:tcW w:type="dxa" w:w="2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sz w:val="20"/>
                <w:szCs w:val="20"/>
              </w:rPr>
              <w:t xml:space="preserve"/>
            </w:r>
          </w:p>
        </w:tc>
      </w:tr>
      <w:tr>
        <w:tc>
          <w:tcPr>
            <w:tcW w:type="dxa" w:w="19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RBC Morphology</w:t>
            </w:r>
          </w:p>
        </w:tc>
        <w:tc>
          <w:tcPr>
            <w:tcW w:type="dxa" w:w="21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Microcytic, hypochromic; target cells in severe deficiency</w:t>
            </w:r>
          </w:p>
        </w:tc>
        <w:tc>
          <w:tcPr>
            <w:tcW w:type="dxa" w:w="2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Normal (late disease may show damage)</w:t>
            </w:r>
          </w:p>
        </w:tc>
        <w:tc>
          <w:tcPr>
            <w:tcW w:type="dxa" w:w="2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sz w:val="20"/>
                <w:szCs w:val="20"/>
              </w:rPr>
              <w:t xml:space="preserve"/>
            </w:r>
          </w:p>
        </w:tc>
      </w:tr>
      <w:tr>
        <w:tc>
          <w:tcPr>
            <w:gridSpan w:val="4"/>
            <w:tcBorders>
              <w:top w:val="single" w:color="000000" w:sz="4"/>
              <w:left w:val="single" w:color="000000" w:sz="4"/>
              <w:bottom w:val="single" w:color="000000" w:sz="4"/>
              <w:right w:val="single" w:color="000000" w:sz="4"/>
            </w:tcBorders>
          </w:tcPr>
          <w:p>
            <w:r>
              <w:rPr>
                <w:rFonts w:ascii="Arial" w:cs="Arial" w:eastAsia="Arial" w:hAnsi="Arial"/>
                <w:sz w:val="18"/>
                <w:szCs w:val="18"/>
              </w:rPr>
              <w:t xml:space="preserve">RBC = red blood cell.</w:t>
            </w:r>
          </w:p>
        </w:tc>
      </w:tr>
    </w:tbl>
    <w:p>
      <w:pPr>
        <w:pStyle w:val="Heading1"/>
        <w:spacing w:after="120" w:before="240"/>
      </w:pPr>
      <w:r>
        <w:rPr>
          <w:rFonts w:ascii="Arial" w:cs="Arial" w:eastAsia="Arial" w:hAnsi="Arial"/>
          <w:b/>
          <w:bCs/>
          <w:color w:val="1F4E79"/>
          <w:sz w:val="30"/>
          <w:szCs w:val="30"/>
        </w:rPr>
        <w:t xml:space="preserve">Zinc</w:t>
      </w:r>
    </w:p>
    <w:p>
      <w:pPr>
        <w:pStyle w:val="Heading2"/>
        <w:spacing w:after="120" w:before="240"/>
      </w:pPr>
      <w:r>
        <w:rPr>
          <w:rFonts w:ascii="Arial" w:cs="Arial" w:eastAsia="Arial" w:hAnsi="Arial"/>
          <w:b/>
          <w:bCs/>
          <w:color w:val="2E75B6"/>
          <w:sz w:val="26"/>
          <w:szCs w:val="26"/>
        </w:rPr>
        <w:t xml:space="preserve">Biochemistry &amp; Function</w:t>
      </w:r>
    </w:p>
    <w:p>
      <w:pPr>
        <w:pStyle w:val="ListParagraph"/>
        <w:numPr>
          <w:ilvl w:val="0"/>
          <w:numId w:val="1"/>
        </w:numPr>
        <w:spacing w:after="80"/>
      </w:pPr>
      <w:r>
        <w:rPr>
          <w:rFonts w:ascii="Arial" w:cs="Arial" w:eastAsia="Arial" w:hAnsi="Arial"/>
          <w:b w:val="false"/>
          <w:bCs w:val="false"/>
          <w:i w:val="false"/>
          <w:iCs w:val="false"/>
          <w:sz w:val="22"/>
          <w:szCs w:val="22"/>
        </w:rPr>
        <w:t xml:space="preserve">Zinc is required for the activity of more than 300 enzymes, including </w:t>
      </w:r>
      <w:r>
        <w:rPr>
          <w:rFonts w:ascii="Arial" w:cs="Arial" w:eastAsia="Arial" w:hAnsi="Arial"/>
          <w:b/>
          <w:bCs/>
          <w:i w:val="false"/>
          <w:iCs w:val="false"/>
          <w:sz w:val="22"/>
          <w:szCs w:val="22"/>
        </w:rPr>
        <w:t xml:space="preserve">carbonic anhydrase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alkaline phosphatase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carboxypeptidase</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RNA/DNA polymerases</w:t>
      </w:r>
    </w:p>
    <w:p>
      <w:pPr>
        <w:pStyle w:val="ListParagraph"/>
        <w:numPr>
          <w:ilvl w:val="0"/>
          <w:numId w:val="1"/>
        </w:numPr>
        <w:spacing w:after="80"/>
      </w:pPr>
      <w:r>
        <w:rPr>
          <w:rFonts w:ascii="Arial" w:cs="Arial" w:eastAsia="Arial" w:hAnsi="Arial"/>
          <w:b w:val="false"/>
          <w:bCs w:val="false"/>
          <w:i w:val="false"/>
          <w:iCs w:val="false"/>
          <w:sz w:val="22"/>
          <w:szCs w:val="22"/>
        </w:rPr>
        <w:t xml:space="preserve">Zinc also serves a structural role in </w:t>
      </w:r>
      <w:r>
        <w:rPr>
          <w:rFonts w:ascii="Arial" w:cs="Arial" w:eastAsia="Arial" w:hAnsi="Arial"/>
          <w:b/>
          <w:bCs/>
          <w:i w:val="false"/>
          <w:iCs w:val="false"/>
          <w:sz w:val="22"/>
          <w:szCs w:val="22"/>
        </w:rPr>
        <w:t xml:space="preserve">zinc-finger transcription factors</w:t>
      </w:r>
      <w:r>
        <w:rPr>
          <w:rFonts w:ascii="Arial" w:cs="Arial" w:eastAsia="Arial" w:hAnsi="Arial"/>
          <w:b w:val="false"/>
          <w:bCs w:val="false"/>
          <w:i w:val="false"/>
          <w:iCs w:val="false"/>
          <w:sz w:val="22"/>
          <w:szCs w:val="22"/>
        </w:rPr>
        <w:t xml:space="preserve"> and nuclear hormone receptors</w:t>
      </w:r>
    </w:p>
    <w:p>
      <w:pPr>
        <w:pStyle w:val="ListParagraph"/>
        <w:numPr>
          <w:ilvl w:val="0"/>
          <w:numId w:val="1"/>
        </w:numPr>
        <w:spacing w:after="80"/>
      </w:pPr>
      <w:r>
        <w:rPr>
          <w:rFonts w:ascii="Arial" w:cs="Arial" w:eastAsia="Arial" w:hAnsi="Arial"/>
          <w:b w:val="false"/>
          <w:bCs w:val="false"/>
          <w:i w:val="false"/>
          <w:iCs w:val="false"/>
          <w:sz w:val="22"/>
          <w:szCs w:val="22"/>
        </w:rPr>
        <w:t xml:space="preserve">Absorbed in the small intestine via ZIP4 transporter (encoded by </w:t>
      </w:r>
      <w:r>
        <w:rPr>
          <w:rFonts w:ascii="Arial" w:cs="Arial" w:eastAsia="Arial" w:hAnsi="Arial"/>
          <w:b/>
          <w:bCs/>
          <w:i w:val="false"/>
          <w:iCs w:val="false"/>
          <w:sz w:val="22"/>
          <w:szCs w:val="22"/>
        </w:rPr>
        <w:t xml:space="preserve">SLC39A4</w:t>
      </w:r>
      <w:r>
        <w:rPr>
          <w:rFonts w:ascii="Arial" w:cs="Arial" w:eastAsia="Arial" w:hAnsi="Arial"/>
          <w:b w:val="false"/>
          <w:bCs w:val="false"/>
          <w:i w:val="false"/>
          <w:iCs w:val="false"/>
          <w:sz w:val="22"/>
          <w:szCs w:val="22"/>
        </w:rPr>
        <w:t xml:space="preserve">)</w:t>
      </w:r>
    </w:p>
    <w:p>
      <w:pPr>
        <w:pStyle w:val="Heading2"/>
        <w:spacing w:after="120" w:before="240"/>
      </w:pPr>
      <w:r>
        <w:rPr>
          <w:rFonts w:ascii="Arial" w:cs="Arial" w:eastAsia="Arial" w:hAnsi="Arial"/>
          <w:b/>
          <w:bCs/>
          <w:color w:val="2E75B6"/>
          <w:sz w:val="26"/>
          <w:szCs w:val="26"/>
        </w:rPr>
        <w:t xml:space="preserve">Deficiency</w:t>
      </w:r>
    </w:p>
    <w:p>
      <w:pPr>
        <w:spacing w:after="160"/>
      </w:pPr>
      <w:r>
        <w:rPr>
          <w:rFonts w:ascii="Arial" w:cs="Arial" w:eastAsia="Arial" w:hAnsi="Arial"/>
          <w:b w:val="false"/>
          <w:bCs w:val="false"/>
          <w:i w:val="false"/>
          <w:iCs w:val="false"/>
          <w:sz w:val="22"/>
          <w:szCs w:val="22"/>
        </w:rPr>
        <w:t xml:space="preserve">Zinc deficiency is most dramatically illustrated by </w:t>
      </w:r>
      <w:r>
        <w:rPr>
          <w:rFonts w:ascii="Arial" w:cs="Arial" w:eastAsia="Arial" w:hAnsi="Arial"/>
          <w:b/>
          <w:bCs/>
          <w:i w:val="false"/>
          <w:iCs w:val="false"/>
          <w:sz w:val="22"/>
          <w:szCs w:val="22"/>
        </w:rPr>
        <w:t xml:space="preserve">acrodermatitis enteropathica</w:t>
      </w:r>
    </w:p>
    <w:p>
      <w:pPr>
        <w:pStyle w:val="ListParagraph"/>
        <w:numPr>
          <w:ilvl w:val="0"/>
          <w:numId w:val="1"/>
        </w:numPr>
        <w:spacing w:after="80"/>
      </w:pPr>
      <w:r>
        <w:rPr>
          <w:rFonts w:ascii="Arial" w:cs="Arial" w:eastAsia="Arial" w:hAnsi="Arial"/>
          <w:b w:val="false"/>
          <w:bCs w:val="false"/>
          <w:i w:val="false"/>
          <w:iCs w:val="false"/>
          <w:sz w:val="22"/>
          <w:szCs w:val="22"/>
        </w:rPr>
        <w:t xml:space="preserve">Etiology: autosomal recessive disorder caused by loss-of-function mutations in </w:t>
      </w:r>
      <w:r>
        <w:rPr>
          <w:rFonts w:ascii="Arial" w:cs="Arial" w:eastAsia="Arial" w:hAnsi="Arial"/>
          <w:b/>
          <w:bCs/>
          <w:i w:val="false"/>
          <w:iCs w:val="false"/>
          <w:sz w:val="22"/>
          <w:szCs w:val="22"/>
        </w:rPr>
        <w:t xml:space="preserve">SLC39A4</w:t>
      </w:r>
      <w:r>
        <w:rPr>
          <w:rFonts w:ascii="Arial" w:cs="Arial" w:eastAsia="Arial" w:hAnsi="Arial"/>
          <w:b w:val="false"/>
          <w:bCs w:val="false"/>
          <w:i w:val="false"/>
          <w:iCs w:val="false"/>
          <w:sz w:val="22"/>
          <w:szCs w:val="22"/>
        </w:rPr>
        <w:t xml:space="preserve"> (ZIP4 transporter), impairing intestinal zinc absorption</w:t>
      </w:r>
    </w:p>
    <w:p>
      <w:pPr>
        <w:pStyle w:val="ListParagraph"/>
        <w:numPr>
          <w:ilvl w:val="0"/>
          <w:numId w:val="1"/>
        </w:numPr>
        <w:spacing w:after="80"/>
      </w:pPr>
      <w:r>
        <w:rPr>
          <w:rFonts w:ascii="Arial" w:cs="Arial" w:eastAsia="Arial" w:hAnsi="Arial"/>
          <w:b/>
          <w:bCs/>
          <w:i w:val="false"/>
          <w:iCs w:val="false"/>
          <w:sz w:val="22"/>
          <w:szCs w:val="22"/>
        </w:rPr>
        <w:t xml:space="preserve">Classic triad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perioral and perineal dermatitis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diarrhea</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alopecia</w:t>
      </w:r>
    </w:p>
    <w:p>
      <w:pPr>
        <w:pStyle w:val="ListParagraph"/>
        <w:numPr>
          <w:ilvl w:val="0"/>
          <w:numId w:val="1"/>
        </w:numPr>
        <w:spacing w:after="80"/>
      </w:pPr>
      <w:r>
        <w:rPr>
          <w:rFonts w:ascii="Arial" w:cs="Arial" w:eastAsia="Arial" w:hAnsi="Arial"/>
          <w:b w:val="false"/>
          <w:bCs w:val="false"/>
          <w:i w:val="false"/>
          <w:iCs w:val="false"/>
          <w:sz w:val="22"/>
          <w:szCs w:val="22"/>
        </w:rPr>
        <w:t xml:space="preserve">Onset typically occurs when an infant is weaned from breast milk, which contains a zinc-specific binding protein (picolinic acid) that enhances absorption</w:t>
      </w:r>
    </w:p>
    <w:p>
      <w:pPr>
        <w:spacing w:after="160"/>
      </w:pPr>
      <w:r>
        <w:rPr>
          <w:rFonts w:ascii="Arial" w:cs="Arial" w:eastAsia="Arial" w:hAnsi="Arial"/>
          <w:b w:val="false"/>
          <w:bCs w:val="false"/>
          <w:i w:val="false"/>
          <w:iCs w:val="false"/>
          <w:sz w:val="22"/>
          <w:szCs w:val="22"/>
        </w:rPr>
        <w:t xml:space="preserve">Acquired zinc deficiency</w:t>
      </w:r>
    </w:p>
    <w:p>
      <w:pPr>
        <w:pStyle w:val="ListParagraph"/>
        <w:numPr>
          <w:ilvl w:val="0"/>
          <w:numId w:val="1"/>
        </w:numPr>
        <w:spacing w:after="80"/>
      </w:pPr>
      <w:r>
        <w:rPr>
          <w:rFonts w:ascii="Arial" w:cs="Arial" w:eastAsia="Arial" w:hAnsi="Arial"/>
          <w:b w:val="false"/>
          <w:bCs w:val="false"/>
          <w:i w:val="false"/>
          <w:iCs w:val="false"/>
          <w:sz w:val="22"/>
          <w:szCs w:val="22"/>
        </w:rPr>
        <w:t xml:space="preserve">Occurs with poor dietary intake, total parenteral nutrition without supplementation, malabsorption (eg, Crohn disease), or alcohol use disorder</w:t>
      </w:r>
    </w:p>
    <w:p>
      <w:pPr>
        <w:pStyle w:val="ListParagraph"/>
        <w:numPr>
          <w:ilvl w:val="0"/>
          <w:numId w:val="1"/>
        </w:numPr>
        <w:spacing w:after="80"/>
      </w:pPr>
      <w:r>
        <w:rPr>
          <w:rFonts w:ascii="Arial" w:cs="Arial" w:eastAsia="Arial" w:hAnsi="Arial"/>
          <w:b/>
          <w:bCs/>
          <w:i w:val="false"/>
          <w:iCs w:val="false"/>
          <w:sz w:val="22"/>
          <w:szCs w:val="22"/>
        </w:rPr>
        <w:t xml:space="preserve">Impaired wound healing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dysgeusia and dysosmia</w:t>
      </w:r>
      <w:r>
        <w:rPr>
          <w:rFonts w:ascii="Arial" w:cs="Arial" w:eastAsia="Arial" w:hAnsi="Arial"/>
          <w:b w:val="false"/>
          <w:bCs w:val="false"/>
          <w:i w:val="false"/>
          <w:iCs w:val="false"/>
          <w:sz w:val="22"/>
          <w:szCs w:val="22"/>
        </w:rPr>
        <w:t xml:space="preserve"> (altered taste and smell), </w:t>
      </w:r>
      <w:r>
        <w:rPr>
          <w:rFonts w:ascii="Arial" w:cs="Arial" w:eastAsia="Arial" w:hAnsi="Arial"/>
          <w:b/>
          <w:bCs/>
          <w:i w:val="false"/>
          <w:iCs w:val="false"/>
          <w:sz w:val="22"/>
          <w:szCs w:val="22"/>
        </w:rPr>
        <w:t xml:space="preserve">immune dysfunction</w:t>
      </w:r>
      <w:r>
        <w:rPr>
          <w:rFonts w:ascii="Arial" w:cs="Arial" w:eastAsia="Arial" w:hAnsi="Arial"/>
          <w:b w:val="false"/>
          <w:bCs w:val="false"/>
          <w:i w:val="false"/>
          <w:iCs w:val="false"/>
          <w:sz w:val="22"/>
          <w:szCs w:val="22"/>
        </w:rPr>
        <w:t xml:space="preserve"> (particularly T-cell-mediated), hypogonadism, and delayed puberty</w:t>
      </w:r>
    </w:p>
    <w:p>
      <w:pPr>
        <w:pStyle w:val="ListParagraph"/>
        <w:numPr>
          <w:ilvl w:val="0"/>
          <w:numId w:val="1"/>
        </w:numPr>
        <w:spacing w:after="80"/>
      </w:pPr>
      <w:r>
        <w:rPr>
          <w:rFonts w:ascii="Arial" w:cs="Arial" w:eastAsia="Arial" w:hAnsi="Arial"/>
          <w:b/>
          <w:bCs/>
          <w:i w:val="false"/>
          <w:iCs w:val="false"/>
          <w:sz w:val="22"/>
          <w:szCs w:val="22"/>
        </w:rPr>
        <w:t xml:space="preserve">Treatment</w:t>
      </w:r>
      <w:r>
        <w:rPr>
          <w:rFonts w:ascii="Arial" w:cs="Arial" w:eastAsia="Arial" w:hAnsi="Arial"/>
          <w:b w:val="false"/>
          <w:bCs w:val="false"/>
          <w:i w:val="false"/>
          <w:iCs w:val="false"/>
          <w:sz w:val="22"/>
          <w:szCs w:val="22"/>
        </w:rPr>
        <w:t xml:space="preserve">: oral zinc supplementation</w:t>
      </w:r>
    </w:p>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val="false"/>
          <w:bCs w:val="false"/>
          <w:i w:val="false"/>
          <w:iCs w:val="false"/>
          <w:sz w:val="22"/>
          <w:szCs w:val="22"/>
        </w:rPr>
        <w:t xml:space="preserve">Excess zinc supplementation inhibits copper absorption in the intestine</w:t>
      </w:r>
    </w:p>
    <w:p>
      <w:pPr>
        <w:pStyle w:val="ListParagraph"/>
        <w:numPr>
          <w:ilvl w:val="0"/>
          <w:numId w:val="1"/>
        </w:numPr>
        <w:spacing w:after="80"/>
      </w:pPr>
      <w:r>
        <w:rPr>
          <w:rFonts w:ascii="Arial" w:cs="Arial" w:eastAsia="Arial" w:hAnsi="Arial"/>
          <w:b w:val="false"/>
          <w:bCs w:val="false"/>
          <w:i w:val="false"/>
          <w:iCs w:val="false"/>
          <w:sz w:val="22"/>
          <w:szCs w:val="22"/>
        </w:rPr>
        <w:t xml:space="preserve">Induces metallothionein, which preferentially binds copper and prevents its transfer into the bloodstream</w:t>
      </w:r>
    </w:p>
    <w:p>
      <w:pPr>
        <w:pStyle w:val="ListParagraph"/>
        <w:numPr>
          <w:ilvl w:val="0"/>
          <w:numId w:val="1"/>
        </w:numPr>
        <w:spacing w:after="80"/>
      </w:pPr>
      <w:r>
        <w:rPr>
          <w:rFonts w:ascii="Arial" w:cs="Arial" w:eastAsia="Arial" w:hAnsi="Arial"/>
          <w:b w:val="false"/>
          <w:bCs w:val="false"/>
          <w:i w:val="false"/>
          <w:iCs w:val="false"/>
          <w:sz w:val="22"/>
          <w:szCs w:val="22"/>
        </w:rPr>
        <w:t xml:space="preserve">Chronic zinc excess can thus cause a </w:t>
      </w:r>
      <w:r>
        <w:rPr>
          <w:rFonts w:ascii="Arial" w:cs="Arial" w:eastAsia="Arial" w:hAnsi="Arial"/>
          <w:b/>
          <w:bCs/>
          <w:i w:val="false"/>
          <w:iCs w:val="false"/>
          <w:sz w:val="22"/>
          <w:szCs w:val="22"/>
        </w:rPr>
        <w:t xml:space="preserve">secondary copper deficiency</w:t>
      </w:r>
      <w:r>
        <w:rPr>
          <w:rFonts w:ascii="Arial" w:cs="Arial" w:eastAsia="Arial" w:hAnsi="Arial"/>
          <w:b w:val="false"/>
          <w:bCs w:val="false"/>
          <w:i w:val="false"/>
          <w:iCs w:val="false"/>
          <w:sz w:val="22"/>
          <w:szCs w:val="22"/>
        </w:rPr>
        <w:t xml:space="preserve">, presenting with microcytic anemia and neurological dysfunction</w:t>
      </w:r>
    </w:p>
    <w:p>
      <w:pPr>
        <w:pStyle w:val="ListParagraph"/>
        <w:numPr>
          <w:ilvl w:val="0"/>
          <w:numId w:val="1"/>
        </w:numPr>
        <w:spacing w:after="80"/>
      </w:pPr>
      <w:r>
        <w:rPr>
          <w:rFonts w:ascii="Arial" w:cs="Arial" w:eastAsia="Arial" w:hAnsi="Arial"/>
          <w:b w:val="false"/>
          <w:bCs w:val="false"/>
          <w:i w:val="false"/>
          <w:iCs w:val="false"/>
          <w:sz w:val="22"/>
          <w:szCs w:val="22"/>
        </w:rPr>
        <w:t xml:space="preserve">This is a high-yield mechanism: zinc is sometimes used therapeutically in Wilson disease specifically to reduce copper absorption.</w:t>
      </w:r>
    </w:p>
    <w:p>
      <w:pPr>
        <w:pStyle w:val="Heading1"/>
        <w:spacing w:after="120" w:before="240"/>
      </w:pPr>
      <w:r>
        <w:rPr>
          <w:rFonts w:ascii="Arial" w:cs="Arial" w:eastAsia="Arial" w:hAnsi="Arial"/>
          <w:b/>
          <w:bCs/>
          <w:color w:val="1F4E79"/>
          <w:sz w:val="30"/>
          <w:szCs w:val="30"/>
        </w:rPr>
        <w:t xml:space="preserve">Copper</w:t>
      </w:r>
    </w:p>
    <w:p>
      <w:pPr>
        <w:pStyle w:val="Heading2"/>
        <w:spacing w:after="120" w:before="240"/>
      </w:pPr>
      <w:r>
        <w:rPr>
          <w:rFonts w:ascii="Arial" w:cs="Arial" w:eastAsia="Arial" w:hAnsi="Arial"/>
          <w:b/>
          <w:bCs/>
          <w:color w:val="2E75B6"/>
          <w:sz w:val="26"/>
          <w:szCs w:val="26"/>
        </w:rPr>
        <w:t xml:space="preserve">Biochemistry &amp; Function</w:t>
      </w:r>
    </w:p>
    <w:p>
      <w:pPr>
        <w:spacing w:after="160"/>
      </w:pPr>
      <w:r>
        <w:rPr>
          <w:rFonts w:ascii="Arial" w:cs="Arial" w:eastAsia="Arial" w:hAnsi="Arial"/>
          <w:b w:val="false"/>
          <w:bCs w:val="false"/>
          <w:i w:val="false"/>
          <w:iCs w:val="false"/>
          <w:sz w:val="22"/>
          <w:szCs w:val="22"/>
        </w:rPr>
        <w:t xml:space="preserve">Copper serves as a redox-active cofactor in several critical enzymes:</w:t>
      </w:r>
    </w:p>
    <w:p>
      <w:pPr>
        <w:pStyle w:val="ListParagraph"/>
        <w:numPr>
          <w:ilvl w:val="0"/>
          <w:numId w:val="1"/>
        </w:numPr>
        <w:spacing w:after="80"/>
      </w:pPr>
      <w:r>
        <w:rPr>
          <w:rFonts w:ascii="Arial" w:cs="Arial" w:eastAsia="Arial" w:hAnsi="Arial"/>
          <w:b w:val="false"/>
          <w:bCs w:val="false"/>
          <w:i w:val="false"/>
          <w:iCs w:val="false"/>
          <w:sz w:val="22"/>
          <w:szCs w:val="22"/>
        </w:rPr>
        <w:t xml:space="preserve">Ceruloplasmin (ferroxidase activity): oxidizes Fe2+ → Fe3+ for loading onto transferrin; also an acute-phase protein</w:t>
      </w:r>
    </w:p>
    <w:p>
      <w:pPr>
        <w:pStyle w:val="ListParagraph"/>
        <w:numPr>
          <w:ilvl w:val="0"/>
          <w:numId w:val="1"/>
        </w:numPr>
        <w:spacing w:after="80"/>
      </w:pPr>
      <w:r>
        <w:rPr>
          <w:rFonts w:ascii="Arial" w:cs="Arial" w:eastAsia="Arial" w:hAnsi="Arial"/>
          <w:b w:val="false"/>
          <w:bCs w:val="false"/>
          <w:i w:val="false"/>
          <w:iCs w:val="false"/>
          <w:sz w:val="22"/>
          <w:szCs w:val="22"/>
        </w:rPr>
        <w:t xml:space="preserve">Cytochrome c oxidase (complex IV of the electron transport chain)</w:t>
      </w:r>
    </w:p>
    <w:p>
      <w:pPr>
        <w:pStyle w:val="ListParagraph"/>
        <w:numPr>
          <w:ilvl w:val="0"/>
          <w:numId w:val="1"/>
        </w:numPr>
        <w:spacing w:after="80"/>
      </w:pPr>
      <w:r>
        <w:rPr>
          <w:rFonts w:ascii="Arial" w:cs="Arial" w:eastAsia="Arial" w:hAnsi="Arial"/>
          <w:b w:val="false"/>
          <w:bCs w:val="false"/>
          <w:i w:val="false"/>
          <w:iCs w:val="false"/>
          <w:sz w:val="22"/>
          <w:szCs w:val="22"/>
        </w:rPr>
        <w:t xml:space="preserve">Dopamine β-hydroxylase (dopamine → norepinephrine)</w:t>
      </w:r>
    </w:p>
    <w:p>
      <w:pPr>
        <w:pStyle w:val="ListParagraph"/>
        <w:numPr>
          <w:ilvl w:val="0"/>
          <w:numId w:val="1"/>
        </w:numPr>
        <w:spacing w:after="80"/>
      </w:pPr>
      <w:r>
        <w:rPr>
          <w:rFonts w:ascii="Arial" w:cs="Arial" w:eastAsia="Arial" w:hAnsi="Arial"/>
          <w:b w:val="false"/>
          <w:bCs w:val="false"/>
          <w:i w:val="false"/>
          <w:iCs w:val="false"/>
          <w:sz w:val="22"/>
          <w:szCs w:val="22"/>
        </w:rPr>
        <w:t xml:space="preserve">Lysyl oxidase (crosslinks collagen and elastin; connective tissue integrity)</w:t>
      </w:r>
    </w:p>
    <w:p>
      <w:pPr>
        <w:pStyle w:val="ListParagraph"/>
        <w:numPr>
          <w:ilvl w:val="0"/>
          <w:numId w:val="1"/>
        </w:numPr>
        <w:spacing w:after="80"/>
      </w:pPr>
      <w:r>
        <w:rPr>
          <w:rFonts w:ascii="Arial" w:cs="Arial" w:eastAsia="Arial" w:hAnsi="Arial"/>
          <w:b w:val="false"/>
          <w:bCs w:val="false"/>
          <w:i w:val="false"/>
          <w:iCs w:val="false"/>
          <w:sz w:val="22"/>
          <w:szCs w:val="22"/>
        </w:rPr>
        <w:t xml:space="preserve">Superoxide dismutase 1 (SOD1) (antioxidant defense)</w:t>
      </w:r>
    </w:p>
    <w:p>
      <w:pPr>
        <w:spacing w:after="160"/>
      </w:pPr>
      <w:r>
        <w:rPr>
          <w:rFonts w:ascii="Arial" w:cs="Arial" w:eastAsia="Arial" w:hAnsi="Arial"/>
          <w:b w:val="false"/>
          <w:bCs w:val="false"/>
          <w:i w:val="false"/>
          <w:iCs w:val="false"/>
          <w:sz w:val="22"/>
          <w:szCs w:val="22"/>
        </w:rPr>
        <w:t xml:space="preserve">Copper is absorbed in the small intestine and transported to the liver, where it is incorporated into ceruloplasmin and exported to tissues or excreted in bile via </w:t>
      </w:r>
      <w:r>
        <w:rPr>
          <w:rFonts w:ascii="Arial" w:cs="Arial" w:eastAsia="Arial" w:hAnsi="Arial"/>
          <w:b/>
          <w:bCs/>
          <w:i w:val="false"/>
          <w:iCs w:val="false"/>
          <w:sz w:val="22"/>
          <w:szCs w:val="22"/>
        </w:rPr>
        <w:t xml:space="preserve">ATP7B</w:t>
      </w:r>
      <w:r>
        <w:rPr>
          <w:rFonts w:ascii="Arial" w:cs="Arial" w:eastAsia="Arial" w:hAnsi="Arial"/>
          <w:b w:val="false"/>
          <w:bCs w:val="false"/>
          <w:i w:val="false"/>
          <w:iCs w:val="false"/>
          <w:sz w:val="22"/>
          <w:szCs w:val="22"/>
        </w:rPr>
        <w:t xml:space="preserve">.</w:t>
      </w:r>
    </w:p>
    <w:p>
      <w:pPr>
        <w:pStyle w:val="Heading2"/>
        <w:spacing w:after="120" w:before="240"/>
      </w:pPr>
      <w:r>
        <w:rPr>
          <w:rFonts w:ascii="Arial" w:cs="Arial" w:eastAsia="Arial" w:hAnsi="Arial"/>
          <w:b/>
          <w:bCs/>
          <w:color w:val="2E75B6"/>
          <w:sz w:val="26"/>
          <w:szCs w:val="26"/>
        </w:rPr>
        <w:t xml:space="preserve">Deficiency (Menkes Disease)</w:t>
      </w:r>
    </w:p>
    <w:p>
      <w:pPr>
        <w:pStyle w:val="ListParagraph"/>
        <w:numPr>
          <w:ilvl w:val="0"/>
          <w:numId w:val="1"/>
        </w:numPr>
        <w:spacing w:after="80"/>
      </w:pPr>
      <w:r>
        <w:rPr>
          <w:rFonts w:ascii="Arial" w:cs="Arial" w:eastAsia="Arial" w:hAnsi="Arial"/>
          <w:b w:val="false"/>
          <w:bCs w:val="false"/>
          <w:i w:val="false"/>
          <w:iCs w:val="false"/>
          <w:sz w:val="22"/>
          <w:szCs w:val="22"/>
        </w:rPr>
        <w:t xml:space="preserve">X-linked recessive disorder caused by mutations in </w:t>
      </w:r>
      <w:r>
        <w:rPr>
          <w:rFonts w:ascii="Arial" w:cs="Arial" w:eastAsia="Arial" w:hAnsi="Arial"/>
          <w:b w:val="false"/>
          <w:bCs w:val="false"/>
          <w:i/>
          <w:iCs/>
          <w:sz w:val="22"/>
          <w:szCs w:val="22"/>
        </w:rPr>
        <w:t xml:space="preserve">ATP7A</w:t>
      </w:r>
      <w:r>
        <w:rPr>
          <w:rFonts w:ascii="Arial" w:cs="Arial" w:eastAsia="Arial" w:hAnsi="Arial"/>
          <w:b w:val="false"/>
          <w:bCs w:val="false"/>
          <w:i w:val="false"/>
          <w:iCs w:val="false"/>
          <w:sz w:val="22"/>
          <w:szCs w:val="22"/>
        </w:rPr>
        <w:t xml:space="preserve">, encoding a copper-transporting ATPase expressed in intestinal and placental cells</w:t>
      </w:r>
    </w:p>
    <w:p>
      <w:pPr>
        <w:pStyle w:val="ListParagraph"/>
        <w:numPr>
          <w:ilvl w:val="0"/>
          <w:numId w:val="1"/>
        </w:numPr>
        <w:spacing w:after="80"/>
      </w:pPr>
      <w:r>
        <w:rPr>
          <w:rFonts w:ascii="Arial" w:cs="Arial" w:eastAsia="Arial" w:hAnsi="Arial"/>
          <w:b w:val="false"/>
          <w:bCs w:val="false"/>
          <w:i w:val="false"/>
          <w:iCs w:val="false"/>
          <w:sz w:val="22"/>
          <w:szCs w:val="22"/>
        </w:rPr>
        <w:t xml:space="preserve">Loss of function of the copper-transporting ATPase traps copper in enterocytes, preventing export to the bloodstream; tissues are therefore copper-deficient despite normal dietary intake</w:t>
      </w:r>
    </w:p>
    <w:p>
      <w:pPr>
        <w:pStyle w:val="ListParagraph"/>
        <w:numPr>
          <w:ilvl w:val="0"/>
          <w:numId w:val="1"/>
        </w:numPr>
        <w:spacing w:after="80"/>
      </w:pPr>
      <w:r>
        <w:rPr>
          <w:rFonts w:ascii="Arial" w:cs="Arial" w:eastAsia="Arial" w:hAnsi="Arial"/>
          <w:b w:val="false"/>
          <w:bCs w:val="false"/>
          <w:i w:val="false"/>
          <w:iCs w:val="false"/>
          <w:sz w:val="22"/>
          <w:szCs w:val="22"/>
        </w:rPr>
        <w:t xml:space="preserve">Clinical presentation:</w:t>
      </w:r>
    </w:p>
    <w:p>
      <w:pPr>
        <w:pStyle w:val="ListParagraph"/>
        <w:numPr>
          <w:ilvl w:val="0"/>
          <w:numId w:val="1"/>
        </w:numPr>
        <w:spacing w:after="80"/>
      </w:pPr>
      <w:r>
        <w:rPr>
          <w:rFonts w:ascii="Arial" w:cs="Arial" w:eastAsia="Arial" w:hAnsi="Arial"/>
          <w:b w:val="false"/>
          <w:bCs w:val="false"/>
          <w:i w:val="false"/>
          <w:iCs w:val="false"/>
          <w:sz w:val="22"/>
          <w:szCs w:val="22"/>
        </w:rPr>
        <w:t xml:space="preserve">Onset in male infants</w:t>
      </w:r>
    </w:p>
    <w:p>
      <w:pPr>
        <w:pStyle w:val="ListParagraph"/>
        <w:numPr>
          <w:ilvl w:val="0"/>
          <w:numId w:val="1"/>
        </w:numPr>
        <w:spacing w:after="80"/>
      </w:pPr>
      <w:r>
        <w:rPr>
          <w:rFonts w:ascii="Arial" w:cs="Arial" w:eastAsia="Arial" w:hAnsi="Arial"/>
          <w:b w:val="false"/>
          <w:bCs w:val="false"/>
          <w:i w:val="false"/>
          <w:iCs w:val="false"/>
          <w:sz w:val="22"/>
          <w:szCs w:val="22"/>
        </w:rPr>
        <w:t xml:space="preserve">Kinky/steely hair (pili torti) due to deficient lysyl oxidase (collagen/elastin crosslinking requires Cu)</w:t>
      </w:r>
    </w:p>
    <w:p>
      <w:pPr>
        <w:pStyle w:val="ListParagraph"/>
        <w:numPr>
          <w:ilvl w:val="0"/>
          <w:numId w:val="1"/>
        </w:numPr>
        <w:spacing w:after="80"/>
      </w:pPr>
      <w:r>
        <w:rPr>
          <w:rFonts w:ascii="Arial" w:cs="Arial" w:eastAsia="Arial" w:hAnsi="Arial"/>
          <w:b w:val="false"/>
          <w:bCs w:val="false"/>
          <w:i w:val="false"/>
          <w:iCs w:val="false"/>
          <w:sz w:val="22"/>
          <w:szCs w:val="22"/>
        </w:rPr>
        <w:t xml:space="preserve">Severe neurodegeneration</w:t>
      </w:r>
    </w:p>
    <w:p>
      <w:pPr>
        <w:pStyle w:val="ListParagraph"/>
        <w:numPr>
          <w:ilvl w:val="0"/>
          <w:numId w:val="1"/>
        </w:numPr>
        <w:spacing w:after="80"/>
      </w:pPr>
      <w:r>
        <w:rPr>
          <w:rFonts w:ascii="Arial" w:cs="Arial" w:eastAsia="Arial" w:hAnsi="Arial"/>
          <w:b w:val="false"/>
          <w:bCs w:val="false"/>
          <w:i w:val="false"/>
          <w:iCs w:val="false"/>
          <w:sz w:val="22"/>
          <w:szCs w:val="22"/>
        </w:rPr>
        <w:t xml:space="preserve">Seizures, hypotonia, and failure to thrive</w:t>
      </w:r>
    </w:p>
    <w:p>
      <w:pPr>
        <w:pStyle w:val="ListParagraph"/>
        <w:numPr>
          <w:ilvl w:val="0"/>
          <w:numId w:val="1"/>
        </w:numPr>
        <w:spacing w:after="80"/>
      </w:pPr>
      <w:r>
        <w:rPr>
          <w:rFonts w:ascii="Arial" w:cs="Arial" w:eastAsia="Arial" w:hAnsi="Arial"/>
          <w:b w:val="false"/>
          <w:bCs w:val="false"/>
          <w:i w:val="false"/>
          <w:iCs w:val="false"/>
          <w:sz w:val="22"/>
          <w:szCs w:val="22"/>
        </w:rPr>
        <w:t xml:space="preserve">Connective tissue abnormalities occur from impaired collagen crosslinking</w:t>
      </w:r>
    </w:p>
    <w:p>
      <w:pPr>
        <w:pStyle w:val="ListParagraph"/>
        <w:numPr>
          <w:ilvl w:val="0"/>
          <w:numId w:val="1"/>
        </w:numPr>
        <w:spacing w:after="80"/>
      </w:pPr>
      <w:r>
        <w:rPr>
          <w:rFonts w:ascii="Arial" w:cs="Arial" w:eastAsia="Arial" w:hAnsi="Arial"/>
          <w:b w:val="false"/>
          <w:bCs w:val="false"/>
          <w:i w:val="false"/>
          <w:iCs w:val="false"/>
          <w:sz w:val="22"/>
          <w:szCs w:val="22"/>
        </w:rPr>
        <w:t xml:space="preserve">Lab findings: ↓ serum copper, ↓ ceruloplasmin</w:t>
      </w:r>
    </w:p>
    <w:p>
      <w:pPr>
        <w:pStyle w:val="Heading2"/>
        <w:spacing w:after="120" w:before="240"/>
      </w:pPr>
      <w:r>
        <w:rPr>
          <w:rFonts w:ascii="Arial" w:cs="Arial" w:eastAsia="Arial" w:hAnsi="Arial"/>
          <w:b/>
          <w:bCs/>
          <w:color w:val="2E75B6"/>
          <w:sz w:val="26"/>
          <w:szCs w:val="26"/>
        </w:rPr>
        <w:t xml:space="preserve">Toxicity/Excess (Wilson Disease)</w:t>
      </w:r>
    </w:p>
    <w:p>
      <w:pPr>
        <w:pStyle w:val="ListParagraph"/>
        <w:numPr>
          <w:ilvl w:val="0"/>
          <w:numId w:val="1"/>
        </w:numPr>
        <w:spacing w:after="80"/>
      </w:pPr>
      <w:r>
        <w:rPr>
          <w:rFonts w:ascii="Arial" w:cs="Arial" w:eastAsia="Arial" w:hAnsi="Arial"/>
          <w:b w:val="false"/>
          <w:bCs w:val="false"/>
          <w:i w:val="false"/>
          <w:iCs w:val="false"/>
          <w:sz w:val="22"/>
          <w:szCs w:val="22"/>
        </w:rPr>
        <w:t xml:space="preserve">Autosomal recessive disorder of copper metabolism caused by mutations in </w:t>
      </w:r>
      <w:r>
        <w:rPr>
          <w:rFonts w:ascii="Arial" w:cs="Arial" w:eastAsia="Arial" w:hAnsi="Arial"/>
          <w:b/>
          <w:bCs/>
          <w:i/>
          <w:iCs/>
          <w:sz w:val="22"/>
          <w:szCs w:val="22"/>
        </w:rPr>
        <w:t xml:space="preserve">ATP7B</w:t>
      </w:r>
      <w:r>
        <w:rPr>
          <w:rFonts w:ascii="Arial" w:cs="Arial" w:eastAsia="Arial" w:hAnsi="Arial"/>
          <w:b w:val="false"/>
          <w:bCs w:val="false"/>
          <w:i w:val="false"/>
          <w:iCs w:val="false"/>
          <w:sz w:val="22"/>
          <w:szCs w:val="22"/>
        </w:rPr>
        <w:t xml:space="preserve"> (chromosome 13q14.3), encoding a copper-transporting ATPase in hepatocytes. Loss of function impairs both biliary copper excretion and incorporation of copper into ceruloplasmin, leading to progressive copper accumulation in liver, brain, kidneys, and cornea.</w:t>
      </w:r>
    </w:p>
    <w:p>
      <w:pPr>
        <w:pStyle w:val="ListParagraph"/>
        <w:numPr>
          <w:ilvl w:val="0"/>
          <w:numId w:val="1"/>
        </w:numPr>
        <w:spacing w:after="80"/>
      </w:pPr>
      <w:r>
        <w:rPr>
          <w:rFonts w:ascii="Arial" w:cs="Arial" w:eastAsia="Arial" w:hAnsi="Arial"/>
          <w:b/>
          <w:bCs/>
          <w:i w:val="false"/>
          <w:iCs w:val="false"/>
          <w:sz w:val="22"/>
          <w:szCs w:val="22"/>
        </w:rPr>
        <w:t xml:space="preserve">Clinical presentation</w:t>
      </w:r>
      <w:r>
        <w:rPr>
          <w:rFonts w:ascii="Arial" w:cs="Arial" w:eastAsia="Arial" w:hAnsi="Arial"/>
          <w:b w:val="false"/>
          <w:bCs w:val="false"/>
          <w:i w:val="false"/>
          <w:iCs w:val="false"/>
          <w:sz w:val="22"/>
          <w:szCs w:val="22"/>
        </w:rPr>
        <w:t xml:space="preserve">:</w:t>
      </w:r>
    </w:p>
    <w:p>
      <w:pPr>
        <w:pStyle w:val="ListParagraph"/>
        <w:numPr>
          <w:ilvl w:val="0"/>
          <w:numId w:val="1"/>
        </w:numPr>
        <w:spacing w:after="80"/>
      </w:pPr>
      <w:r>
        <w:rPr>
          <w:rFonts w:ascii="Arial" w:cs="Arial" w:eastAsia="Arial" w:hAnsi="Arial"/>
          <w:b w:val="false"/>
          <w:bCs w:val="false"/>
          <w:i w:val="false"/>
          <w:iCs w:val="false"/>
          <w:sz w:val="22"/>
          <w:szCs w:val="22"/>
        </w:rPr>
        <w:t xml:space="preserve">Onset typically in young adults (ages 5-35)</w:t>
      </w:r>
    </w:p>
    <w:p>
      <w:pPr>
        <w:pStyle w:val="ListParagraph"/>
        <w:numPr>
          <w:ilvl w:val="0"/>
          <w:numId w:val="1"/>
        </w:numPr>
        <w:spacing w:after="80"/>
      </w:pPr>
      <w:r>
        <w:rPr>
          <w:rFonts w:ascii="Arial" w:cs="Arial" w:eastAsia="Arial" w:hAnsi="Arial"/>
          <w:b w:val="false"/>
          <w:bCs w:val="false"/>
          <w:i w:val="false"/>
          <w:iCs w:val="false"/>
          <w:sz w:val="22"/>
          <w:szCs w:val="22"/>
        </w:rPr>
        <w:t xml:space="preserve">Hepatic manifestations (hepatitis, cirrhosis, acute liver failure) often precede neuropsychiatric features (eg, </w:t>
      </w:r>
      <w:r>
        <w:rPr>
          <w:rFonts w:ascii="Arial" w:cs="Arial" w:eastAsia="Arial" w:hAnsi="Arial"/>
          <w:b/>
          <w:bCs/>
          <w:i w:val="false"/>
          <w:iCs w:val="false"/>
          <w:sz w:val="22"/>
          <w:szCs w:val="22"/>
        </w:rPr>
        <w:t xml:space="preserve">dysarthria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gait disturbance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asterixis</w:t>
      </w:r>
      <w:r>
        <w:rPr>
          <w:rFonts w:ascii="Arial" w:cs="Arial" w:eastAsia="Arial" w:hAnsi="Arial"/>
          <w:b w:val="false"/>
          <w:bCs w:val="false"/>
          <w:i w:val="false"/>
          <w:iCs w:val="false"/>
          <w:sz w:val="22"/>
          <w:szCs w:val="22"/>
        </w:rPr>
        <w:t xml:space="preserve"> [flapping tremor], </w:t>
      </w:r>
      <w:r>
        <w:rPr>
          <w:rFonts w:ascii="Arial" w:cs="Arial" w:eastAsia="Arial" w:hAnsi="Arial"/>
          <w:b/>
          <w:bCs/>
          <w:i w:val="false"/>
          <w:iCs w:val="false"/>
          <w:sz w:val="22"/>
          <w:szCs w:val="22"/>
        </w:rPr>
        <w:t xml:space="preserve">personality changes</w:t>
      </w:r>
      <w:r>
        <w:rPr>
          <w:rFonts w:ascii="Arial" w:cs="Arial" w:eastAsia="Arial" w:hAnsi="Arial"/>
          <w:b w:val="false"/>
          <w:bCs w:val="false"/>
          <w:i w:val="false"/>
          <w:iCs w:val="false"/>
          <w:sz w:val="22"/>
          <w:szCs w:val="22"/>
        </w:rPr>
        <w:t xml:space="preserve">)</w:t>
      </w:r>
    </w:p>
    <w:p>
      <w:pPr>
        <w:pStyle w:val="ListParagraph"/>
        <w:numPr>
          <w:ilvl w:val="0"/>
          <w:numId w:val="1"/>
        </w:numPr>
        <w:spacing w:after="80"/>
      </w:pPr>
      <w:r>
        <w:rPr>
          <w:rFonts w:ascii="Arial" w:cs="Arial" w:eastAsia="Arial" w:hAnsi="Arial"/>
          <w:b/>
          <w:bCs/>
          <w:i w:val="false"/>
          <w:iCs w:val="false"/>
          <w:sz w:val="22"/>
          <w:szCs w:val="22"/>
        </w:rPr>
        <w:t xml:space="preserve">Kayser-Fleischer rings</w:t>
      </w:r>
      <w:r>
        <w:rPr>
          <w:rFonts w:ascii="Arial" w:cs="Arial" w:eastAsia="Arial" w:hAnsi="Arial"/>
          <w:b w:val="false"/>
          <w:bCs w:val="false"/>
          <w:i w:val="false"/>
          <w:iCs w:val="false"/>
          <w:sz w:val="22"/>
          <w:szCs w:val="22"/>
        </w:rPr>
        <w:t xml:space="preserve"> (golden-brown deposits in the corneal periphery visible on slit-lamp examination) are pathognomonic when present but absent in ~50% of hepatic-only presentations</w:t>
      </w:r>
    </w:p>
    <w:p>
      <w:pPr>
        <w:pStyle w:val="ListParagraph"/>
        <w:numPr>
          <w:ilvl w:val="0"/>
          <w:numId w:val="1"/>
        </w:numPr>
        <w:spacing w:after="80"/>
      </w:pPr>
      <w:r>
        <w:rPr>
          <w:rFonts w:ascii="Arial" w:cs="Arial" w:eastAsia="Arial" w:hAnsi="Arial"/>
          <w:b/>
          <w:bCs/>
          <w:i w:val="false"/>
          <w:iCs w:val="false"/>
          <w:sz w:val="22"/>
          <w:szCs w:val="22"/>
        </w:rPr>
        <w:t xml:space="preserve">Lab findings</w:t>
      </w:r>
      <w:r>
        <w:rPr>
          <w:rFonts w:ascii="Arial" w:cs="Arial" w:eastAsia="Arial" w:hAnsi="Arial"/>
          <w:b w:val="false"/>
          <w:bCs w:val="false"/>
          <w:i w:val="false"/>
          <w:iCs w:val="false"/>
          <w:sz w:val="22"/>
          <w:szCs w:val="22"/>
        </w:rPr>
        <w:t xml:space="preserve">:</w:t>
      </w:r>
    </w:p>
    <w:p>
      <w:pPr>
        <w:pStyle w:val="ListParagraph"/>
        <w:numPr>
          <w:ilvl w:val="0"/>
          <w:numId w:val="1"/>
        </w:numPr>
        <w:spacing w:after="80"/>
      </w:pPr>
      <w:r>
        <w:rPr>
          <w:rFonts w:ascii="Arial" w:cs="Arial" w:eastAsia="Arial" w:hAnsi="Arial"/>
          <w:b w:val="false"/>
          <w:bCs w:val="false"/>
          <w:i w:val="false"/>
          <w:iCs w:val="false"/>
          <w:sz w:val="22"/>
          <w:szCs w:val="22"/>
        </w:rPr>
        <w:t xml:space="preserve">↓ serum ceruloplasmin (&lt; 20 mg/dL)</w:t>
      </w:r>
    </w:p>
    <w:p>
      <w:pPr>
        <w:pStyle w:val="ListParagraph"/>
        <w:numPr>
          <w:ilvl w:val="0"/>
          <w:numId w:val="1"/>
        </w:numPr>
        <w:spacing w:after="80"/>
      </w:pPr>
      <w:r>
        <w:rPr>
          <w:rFonts w:ascii="Arial" w:cs="Arial" w:eastAsia="Arial" w:hAnsi="Arial"/>
          <w:b w:val="false"/>
          <w:bCs w:val="false"/>
          <w:i w:val="false"/>
          <w:iCs w:val="false"/>
          <w:sz w:val="22"/>
          <w:szCs w:val="22"/>
        </w:rPr>
        <w:t xml:space="preserve">↑ 24-hour urinary copper (&gt; 100 µg/day)</w:t>
      </w:r>
    </w:p>
    <w:p>
      <w:pPr>
        <w:pStyle w:val="ListParagraph"/>
        <w:numPr>
          <w:ilvl w:val="0"/>
          <w:numId w:val="1"/>
        </w:numPr>
        <w:spacing w:after="80"/>
      </w:pPr>
      <w:r>
        <w:rPr>
          <w:rFonts w:ascii="Arial" w:cs="Arial" w:eastAsia="Arial" w:hAnsi="Arial"/>
          <w:b w:val="false"/>
          <w:bCs w:val="false"/>
          <w:i w:val="false"/>
          <w:iCs w:val="false"/>
          <w:sz w:val="22"/>
          <w:szCs w:val="22"/>
        </w:rPr>
        <w:t xml:space="preserve">Elevated hepatic copper on liver biopsy (&gt; 250 µg/g dry weight)</w:t>
      </w:r>
    </w:p>
    <w:p>
      <w:pPr>
        <w:pStyle w:val="ListParagraph"/>
        <w:numPr>
          <w:ilvl w:val="0"/>
          <w:numId w:val="1"/>
        </w:numPr>
        <w:spacing w:after="80"/>
      </w:pPr>
      <w:r>
        <w:rPr>
          <w:rFonts w:ascii="Arial" w:cs="Arial" w:eastAsia="Arial" w:hAnsi="Arial"/>
          <w:b w:val="false"/>
          <w:bCs w:val="false"/>
          <w:i w:val="false"/>
          <w:iCs w:val="false"/>
          <w:sz w:val="22"/>
          <w:szCs w:val="22"/>
        </w:rPr>
        <w:t xml:space="preserve">Serum total copper is often low because most circulating copper is ceruloplasmin-bound.</w:t>
      </w:r>
    </w:p>
    <w:p>
      <w:pPr>
        <w:pStyle w:val="ListParagraph"/>
        <w:numPr>
          <w:ilvl w:val="0"/>
          <w:numId w:val="1"/>
        </w:numPr>
        <w:spacing w:after="80"/>
      </w:pPr>
      <w:r>
        <w:rPr>
          <w:rFonts w:ascii="Arial" w:cs="Arial" w:eastAsia="Arial" w:hAnsi="Arial"/>
          <w:b/>
          <w:bCs/>
          <w:i w:val="false"/>
          <w:iCs w:val="false"/>
          <w:sz w:val="22"/>
          <w:szCs w:val="22"/>
        </w:rPr>
        <w:t xml:space="preserve">Treatment</w:t>
      </w:r>
      <w:r>
        <w:rPr>
          <w:rFonts w:ascii="Arial" w:cs="Arial" w:eastAsia="Arial" w:hAnsi="Arial"/>
          <w:b w:val="false"/>
          <w:bCs w:val="false"/>
          <w:i w:val="false"/>
          <w:iCs w:val="false"/>
          <w:sz w:val="22"/>
          <w:szCs w:val="22"/>
        </w:rPr>
        <w:t xml:space="preserve">:</w:t>
      </w:r>
    </w:p>
    <w:p>
      <w:pPr>
        <w:pStyle w:val="ListParagraph"/>
        <w:numPr>
          <w:ilvl w:val="0"/>
          <w:numId w:val="1"/>
        </w:numPr>
        <w:spacing w:after="80"/>
      </w:pPr>
      <w:r>
        <w:rPr>
          <w:rFonts w:ascii="Arial" w:cs="Arial" w:eastAsia="Arial" w:hAnsi="Arial"/>
          <w:b/>
          <w:bCs/>
          <w:i w:val="false"/>
          <w:iCs w:val="false"/>
          <w:sz w:val="22"/>
          <w:szCs w:val="22"/>
        </w:rPr>
        <w:t xml:space="preserve">D-penicillamine</w:t>
      </w:r>
      <w:r>
        <w:rPr>
          <w:rFonts w:ascii="Arial" w:cs="Arial" w:eastAsia="Arial" w:hAnsi="Arial"/>
          <w:b w:val="false"/>
          <w:bCs w:val="false"/>
          <w:i w:val="false"/>
          <w:iCs w:val="false"/>
          <w:sz w:val="22"/>
          <w:szCs w:val="22"/>
        </w:rPr>
        <w:t xml:space="preserve">: copper chelator, first-line</w:t>
      </w:r>
    </w:p>
    <w:p>
      <w:pPr>
        <w:pStyle w:val="ListParagraph"/>
        <w:numPr>
          <w:ilvl w:val="0"/>
          <w:numId w:val="1"/>
        </w:numPr>
        <w:spacing w:after="80"/>
      </w:pPr>
      <w:r>
        <w:rPr>
          <w:rFonts w:ascii="Arial" w:cs="Arial" w:eastAsia="Arial" w:hAnsi="Arial"/>
          <w:b/>
          <w:bCs/>
          <w:i w:val="false"/>
          <w:iCs w:val="false"/>
          <w:sz w:val="22"/>
          <w:szCs w:val="22"/>
        </w:rPr>
        <w:t xml:space="preserve">Trientine</w:t>
      </w:r>
      <w:r>
        <w:rPr>
          <w:rFonts w:ascii="Arial" w:cs="Arial" w:eastAsia="Arial" w:hAnsi="Arial"/>
          <w:b w:val="false"/>
          <w:bCs w:val="false"/>
          <w:i w:val="false"/>
          <w:iCs w:val="false"/>
          <w:sz w:val="22"/>
          <w:szCs w:val="22"/>
        </w:rPr>
        <w:t xml:space="preserve">: chelator, for patients who cannot tolerate penicillamine</w:t>
      </w:r>
    </w:p>
    <w:p>
      <w:pPr>
        <w:pStyle w:val="ListParagraph"/>
        <w:numPr>
          <w:ilvl w:val="0"/>
          <w:numId w:val="1"/>
        </w:numPr>
        <w:spacing w:after="80"/>
      </w:pPr>
      <w:r>
        <w:rPr>
          <w:rFonts w:ascii="Arial" w:cs="Arial" w:eastAsia="Arial" w:hAnsi="Arial"/>
          <w:b/>
          <w:bCs/>
          <w:i w:val="false"/>
          <w:iCs w:val="false"/>
          <w:sz w:val="22"/>
          <w:szCs w:val="22"/>
        </w:rPr>
        <w:t xml:space="preserve">Zinc</w:t>
      </w:r>
      <w:r>
        <w:rPr>
          <w:rFonts w:ascii="Arial" w:cs="Arial" w:eastAsia="Arial" w:hAnsi="Arial"/>
          <w:b w:val="false"/>
          <w:bCs w:val="false"/>
          <w:i w:val="false"/>
          <w:iCs w:val="false"/>
          <w:sz w:val="22"/>
          <w:szCs w:val="22"/>
        </w:rPr>
        <w:t xml:space="preserve">: inhibits intestinal copper absorption; used for maintenance or in asymptomatic patients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gridSpan w:val="3"/>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Menkes Disease vs Wilson Disease</w:t>
            </w:r>
          </w:p>
        </w:tc>
      </w:tr>
      <w:tr>
        <w:tc>
          <w:tcPr>
            <w:tcW w:type="dxa" w:w="15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sz w:val="20"/>
                <w:szCs w:val="20"/>
              </w:rPr>
              <w:t xml:space="preserve"/>
            </w:r>
          </w:p>
        </w:tc>
        <w:tc>
          <w:tcPr>
            <w:tcW w:type="dxa" w:w="39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Menkes Disease (Copper Deficiency)</w:t>
            </w:r>
          </w:p>
        </w:tc>
        <w:tc>
          <w:tcPr>
            <w:tcW w:type="dxa" w:w="39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Wilson Disease (Copper Excess)</w:t>
            </w:r>
          </w:p>
        </w:tc>
      </w:tr>
      <w:tr>
        <w:tc>
          <w:tcPr>
            <w:tcW w:type="dxa" w:w="15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Epidemiology</w:t>
            </w:r>
          </w:p>
        </w:tc>
        <w:tc>
          <w:tcPr>
            <w:tcW w:type="dxa" w:w="39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Presents in infancy</w:t>
            </w:r>
          </w:p>
          <w:p>
            <w:pPr>
              <w:pStyle w:val="ListParagraph"/>
              <w:numPr>
                <w:ilvl w:val="0"/>
                <w:numId w:val="1"/>
              </w:numPr>
              <w:jc w:val="left"/>
            </w:pPr>
            <w:r>
              <w:rPr>
                <w:rFonts w:ascii="Arial" w:cs="Arial" w:eastAsia="Arial" w:hAnsi="Arial"/>
                <w:b w:val="false"/>
                <w:bCs w:val="false"/>
                <w:i w:val="false"/>
                <w:iCs w:val="false"/>
                <w:sz w:val="20"/>
                <w:szCs w:val="20"/>
              </w:rPr>
              <w:t xml:space="preserve">Males &gt; females</w:t>
            </w:r>
          </w:p>
        </w:tc>
        <w:tc>
          <w:tcPr>
            <w:tcW w:type="dxa" w:w="39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Young adults</w:t>
            </w:r>
          </w:p>
        </w:tc>
      </w:tr>
      <w:tr>
        <w:tc>
          <w:tcPr>
            <w:tcW w:type="dxa" w:w="15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Etiology</w:t>
            </w:r>
          </w:p>
        </w:tc>
        <w:tc>
          <w:tcPr>
            <w:tcW w:type="dxa" w:w="39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Mutation in </w:t>
            </w:r>
            <w:r>
              <w:rPr>
                <w:rFonts w:ascii="Arial" w:cs="Arial" w:eastAsia="Arial" w:hAnsi="Arial"/>
                <w:b w:val="false"/>
                <w:bCs w:val="false"/>
                <w:i/>
                <w:iCs/>
                <w:sz w:val="20"/>
                <w:szCs w:val="20"/>
              </w:rPr>
              <w:t xml:space="preserve">ATP7A</w:t>
            </w:r>
            <w:r>
              <w:rPr>
                <w:rFonts w:ascii="Arial" w:cs="Arial" w:eastAsia="Arial" w:hAnsi="Arial"/>
                <w:b w:val="false"/>
                <w:bCs w:val="false"/>
                <w:i w:val="false"/>
                <w:iCs w:val="false"/>
                <w:sz w:val="20"/>
                <w:szCs w:val="20"/>
              </w:rPr>
              <w:t xml:space="preserve"> (Cu-transporting ATPase in intestinal and placental cells)</w:t>
            </w:r>
          </w:p>
          <w:p>
            <w:pPr>
              <w:pStyle w:val="ListParagraph"/>
              <w:numPr>
                <w:ilvl w:val="0"/>
                <w:numId w:val="1"/>
              </w:numPr>
              <w:jc w:val="left"/>
            </w:pPr>
            <w:r>
              <w:rPr>
                <w:rFonts w:ascii="Arial" w:cs="Arial" w:eastAsia="Arial" w:hAnsi="Arial"/>
                <w:b w:val="false"/>
                <w:bCs w:val="false"/>
                <w:i w:val="false"/>
                <w:iCs w:val="false"/>
                <w:sz w:val="20"/>
                <w:szCs w:val="20"/>
              </w:rPr>
              <w:t xml:space="preserve">(X-linked recessive)</w:t>
            </w:r>
          </w:p>
        </w:tc>
        <w:tc>
          <w:tcPr>
            <w:tcW w:type="dxa" w:w="39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Mutation in </w:t>
            </w:r>
            <w:r>
              <w:rPr>
                <w:rFonts w:ascii="Arial" w:cs="Arial" w:eastAsia="Arial" w:hAnsi="Arial"/>
                <w:b w:val="false"/>
                <w:bCs w:val="false"/>
                <w:i/>
                <w:iCs/>
                <w:sz w:val="20"/>
                <w:szCs w:val="20"/>
              </w:rPr>
              <w:t xml:space="preserve">ATP7B</w:t>
            </w:r>
            <w:r>
              <w:rPr>
                <w:rFonts w:ascii="Arial" w:cs="Arial" w:eastAsia="Arial" w:hAnsi="Arial"/>
                <w:b w:val="false"/>
                <w:bCs w:val="false"/>
                <w:i w:val="false"/>
                <w:iCs w:val="false"/>
                <w:sz w:val="20"/>
                <w:szCs w:val="20"/>
              </w:rPr>
              <w:t xml:space="preserve"> (Cu-transporting ATPase in hepatocytes)</w:t>
            </w:r>
          </w:p>
          <w:p>
            <w:pPr>
              <w:pStyle w:val="ListParagraph"/>
              <w:numPr>
                <w:ilvl w:val="0"/>
                <w:numId w:val="1"/>
              </w:numPr>
              <w:jc w:val="left"/>
            </w:pPr>
            <w:r>
              <w:rPr>
                <w:rFonts w:ascii="Arial" w:cs="Arial" w:eastAsia="Arial" w:hAnsi="Arial"/>
                <w:b w:val="false"/>
                <w:bCs w:val="false"/>
                <w:i w:val="false"/>
                <w:iCs w:val="false"/>
                <w:sz w:val="20"/>
                <w:szCs w:val="20"/>
              </w:rPr>
              <w:t xml:space="preserve">(autosomal recessive, chromosome 13)</w:t>
            </w:r>
          </w:p>
        </w:tc>
      </w:tr>
      <w:tr>
        <w:tc>
          <w:tcPr>
            <w:tcW w:type="dxa" w:w="15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Pathophysiology</w:t>
            </w:r>
          </w:p>
        </w:tc>
        <w:tc>
          <w:tcPr>
            <w:tcW w:type="dxa" w:w="39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ATP7A loss → Cu trapped in enterocytes, not exported to blood</w:t>
            </w:r>
          </w:p>
          <w:p>
            <w:pPr>
              <w:pStyle w:val="ListParagraph"/>
              <w:numPr>
                <w:ilvl w:val="0"/>
                <w:numId w:val="1"/>
              </w:numPr>
              <w:jc w:val="left"/>
            </w:pPr>
            <w:r>
              <w:rPr>
                <w:rFonts w:ascii="Arial" w:cs="Arial" w:eastAsia="Arial" w:hAnsi="Arial"/>
                <w:b w:val="false"/>
                <w:bCs w:val="false"/>
                <w:i w:val="false"/>
                <w:iCs w:val="false"/>
                <w:sz w:val="20"/>
                <w:szCs w:val="20"/>
              </w:rPr>
              <w:t xml:space="preserve">Copper deficiency in tissues (poor intestinal absorption)</w:t>
            </w:r>
          </w:p>
        </w:tc>
        <w:tc>
          <w:tcPr>
            <w:tcW w:type="dxa" w:w="39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Copper accumulation (hepatic, brain, cornea)</w:t>
            </w:r>
          </w:p>
        </w:tc>
      </w:tr>
      <w:tr>
        <w:tc>
          <w:tcPr>
            <w:tcW w:type="dxa" w:w="15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Clinical Presentation</w:t>
            </w:r>
          </w:p>
        </w:tc>
        <w:tc>
          <w:tcPr>
            <w:tcW w:type="dxa" w:w="39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Kinky/steely hair (pili torti)</w:t>
            </w:r>
          </w:p>
          <w:p>
            <w:pPr>
              <w:pStyle w:val="ListParagraph"/>
              <w:numPr>
                <w:ilvl w:val="0"/>
                <w:numId w:val="1"/>
              </w:numPr>
              <w:jc w:val="left"/>
            </w:pPr>
            <w:r>
              <w:rPr>
                <w:rFonts w:ascii="Arial" w:cs="Arial" w:eastAsia="Arial" w:hAnsi="Arial"/>
                <w:b w:val="false"/>
                <w:bCs w:val="false"/>
                <w:i w:val="false"/>
                <w:iCs w:val="false"/>
                <w:sz w:val="20"/>
                <w:szCs w:val="20"/>
              </w:rPr>
              <w:t xml:space="preserve">Neurodegeneration, seizures</w:t>
            </w:r>
          </w:p>
          <w:p>
            <w:pPr>
              <w:pStyle w:val="ListParagraph"/>
              <w:numPr>
                <w:ilvl w:val="0"/>
                <w:numId w:val="1"/>
              </w:numPr>
              <w:jc w:val="left"/>
            </w:pPr>
            <w:r>
              <w:rPr>
                <w:rFonts w:ascii="Arial" w:cs="Arial" w:eastAsia="Arial" w:hAnsi="Arial"/>
                <w:b w:val="false"/>
                <w:bCs w:val="false"/>
                <w:i w:val="false"/>
                <w:iCs w:val="false"/>
                <w:sz w:val="20"/>
                <w:szCs w:val="20"/>
              </w:rPr>
              <w:t xml:space="preserve">Hypotonia, failure to thrive</w:t>
            </w:r>
          </w:p>
        </w:tc>
        <w:tc>
          <w:tcPr>
            <w:tcW w:type="dxa" w:w="39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Kayser-Fleischer rings</w:t>
            </w:r>
          </w:p>
          <w:p>
            <w:pPr>
              <w:pStyle w:val="ListParagraph"/>
              <w:numPr>
                <w:ilvl w:val="0"/>
                <w:numId w:val="1"/>
              </w:numPr>
              <w:jc w:val="left"/>
            </w:pPr>
            <w:r>
              <w:rPr>
                <w:rFonts w:ascii="Arial" w:cs="Arial" w:eastAsia="Arial" w:hAnsi="Arial"/>
                <w:b w:val="false"/>
                <w:bCs w:val="false"/>
                <w:i w:val="false"/>
                <w:iCs w:val="false"/>
                <w:sz w:val="20"/>
                <w:szCs w:val="20"/>
              </w:rPr>
              <w:t xml:space="preserve">Asterixis (flapping tremor)</w:t>
            </w:r>
          </w:p>
          <w:p>
            <w:pPr>
              <w:pStyle w:val="ListParagraph"/>
              <w:numPr>
                <w:ilvl w:val="0"/>
                <w:numId w:val="1"/>
              </w:numPr>
              <w:jc w:val="left"/>
            </w:pPr>
            <w:r>
              <w:rPr>
                <w:rFonts w:ascii="Arial" w:cs="Arial" w:eastAsia="Arial" w:hAnsi="Arial"/>
                <w:b w:val="false"/>
                <w:bCs w:val="false"/>
                <w:i w:val="false"/>
                <w:iCs w:val="false"/>
                <w:sz w:val="20"/>
                <w:szCs w:val="20"/>
              </w:rPr>
              <w:t xml:space="preserve">Cirrhosis, hepatic failure</w:t>
            </w:r>
          </w:p>
          <w:p>
            <w:pPr>
              <w:pStyle w:val="ListParagraph"/>
              <w:numPr>
                <w:ilvl w:val="0"/>
                <w:numId w:val="1"/>
              </w:numPr>
              <w:jc w:val="left"/>
            </w:pPr>
            <w:r>
              <w:rPr>
                <w:rFonts w:ascii="Arial" w:cs="Arial" w:eastAsia="Arial" w:hAnsi="Arial"/>
                <w:b w:val="false"/>
                <w:bCs w:val="false"/>
                <w:i w:val="false"/>
                <w:iCs w:val="false"/>
                <w:sz w:val="20"/>
                <w:szCs w:val="20"/>
              </w:rPr>
              <w:t xml:space="preserve">Neuropsychiatric: dysarthria, gait disturbance, personality change</w:t>
            </w:r>
          </w:p>
          <w:p>
            <w:pPr>
              <w:pStyle w:val="ListParagraph"/>
              <w:numPr>
                <w:ilvl w:val="0"/>
                <w:numId w:val="1"/>
              </w:numPr>
              <w:jc w:val="left"/>
            </w:pPr>
            <w:r>
              <w:rPr>
                <w:rFonts w:ascii="Arial" w:cs="Arial" w:eastAsia="Arial" w:hAnsi="Arial"/>
                <w:b w:val="false"/>
                <w:bCs w:val="false"/>
                <w:i w:val="false"/>
                <w:iCs w:val="false"/>
                <w:sz w:val="20"/>
                <w:szCs w:val="20"/>
              </w:rPr>
              <w:t xml:space="preserve">Hemolytic anemia</w:t>
            </w:r>
          </w:p>
        </w:tc>
      </w:tr>
      <w:tr>
        <w:tc>
          <w:tcPr>
            <w:tcW w:type="dxa" w:w="15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Lab Findings</w:t>
            </w:r>
          </w:p>
        </w:tc>
        <w:tc>
          <w:tcPr>
            <w:tcW w:type="dxa" w:w="39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 serum copper</w:t>
            </w:r>
          </w:p>
          <w:p>
            <w:pPr>
              <w:pStyle w:val="ListParagraph"/>
              <w:numPr>
                <w:ilvl w:val="0"/>
                <w:numId w:val="1"/>
              </w:numPr>
              <w:jc w:val="left"/>
            </w:pPr>
            <w:r>
              <w:rPr>
                <w:rFonts w:ascii="Arial" w:cs="Arial" w:eastAsia="Arial" w:hAnsi="Arial"/>
                <w:b w:val="false"/>
                <w:bCs w:val="false"/>
                <w:i w:val="false"/>
                <w:iCs w:val="false"/>
                <w:sz w:val="20"/>
                <w:szCs w:val="20"/>
              </w:rPr>
              <w:t xml:space="preserve">↓ ceruloplasmin</w:t>
            </w:r>
          </w:p>
        </w:tc>
        <w:tc>
          <w:tcPr>
            <w:tcW w:type="dxa" w:w="39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 ceruloplasmin</w:t>
            </w:r>
          </w:p>
          <w:p>
            <w:pPr>
              <w:pStyle w:val="ListParagraph"/>
              <w:numPr>
                <w:ilvl w:val="0"/>
                <w:numId w:val="1"/>
              </w:numPr>
              <w:jc w:val="left"/>
            </w:pPr>
            <w:r>
              <w:rPr>
                <w:rFonts w:ascii="Arial" w:cs="Arial" w:eastAsia="Arial" w:hAnsi="Arial"/>
                <w:b w:val="false"/>
                <w:bCs w:val="false"/>
                <w:i w:val="false"/>
                <w:iCs w:val="false"/>
                <w:sz w:val="20"/>
                <w:szCs w:val="20"/>
              </w:rPr>
              <w:t xml:space="preserve">↑ 24-hr urinary copper</w:t>
            </w:r>
          </w:p>
          <w:p>
            <w:pPr>
              <w:pStyle w:val="ListParagraph"/>
              <w:numPr>
                <w:ilvl w:val="0"/>
                <w:numId w:val="1"/>
              </w:numPr>
              <w:jc w:val="left"/>
            </w:pPr>
            <w:r>
              <w:rPr>
                <w:rFonts w:ascii="Arial" w:cs="Arial" w:eastAsia="Arial" w:hAnsi="Arial"/>
                <w:b w:val="false"/>
                <w:bCs w:val="false"/>
                <w:i w:val="false"/>
                <w:iCs w:val="false"/>
                <w:sz w:val="20"/>
                <w:szCs w:val="20"/>
              </w:rPr>
              <w:t xml:space="preserve">↑ hepatic copper (liver biopsy)</w:t>
            </w:r>
          </w:p>
        </w:tc>
      </w:tr>
      <w:tr>
        <w:tc>
          <w:tcPr>
            <w:tcW w:type="dxa" w:w="15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Treatment</w:t>
            </w:r>
          </w:p>
        </w:tc>
        <w:tc>
          <w:tcPr>
            <w:tcW w:type="dxa" w:w="39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Copper histidine (partial benefit)</w:t>
            </w:r>
          </w:p>
        </w:tc>
        <w:tc>
          <w:tcPr>
            <w:tcW w:type="dxa" w:w="39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Copper chelator D-penicillamine (first-line) or trientine</w:t>
            </w:r>
          </w:p>
          <w:p>
            <w:pPr>
              <w:pStyle w:val="ListParagraph"/>
              <w:numPr>
                <w:ilvl w:val="0"/>
                <w:numId w:val="1"/>
              </w:numPr>
              <w:jc w:val="left"/>
            </w:pPr>
            <w:r>
              <w:rPr>
                <w:rFonts w:ascii="Arial" w:cs="Arial" w:eastAsia="Arial" w:hAnsi="Arial"/>
                <w:b w:val="false"/>
                <w:bCs w:val="false"/>
                <w:i w:val="false"/>
                <w:iCs w:val="false"/>
                <w:sz w:val="20"/>
                <w:szCs w:val="20"/>
              </w:rPr>
              <w:t xml:space="preserve">Zinc (blocks Cu absorption)</w:t>
            </w:r>
          </w:p>
        </w:tc>
      </w:tr>
    </w:tbl>
    <w:p>
      <w:pPr>
        <w:pStyle w:val="Heading1"/>
        <w:spacing w:after="120" w:before="240"/>
      </w:pPr>
      <w:r>
        <w:rPr>
          <w:rFonts w:ascii="Arial" w:cs="Arial" w:eastAsia="Arial" w:hAnsi="Arial"/>
          <w:b/>
          <w:bCs/>
          <w:color w:val="1F4E79"/>
          <w:sz w:val="30"/>
          <w:szCs w:val="30"/>
        </w:rPr>
        <w:t xml:space="preserve">Selenium</w:t>
      </w:r>
    </w:p>
    <w:p>
      <w:pPr>
        <w:pStyle w:val="Heading2"/>
        <w:spacing w:after="120" w:before="240"/>
      </w:pPr>
      <w:r>
        <w:rPr>
          <w:rFonts w:ascii="Arial" w:cs="Arial" w:eastAsia="Arial" w:hAnsi="Arial"/>
          <w:b/>
          <w:bCs/>
          <w:color w:val="2E75B6"/>
          <w:sz w:val="26"/>
          <w:szCs w:val="26"/>
        </w:rPr>
        <w:t xml:space="preserve">Biochemistry &amp; Function</w:t>
      </w:r>
    </w:p>
    <w:p>
      <w:pPr>
        <w:spacing w:after="160"/>
      </w:pPr>
      <w:r>
        <w:rPr>
          <w:rFonts w:ascii="Arial" w:cs="Arial" w:eastAsia="Arial" w:hAnsi="Arial"/>
          <w:b w:val="false"/>
          <w:bCs w:val="false"/>
          <w:i w:val="false"/>
          <w:iCs w:val="false"/>
          <w:sz w:val="22"/>
          <w:szCs w:val="22"/>
        </w:rPr>
        <w:t xml:space="preserve">Selenium is incorporated into selenoproteins as </w:t>
      </w:r>
      <w:r>
        <w:rPr>
          <w:rFonts w:ascii="Arial" w:cs="Arial" w:eastAsia="Arial" w:hAnsi="Arial"/>
          <w:b/>
          <w:bCs/>
          <w:i w:val="false"/>
          <w:iCs w:val="false"/>
          <w:sz w:val="22"/>
          <w:szCs w:val="22"/>
        </w:rPr>
        <w:t xml:space="preserve">selenocysteine</w:t>
      </w:r>
      <w:r>
        <w:rPr>
          <w:rFonts w:ascii="Arial" w:cs="Arial" w:eastAsia="Arial" w:hAnsi="Arial"/>
          <w:b w:val="false"/>
          <w:bCs w:val="false"/>
          <w:i w:val="false"/>
          <w:iCs w:val="false"/>
          <w:sz w:val="22"/>
          <w:szCs w:val="22"/>
        </w:rPr>
        <w:t xml:space="preserve">, the 21st amino acid. The most clinically relevant selenoproteins are </w:t>
      </w:r>
      <w:r>
        <w:rPr>
          <w:rFonts w:ascii="Arial" w:cs="Arial" w:eastAsia="Arial" w:hAnsi="Arial"/>
          <w:b/>
          <w:bCs/>
          <w:i w:val="false"/>
          <w:iCs w:val="false"/>
          <w:sz w:val="22"/>
          <w:szCs w:val="22"/>
        </w:rPr>
        <w:t xml:space="preserve">glutathione peroxidase</w:t>
      </w:r>
      <w:r>
        <w:rPr>
          <w:rFonts w:ascii="Arial" w:cs="Arial" w:eastAsia="Arial" w:hAnsi="Arial"/>
          <w:b w:val="false"/>
          <w:bCs w:val="false"/>
          <w:i w:val="false"/>
          <w:iCs w:val="false"/>
          <w:sz w:val="22"/>
          <w:szCs w:val="22"/>
        </w:rPr>
        <w:t xml:space="preserve"> (reduces hydrogen peroxide and lipid peroxides, protecting against oxidative damage) and </w:t>
      </w:r>
      <w:r>
        <w:rPr>
          <w:rFonts w:ascii="Arial" w:cs="Arial" w:eastAsia="Arial" w:hAnsi="Arial"/>
          <w:b/>
          <w:bCs/>
          <w:i w:val="false"/>
          <w:iCs w:val="false"/>
          <w:sz w:val="22"/>
          <w:szCs w:val="22"/>
        </w:rPr>
        <w:t xml:space="preserve">thioredoxin reductase</w:t>
      </w:r>
      <w:r>
        <w:rPr>
          <w:rFonts w:ascii="Arial" w:cs="Arial" w:eastAsia="Arial" w:hAnsi="Arial"/>
          <w:b w:val="false"/>
          <w:bCs w:val="false"/>
          <w:i w:val="false"/>
          <w:iCs w:val="false"/>
          <w:sz w:val="22"/>
          <w:szCs w:val="22"/>
        </w:rPr>
        <w:t xml:space="preserve">. Selenium is also required for the enzyme </w:t>
      </w:r>
      <w:r>
        <w:rPr>
          <w:rFonts w:ascii="Arial" w:cs="Arial" w:eastAsia="Arial" w:hAnsi="Arial"/>
          <w:b/>
          <w:bCs/>
          <w:i w:val="false"/>
          <w:iCs w:val="false"/>
          <w:sz w:val="22"/>
          <w:szCs w:val="22"/>
        </w:rPr>
        <w:t xml:space="preserve">iodothyronine deiodinase</w:t>
      </w:r>
      <w:r>
        <w:rPr>
          <w:rFonts w:ascii="Arial" w:cs="Arial" w:eastAsia="Arial" w:hAnsi="Arial"/>
          <w:b w:val="false"/>
          <w:bCs w:val="false"/>
          <w:i w:val="false"/>
          <w:iCs w:val="false"/>
          <w:sz w:val="22"/>
          <w:szCs w:val="22"/>
        </w:rPr>
        <w:t xml:space="preserve">, which converts thyroxine (T4) to the active triiodothyronine (T3).</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bCs/>
          <w:i w:val="false"/>
          <w:iCs w:val="false"/>
          <w:sz w:val="22"/>
          <w:szCs w:val="22"/>
        </w:rPr>
        <w:t xml:space="preserve">Keshan disease</w:t>
      </w:r>
      <w:r>
        <w:rPr>
          <w:rFonts w:ascii="Arial" w:cs="Arial" w:eastAsia="Arial" w:hAnsi="Arial"/>
          <w:b w:val="false"/>
          <w:bCs w:val="false"/>
          <w:i w:val="false"/>
          <w:iCs w:val="false"/>
          <w:sz w:val="22"/>
          <w:szCs w:val="22"/>
        </w:rPr>
        <w:t xml:space="preserve">: a selenium-deficiency-associated </w:t>
      </w:r>
      <w:r>
        <w:rPr>
          <w:rFonts w:ascii="Arial" w:cs="Arial" w:eastAsia="Arial" w:hAnsi="Arial"/>
          <w:b/>
          <w:bCs/>
          <w:i w:val="false"/>
          <w:iCs w:val="false"/>
          <w:sz w:val="22"/>
          <w:szCs w:val="22"/>
        </w:rPr>
        <w:t xml:space="preserve">dilated cardiomyopathy</w:t>
      </w:r>
      <w:r>
        <w:rPr>
          <w:rFonts w:ascii="Arial" w:cs="Arial" w:eastAsia="Arial" w:hAnsi="Arial"/>
          <w:b w:val="false"/>
          <w:bCs w:val="false"/>
          <w:i w:val="false"/>
          <w:iCs w:val="false"/>
          <w:sz w:val="22"/>
          <w:szCs w:val="22"/>
        </w:rPr>
        <w:t xml:space="preserve"> endemic to selenium-poor regions of China. Appears to be potentiated by concurrent </w:t>
      </w:r>
      <w:r>
        <w:rPr>
          <w:rFonts w:ascii="Arial" w:cs="Arial" w:eastAsia="Arial" w:hAnsi="Arial"/>
          <w:b/>
          <w:bCs/>
          <w:i w:val="false"/>
          <w:iCs w:val="false"/>
          <w:sz w:val="22"/>
          <w:szCs w:val="22"/>
        </w:rPr>
        <w:t xml:space="preserve">coxsackievirus B</w:t>
      </w:r>
      <w:r>
        <w:rPr>
          <w:rFonts w:ascii="Arial" w:cs="Arial" w:eastAsia="Arial" w:hAnsi="Arial"/>
          <w:b w:val="false"/>
          <w:bCs w:val="false"/>
          <w:i w:val="false"/>
          <w:iCs w:val="false"/>
          <w:sz w:val="22"/>
          <w:szCs w:val="22"/>
        </w:rPr>
        <w:t xml:space="preserve"> infection.</w:t>
      </w:r>
    </w:p>
    <w:p>
      <w:pPr>
        <w:pStyle w:val="ListParagraph"/>
        <w:numPr>
          <w:ilvl w:val="0"/>
          <w:numId w:val="1"/>
        </w:numPr>
        <w:spacing w:after="80"/>
      </w:pPr>
      <w:r>
        <w:rPr>
          <w:rFonts w:ascii="Arial" w:cs="Arial" w:eastAsia="Arial" w:hAnsi="Arial"/>
          <w:b/>
          <w:bCs/>
          <w:i w:val="false"/>
          <w:iCs w:val="false"/>
          <w:sz w:val="22"/>
          <w:szCs w:val="22"/>
        </w:rPr>
        <w:t xml:space="preserve">Kashin-Beck disease</w:t>
      </w:r>
      <w:r>
        <w:rPr>
          <w:rFonts w:ascii="Arial" w:cs="Arial" w:eastAsia="Arial" w:hAnsi="Arial"/>
          <w:b w:val="false"/>
          <w:bCs w:val="false"/>
          <w:i w:val="false"/>
          <w:iCs w:val="false"/>
          <w:sz w:val="22"/>
          <w:szCs w:val="22"/>
        </w:rPr>
        <w:t xml:space="preserve">: selenium-related osteoarthropathy causing joint degeneration in children; also endemic to selenium-poor regions of China.</w:t>
      </w:r>
    </w:p>
    <w:p>
      <w:pPr>
        <w:pStyle w:val="ListParagraph"/>
        <w:numPr>
          <w:ilvl w:val="0"/>
          <w:numId w:val="1"/>
        </w:numPr>
        <w:spacing w:after="80"/>
      </w:pPr>
      <w:r>
        <w:rPr>
          <w:rFonts w:ascii="Arial" w:cs="Arial" w:eastAsia="Arial" w:hAnsi="Arial"/>
          <w:b w:val="false"/>
          <w:bCs w:val="false"/>
          <w:i w:val="false"/>
          <w:iCs w:val="false"/>
          <w:sz w:val="22"/>
          <w:szCs w:val="22"/>
        </w:rPr>
        <w:t xml:space="preserve">Acquired selenium deficiency occurs with long-term total parenteral nutrition or severe malabsorption.</w:t>
      </w:r>
    </w:p>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val="false"/>
          <w:bCs w:val="false"/>
          <w:i w:val="false"/>
          <w:iCs w:val="false"/>
          <w:sz w:val="22"/>
          <w:szCs w:val="22"/>
        </w:rPr>
        <w:t xml:space="preserve">Selenosis from excessive intake: brittle nails and hair, </w:t>
      </w:r>
      <w:r>
        <w:rPr>
          <w:rFonts w:ascii="Arial" w:cs="Arial" w:eastAsia="Arial" w:hAnsi="Arial"/>
          <w:b/>
          <w:bCs/>
          <w:i w:val="false"/>
          <w:iCs w:val="false"/>
          <w:sz w:val="22"/>
          <w:szCs w:val="22"/>
        </w:rPr>
        <w:t xml:space="preserve">garlic-like breath odor</w:t>
      </w:r>
      <w:r>
        <w:rPr>
          <w:rFonts w:ascii="Arial" w:cs="Arial" w:eastAsia="Arial" w:hAnsi="Arial"/>
          <w:b w:val="false"/>
          <w:bCs w:val="false"/>
          <w:i w:val="false"/>
          <w:iCs w:val="false"/>
          <w:sz w:val="22"/>
          <w:szCs w:val="22"/>
        </w:rPr>
        <w:t xml:space="preserve"> (from exhaled dimethylselenide), neurological symptoms, and GI upset</w:t>
      </w:r>
    </w:p>
    <w:p>
      <w:pPr>
        <w:pStyle w:val="Heading1"/>
        <w:spacing w:after="120" w:before="240"/>
      </w:pPr>
      <w:r>
        <w:rPr>
          <w:rFonts w:ascii="Arial" w:cs="Arial" w:eastAsia="Arial" w:hAnsi="Arial"/>
          <w:b/>
          <w:bCs/>
          <w:color w:val="1F4E79"/>
          <w:sz w:val="30"/>
          <w:szCs w:val="30"/>
        </w:rPr>
        <w:t xml:space="preserve">Iodine</w:t>
      </w:r>
    </w:p>
    <w:p>
      <w:pPr>
        <w:pStyle w:val="Heading2"/>
        <w:spacing w:after="120" w:before="240"/>
      </w:pPr>
      <w:r>
        <w:rPr>
          <w:rFonts w:ascii="Arial" w:cs="Arial" w:eastAsia="Arial" w:hAnsi="Arial"/>
          <w:b/>
          <w:bCs/>
          <w:color w:val="2E75B6"/>
          <w:sz w:val="26"/>
          <w:szCs w:val="26"/>
        </w:rPr>
        <w:t xml:space="preserve">Biochemistry &amp; Function</w:t>
      </w:r>
    </w:p>
    <w:p>
      <w:pPr>
        <w:pStyle w:val="ListParagraph"/>
        <w:numPr>
          <w:ilvl w:val="0"/>
          <w:numId w:val="1"/>
        </w:numPr>
        <w:spacing w:after="80"/>
      </w:pPr>
      <w:r>
        <w:rPr>
          <w:rFonts w:ascii="Arial" w:cs="Arial" w:eastAsia="Arial" w:hAnsi="Arial"/>
          <w:b w:val="false"/>
          <w:bCs w:val="false"/>
          <w:i w:val="false"/>
          <w:iCs w:val="false"/>
          <w:sz w:val="22"/>
          <w:szCs w:val="22"/>
        </w:rPr>
        <w:t xml:space="preserve">Substrate for thyroid hormone synthesis</w:t>
      </w:r>
    </w:p>
    <w:p>
      <w:pPr>
        <w:pStyle w:val="ListParagraph"/>
        <w:numPr>
          <w:ilvl w:val="0"/>
          <w:numId w:val="1"/>
        </w:numPr>
        <w:spacing w:after="80"/>
      </w:pPr>
      <w:r>
        <w:rPr>
          <w:rFonts w:ascii="Arial" w:cs="Arial" w:eastAsia="Arial" w:hAnsi="Arial"/>
          <w:b w:val="false"/>
          <w:bCs w:val="false"/>
          <w:i w:val="false"/>
          <w:iCs w:val="false"/>
          <w:sz w:val="22"/>
          <w:szCs w:val="22"/>
        </w:rPr>
        <w:t xml:space="preserve">In the thyroid follicular cell, iodide (I-) is transported into the cell by the </w:t>
      </w:r>
      <w:r>
        <w:rPr>
          <w:rFonts w:ascii="Arial" w:cs="Arial" w:eastAsia="Arial" w:hAnsi="Arial"/>
          <w:b/>
          <w:bCs/>
          <w:i w:val="false"/>
          <w:iCs w:val="false"/>
          <w:sz w:val="22"/>
          <w:szCs w:val="22"/>
        </w:rPr>
        <w:t xml:space="preserve">sodium-iodide symporter (NIS)</w:t>
      </w:r>
      <w:r>
        <w:rPr>
          <w:rFonts w:ascii="Arial" w:cs="Arial" w:eastAsia="Arial" w:hAnsi="Arial"/>
          <w:b w:val="false"/>
          <w:bCs w:val="false"/>
          <w:i w:val="false"/>
          <w:iCs w:val="false"/>
          <w:sz w:val="22"/>
          <w:szCs w:val="22"/>
        </w:rPr>
        <w:t xml:space="preserve">, oxidized by </w:t>
      </w:r>
      <w:r>
        <w:rPr>
          <w:rFonts w:ascii="Arial" w:cs="Arial" w:eastAsia="Arial" w:hAnsi="Arial"/>
          <w:b/>
          <w:bCs/>
          <w:i w:val="false"/>
          <w:iCs w:val="false"/>
          <w:sz w:val="22"/>
          <w:szCs w:val="22"/>
        </w:rPr>
        <w:t xml:space="preserve">thyroperoxidase (TPO)</w:t>
      </w:r>
      <w:r>
        <w:rPr>
          <w:rFonts w:ascii="Arial" w:cs="Arial" w:eastAsia="Arial" w:hAnsi="Arial"/>
          <w:b w:val="false"/>
          <w:bCs w:val="false"/>
          <w:i w:val="false"/>
          <w:iCs w:val="false"/>
          <w:sz w:val="22"/>
          <w:szCs w:val="22"/>
        </w:rPr>
        <w:t xml:space="preserve"> in the presence of H2O2, and incorporated into thyroglobulin tyrosine residues (organification)</w:t>
      </w:r>
    </w:p>
    <w:p>
      <w:pPr>
        <w:pStyle w:val="ListParagraph"/>
        <w:numPr>
          <w:ilvl w:val="0"/>
          <w:numId w:val="1"/>
        </w:numPr>
        <w:spacing w:after="80"/>
      </w:pPr>
      <w:r>
        <w:rPr>
          <w:rFonts w:ascii="Arial" w:cs="Arial" w:eastAsia="Arial" w:hAnsi="Arial"/>
          <w:b w:val="false"/>
          <w:bCs w:val="false"/>
          <w:i w:val="false"/>
          <w:iCs w:val="false"/>
          <w:sz w:val="22"/>
          <w:szCs w:val="22"/>
        </w:rPr>
        <w:t xml:space="preserve">Produces monoiodotyrosine (MIT) and diiodotyrosine (DIT), which are coupled to form T3 and T4</w:t>
      </w:r>
    </w:p>
    <w:p>
      <w:pPr>
        <w:pStyle w:val="ListParagraph"/>
        <w:numPr>
          <w:ilvl w:val="0"/>
          <w:numId w:val="1"/>
        </w:numPr>
        <w:spacing w:after="80"/>
      </w:pPr>
      <w:r>
        <w:rPr>
          <w:rFonts w:ascii="Arial" w:cs="Arial" w:eastAsia="Arial" w:hAnsi="Arial"/>
          <w:b/>
          <w:bCs/>
          <w:i w:val="false"/>
          <w:iCs w:val="false"/>
          <w:sz w:val="22"/>
          <w:szCs w:val="22"/>
        </w:rPr>
        <w:t xml:space="preserve">Wolff-Chaikoff effect</w:t>
      </w:r>
      <w:r>
        <w:rPr>
          <w:rFonts w:ascii="Arial" w:cs="Arial" w:eastAsia="Arial" w:hAnsi="Arial"/>
          <w:b w:val="false"/>
          <w:bCs w:val="false"/>
          <w:i w:val="false"/>
          <w:iCs w:val="false"/>
          <w:sz w:val="22"/>
          <w:szCs w:val="22"/>
        </w:rPr>
        <w:t xml:space="preserve">: transient inhibition of thyroid hormone synthesis that occurs after an acute iodine load; this is a protective autoregulatory mechanism</w:t>
      </w:r>
    </w:p>
    <w:p>
      <w:pPr>
        <w:pStyle w:val="ListParagraph"/>
        <w:numPr>
          <w:ilvl w:val="0"/>
          <w:numId w:val="1"/>
        </w:numPr>
        <w:spacing w:after="80"/>
      </w:pPr>
      <w:r>
        <w:rPr>
          <w:rFonts w:ascii="Arial" w:cs="Arial" w:eastAsia="Arial" w:hAnsi="Arial"/>
          <w:b/>
          <w:bCs/>
          <w:i w:val="false"/>
          <w:iCs w:val="false"/>
          <w:sz w:val="22"/>
          <w:szCs w:val="22"/>
        </w:rPr>
        <w:t xml:space="preserve">Jod-Basedow effect</w:t>
      </w:r>
      <w:r>
        <w:rPr>
          <w:rFonts w:ascii="Arial" w:cs="Arial" w:eastAsia="Arial" w:hAnsi="Arial"/>
          <w:b w:val="false"/>
          <w:bCs w:val="false"/>
          <w:i w:val="false"/>
          <w:iCs w:val="false"/>
          <w:sz w:val="22"/>
          <w:szCs w:val="22"/>
        </w:rPr>
        <w:t xml:space="preserve"> is the opposite of Wolff-Chaikoff effect: iodine loading in patients with underlying thyroid nodules (eg, multinodular goiter) can trigger </w:t>
      </w:r>
      <w:r>
        <w:rPr>
          <w:rFonts w:ascii="Arial" w:cs="Arial" w:eastAsia="Arial" w:hAnsi="Arial"/>
          <w:b/>
          <w:bCs/>
          <w:i w:val="false"/>
          <w:iCs w:val="false"/>
          <w:sz w:val="22"/>
          <w:szCs w:val="22"/>
        </w:rPr>
        <w:t xml:space="preserve">hyperthyroidism</w:t>
      </w:r>
      <w:r>
        <w:rPr>
          <w:rFonts w:ascii="Arial" w:cs="Arial" w:eastAsia="Arial" w:hAnsi="Arial"/>
          <w:b w:val="false"/>
          <w:bCs w:val="false"/>
          <w:i w:val="false"/>
          <w:iCs w:val="false"/>
          <w:sz w:val="22"/>
          <w:szCs w:val="22"/>
        </w:rPr>
        <w:t xml:space="preserve"> by providing substrate for autonomous thyroid tissue</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bCs/>
          <w:i w:val="false"/>
          <w:iCs w:val="false"/>
          <w:sz w:val="22"/>
          <w:szCs w:val="22"/>
        </w:rPr>
        <w:t xml:space="preserve">Goiter</w:t>
      </w:r>
      <w:r>
        <w:rPr>
          <w:rFonts w:ascii="Arial" w:cs="Arial" w:eastAsia="Arial" w:hAnsi="Arial"/>
          <w:b w:val="false"/>
          <w:bCs w:val="false"/>
          <w:i w:val="false"/>
          <w:iCs w:val="false"/>
          <w:sz w:val="22"/>
          <w:szCs w:val="22"/>
        </w:rPr>
        <w:t xml:space="preserve">: thyroid-stimulating hormone (TSH)-driven thyroid hypertrophy in response to inadequate hormone production; the earliest sign of iodine deficiency</w:t>
      </w:r>
    </w:p>
    <w:p>
      <w:pPr>
        <w:pStyle w:val="ListParagraph"/>
        <w:numPr>
          <w:ilvl w:val="0"/>
          <w:numId w:val="1"/>
        </w:numPr>
        <w:spacing w:after="80"/>
      </w:pPr>
      <w:r>
        <w:rPr>
          <w:rFonts w:ascii="Arial" w:cs="Arial" w:eastAsia="Arial" w:hAnsi="Arial"/>
          <w:b/>
          <w:bCs/>
          <w:i w:val="false"/>
          <w:iCs w:val="false"/>
          <w:sz w:val="22"/>
          <w:szCs w:val="22"/>
        </w:rPr>
        <w:t xml:space="preserve">Hypothyroidism</w:t>
      </w:r>
      <w:r>
        <w:rPr>
          <w:rFonts w:ascii="Arial" w:cs="Arial" w:eastAsia="Arial" w:hAnsi="Arial"/>
          <w:b w:val="false"/>
          <w:bCs w:val="false"/>
          <w:i w:val="false"/>
          <w:iCs w:val="false"/>
          <w:sz w:val="22"/>
          <w:szCs w:val="22"/>
        </w:rPr>
        <w:t xml:space="preserve">: fatigue, weight gain, cold intolerance, myxedema</w:t>
      </w:r>
    </w:p>
    <w:p>
      <w:pPr>
        <w:pStyle w:val="ListParagraph"/>
        <w:numPr>
          <w:ilvl w:val="0"/>
          <w:numId w:val="1"/>
        </w:numPr>
        <w:spacing w:after="80"/>
      </w:pPr>
      <w:r>
        <w:rPr>
          <w:rFonts w:ascii="Arial" w:cs="Arial" w:eastAsia="Arial" w:hAnsi="Arial"/>
          <w:b/>
          <w:bCs/>
          <w:i w:val="false"/>
          <w:iCs w:val="false"/>
          <w:sz w:val="22"/>
          <w:szCs w:val="22"/>
        </w:rPr>
        <w:t xml:space="preserve">Cretinism</w:t>
      </w:r>
      <w:r>
        <w:rPr>
          <w:rFonts w:ascii="Arial" w:cs="Arial" w:eastAsia="Arial" w:hAnsi="Arial"/>
          <w:b w:val="false"/>
          <w:bCs w:val="false"/>
          <w:i w:val="false"/>
          <w:iCs w:val="false"/>
          <w:sz w:val="22"/>
          <w:szCs w:val="22"/>
        </w:rPr>
        <w:t xml:space="preserve">: congenital hypothyroidism from maternal iodine deficiency during pregnancy; characterized by intellectual disability, short stature, coarse facial features, macroglossia, umbilical hernia, and sensorineural deafness. Represents the most common preventable cause of intellectual disability worldwide</w:t>
      </w:r>
    </w:p>
    <w:p>
      <w:pPr>
        <w:pStyle w:val="ListParagraph"/>
        <w:numPr>
          <w:ilvl w:val="0"/>
          <w:numId w:val="1"/>
        </w:numPr>
        <w:spacing w:after="80"/>
      </w:pPr>
      <w:r>
        <w:rPr>
          <w:rFonts w:ascii="Arial" w:cs="Arial" w:eastAsia="Arial" w:hAnsi="Arial"/>
          <w:b w:val="false"/>
          <w:bCs w:val="false"/>
          <w:i w:val="false"/>
          <w:iCs w:val="false"/>
          <w:sz w:val="22"/>
          <w:szCs w:val="22"/>
        </w:rPr>
        <w:t xml:space="preserve">Iodine deficiency is prevented by iodized salt supplementation, standard in the United States since the 1920s. Deficiency remains prevalent in land-locked regions without access to seafood or iodized products</w:t>
      </w:r>
    </w:p>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val="false"/>
          <w:bCs w:val="false"/>
          <w:i w:val="false"/>
          <w:iCs w:val="false"/>
          <w:sz w:val="22"/>
          <w:szCs w:val="22"/>
        </w:rPr>
        <w:t xml:space="preserve">Chronic iodine excess can paradoxically cause </w:t>
      </w:r>
      <w:r>
        <w:rPr>
          <w:rFonts w:ascii="Arial" w:cs="Arial" w:eastAsia="Arial" w:hAnsi="Arial"/>
          <w:b/>
          <w:bCs/>
          <w:i w:val="false"/>
          <w:iCs w:val="false"/>
          <w:sz w:val="22"/>
          <w:szCs w:val="22"/>
        </w:rPr>
        <w:t xml:space="preserve">hypothyroidism</w:t>
      </w:r>
      <w:r>
        <w:rPr>
          <w:rFonts w:ascii="Arial" w:cs="Arial" w:eastAsia="Arial" w:hAnsi="Arial"/>
          <w:b w:val="false"/>
          <w:bCs w:val="false"/>
          <w:i w:val="false"/>
          <w:iCs w:val="false"/>
          <w:sz w:val="22"/>
          <w:szCs w:val="22"/>
        </w:rPr>
        <w:t xml:space="preserve"> via sustained Wolff-Chaikoff blockade (failure of thyroid escape)</w:t>
      </w:r>
    </w:p>
    <w:p>
      <w:pPr>
        <w:pStyle w:val="ListParagraph"/>
        <w:numPr>
          <w:ilvl w:val="0"/>
          <w:numId w:val="1"/>
        </w:numPr>
        <w:spacing w:after="80"/>
      </w:pPr>
      <w:r>
        <w:rPr>
          <w:rFonts w:ascii="Arial" w:cs="Arial" w:eastAsia="Arial" w:hAnsi="Arial"/>
          <w:b w:val="false"/>
          <w:bCs w:val="false"/>
          <w:i w:val="false"/>
          <w:iCs w:val="false"/>
          <w:sz w:val="22"/>
          <w:szCs w:val="22"/>
        </w:rPr>
        <w:t xml:space="preserve">Amiodarone, a highly iodine-rich antiarrhythmic, is a common pharmacologic cause of both hypothyroidism and hyperthyroidism (Jod-Basedow)</w:t>
      </w:r>
    </w:p>
    <w:p>
      <w:pPr>
        <w:pStyle w:val="Heading1"/>
        <w:spacing w:after="120" w:before="240"/>
      </w:pPr>
      <w:r>
        <w:rPr>
          <w:rFonts w:ascii="Arial" w:cs="Arial" w:eastAsia="Arial" w:hAnsi="Arial"/>
          <w:b/>
          <w:bCs/>
          <w:color w:val="1F4E79"/>
          <w:sz w:val="30"/>
          <w:szCs w:val="30"/>
        </w:rPr>
        <w:t xml:space="preserve">Fluoride</w:t>
      </w:r>
    </w:p>
    <w:p>
      <w:pPr>
        <w:pStyle w:val="Heading2"/>
        <w:spacing w:after="120" w:before="240"/>
      </w:pPr>
      <w:r>
        <w:rPr>
          <w:rFonts w:ascii="Arial" w:cs="Arial" w:eastAsia="Arial" w:hAnsi="Arial"/>
          <w:b/>
          <w:bCs/>
          <w:color w:val="2E75B6"/>
          <w:sz w:val="26"/>
          <w:szCs w:val="26"/>
        </w:rPr>
        <w:t xml:space="preserve">Biochemistry &amp; Function</w:t>
      </w:r>
    </w:p>
    <w:p>
      <w:pPr>
        <w:pStyle w:val="ListParagraph"/>
        <w:numPr>
          <w:ilvl w:val="0"/>
          <w:numId w:val="1"/>
        </w:numPr>
        <w:spacing w:after="80"/>
      </w:pPr>
      <w:r>
        <w:rPr>
          <w:rFonts w:ascii="Arial" w:cs="Arial" w:eastAsia="Arial" w:hAnsi="Arial"/>
          <w:b w:val="false"/>
          <w:bCs w:val="false"/>
          <w:i w:val="false"/>
          <w:iCs w:val="false"/>
          <w:sz w:val="22"/>
          <w:szCs w:val="22"/>
        </w:rPr>
        <w:t xml:space="preserve">Incorporated into the hydroxyapatite mineral of tooth enamel and bone, forming </w:t>
      </w:r>
      <w:r>
        <w:rPr>
          <w:rFonts w:ascii="Arial" w:cs="Arial" w:eastAsia="Arial" w:hAnsi="Arial"/>
          <w:b/>
          <w:bCs/>
          <w:i w:val="false"/>
          <w:iCs w:val="false"/>
          <w:sz w:val="22"/>
          <w:szCs w:val="22"/>
        </w:rPr>
        <w:t xml:space="preserve">fluorapatite</w:t>
      </w:r>
      <w:r>
        <w:rPr>
          <w:rFonts w:ascii="Arial" w:cs="Arial" w:eastAsia="Arial" w:hAnsi="Arial"/>
          <w:b w:val="false"/>
          <w:bCs w:val="false"/>
          <w:i w:val="false"/>
          <w:iCs w:val="false"/>
          <w:sz w:val="22"/>
          <w:szCs w:val="22"/>
        </w:rPr>
        <w:t xml:space="preserve">, which is harder, less soluble, and more resistant to acid dissolution by oral bacteria than unmodified hydroxyapatite</w:t>
      </w:r>
    </w:p>
    <w:p>
      <w:pPr>
        <w:pStyle w:val="ListParagraph"/>
        <w:numPr>
          <w:ilvl w:val="0"/>
          <w:numId w:val="1"/>
        </w:numPr>
        <w:spacing w:after="80"/>
      </w:pPr>
      <w:r>
        <w:rPr>
          <w:rFonts w:ascii="Arial" w:cs="Arial" w:eastAsia="Arial" w:hAnsi="Arial"/>
          <w:b w:val="false"/>
          <w:bCs w:val="false"/>
          <w:i w:val="false"/>
          <w:iCs w:val="false"/>
          <w:sz w:val="22"/>
          <w:szCs w:val="22"/>
        </w:rPr>
        <w:t xml:space="preserve">Inhibits bacterial enolase, reducing lactic acid production that causes caries</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val="false"/>
          <w:bCs w:val="false"/>
          <w:i w:val="false"/>
          <w:iCs w:val="false"/>
          <w:sz w:val="22"/>
          <w:szCs w:val="22"/>
        </w:rPr>
        <w:t xml:space="preserve">Susceptibility to </w:t>
      </w:r>
      <w:r>
        <w:rPr>
          <w:rFonts w:ascii="Arial" w:cs="Arial" w:eastAsia="Arial" w:hAnsi="Arial"/>
          <w:b/>
          <w:bCs/>
          <w:i w:val="false"/>
          <w:iCs w:val="false"/>
          <w:sz w:val="22"/>
          <w:szCs w:val="22"/>
        </w:rPr>
        <w:t xml:space="preserve">dental caries</w:t>
      </w:r>
    </w:p>
    <w:p>
      <w:pPr>
        <w:pStyle w:val="Heading2"/>
        <w:spacing w:after="120" w:before="240"/>
      </w:pPr>
      <w:r>
        <w:rPr>
          <w:rFonts w:ascii="Arial" w:cs="Arial" w:eastAsia="Arial" w:hAnsi="Arial"/>
          <w:b/>
          <w:bCs/>
          <w:color w:val="2E75B6"/>
          <w:sz w:val="26"/>
          <w:szCs w:val="26"/>
        </w:rPr>
        <w:t xml:space="preserve">Excess</w:t>
      </w:r>
    </w:p>
    <w:p>
      <w:pPr>
        <w:pStyle w:val="ListParagraph"/>
        <w:numPr>
          <w:ilvl w:val="0"/>
          <w:numId w:val="1"/>
        </w:numPr>
        <w:spacing w:after="80"/>
      </w:pPr>
      <w:r>
        <w:rPr>
          <w:rFonts w:ascii="Arial" w:cs="Arial" w:eastAsia="Arial" w:hAnsi="Arial"/>
          <w:b/>
          <w:bCs/>
          <w:i w:val="false"/>
          <w:iCs w:val="false"/>
          <w:sz w:val="22"/>
          <w:szCs w:val="22"/>
        </w:rPr>
        <w:t xml:space="preserve">Dental fluorosis</w:t>
      </w:r>
      <w:r>
        <w:rPr>
          <w:rFonts w:ascii="Arial" w:cs="Arial" w:eastAsia="Arial" w:hAnsi="Arial"/>
          <w:b w:val="false"/>
          <w:bCs w:val="false"/>
          <w:i w:val="false"/>
          <w:iCs w:val="false"/>
          <w:sz w:val="22"/>
          <w:szCs w:val="22"/>
        </w:rPr>
        <w:t xml:space="preserve"> (mild excess): white opacities or brown mottling of tooth enamel from excessive fluoride intake during enamel formation in childhood</w:t>
      </w:r>
    </w:p>
    <w:p>
      <w:pPr>
        <w:pStyle w:val="ListParagraph"/>
        <w:numPr>
          <w:ilvl w:val="0"/>
          <w:numId w:val="1"/>
        </w:numPr>
        <w:spacing w:after="80"/>
      </w:pPr>
      <w:r>
        <w:rPr>
          <w:rFonts w:ascii="Arial" w:cs="Arial" w:eastAsia="Arial" w:hAnsi="Arial"/>
          <w:b/>
          <w:bCs/>
          <w:i w:val="false"/>
          <w:iCs w:val="false"/>
          <w:sz w:val="22"/>
          <w:szCs w:val="22"/>
        </w:rPr>
        <w:t xml:space="preserve">Skeletal fluorosis</w:t>
      </w:r>
      <w:r>
        <w:rPr>
          <w:rFonts w:ascii="Arial" w:cs="Arial" w:eastAsia="Arial" w:hAnsi="Arial"/>
          <w:b w:val="false"/>
          <w:bCs w:val="false"/>
          <w:i w:val="false"/>
          <w:iCs w:val="false"/>
          <w:sz w:val="22"/>
          <w:szCs w:val="22"/>
        </w:rPr>
        <w:t xml:space="preserve"> (severe excess): joint pain, ligament calcification, and osteosclerosis from chronic high-dose exposure</w:t>
      </w:r>
    </w:p>
    <w:p>
      <w:pPr>
        <w:spacing w:after="160"/>
      </w:pPr>
      <w:r>
        <w:rPr>
          <w:rFonts w:ascii="Arial" w:cs="Arial" w:eastAsia="Arial" w:hAnsi="Arial"/>
          <w:b w:val="false"/>
          <w:bCs w:val="false"/>
          <w:i w:val="false"/>
          <w:iCs w:val="false"/>
          <w:sz w:val="22"/>
          <w:szCs w:val="22"/>
        </w:rPr>
        <w:t xml:space="preserve">Optimal fluoridation of public water reduces caries incidence without causing fluorosis.</w:t>
      </w:r>
    </w:p>
    <w:p>
      <w:pPr>
        <w:pStyle w:val="Heading1"/>
        <w:spacing w:after="120" w:before="240"/>
      </w:pPr>
      <w:r>
        <w:rPr>
          <w:rFonts w:ascii="Arial" w:cs="Arial" w:eastAsia="Arial" w:hAnsi="Arial"/>
          <w:b/>
          <w:bCs/>
          <w:color w:val="1F4E79"/>
          <w:sz w:val="30"/>
          <w:szCs w:val="30"/>
        </w:rPr>
        <w:t xml:space="preserve">Chromium</w:t>
      </w:r>
    </w:p>
    <w:p>
      <w:pPr>
        <w:pStyle w:val="Heading2"/>
        <w:spacing w:after="120" w:before="240"/>
      </w:pPr>
      <w:r>
        <w:rPr>
          <w:rFonts w:ascii="Arial" w:cs="Arial" w:eastAsia="Arial" w:hAnsi="Arial"/>
          <w:b/>
          <w:bCs/>
          <w:color w:val="2E75B6"/>
          <w:sz w:val="26"/>
          <w:szCs w:val="26"/>
        </w:rPr>
        <w:t xml:space="preserve">Biochemistry &amp; Function</w:t>
      </w:r>
    </w:p>
    <w:p>
      <w:pPr>
        <w:pStyle w:val="ListParagraph"/>
        <w:numPr>
          <w:ilvl w:val="0"/>
          <w:numId w:val="1"/>
        </w:numPr>
        <w:spacing w:after="80"/>
      </w:pPr>
      <w:r>
        <w:rPr>
          <w:rFonts w:ascii="Arial" w:cs="Arial" w:eastAsia="Arial" w:hAnsi="Arial"/>
          <w:b w:val="false"/>
          <w:bCs w:val="false"/>
          <w:i w:val="false"/>
          <w:iCs w:val="false"/>
          <w:sz w:val="22"/>
          <w:szCs w:val="22"/>
        </w:rPr>
        <w:t xml:space="preserve">Trivalent chromium [Cr(III)] enhances insulin signaling by stabilizing the insulin-receptor complex via </w:t>
      </w:r>
      <w:r>
        <w:rPr>
          <w:rFonts w:ascii="Arial" w:cs="Arial" w:eastAsia="Arial" w:hAnsi="Arial"/>
          <w:b/>
          <w:bCs/>
          <w:i w:val="false"/>
          <w:iCs w:val="false"/>
          <w:sz w:val="22"/>
          <w:szCs w:val="22"/>
        </w:rPr>
        <w:t xml:space="preserve">chromodulin</w:t>
      </w:r>
      <w:r>
        <w:rPr>
          <w:rFonts w:ascii="Arial" w:cs="Arial" w:eastAsia="Arial" w:hAnsi="Arial"/>
          <w:b w:val="false"/>
          <w:bCs w:val="false"/>
          <w:i w:val="false"/>
          <w:iCs w:val="false"/>
          <w:sz w:val="22"/>
          <w:szCs w:val="22"/>
        </w:rPr>
        <w:t xml:space="preserve">, a chromium-binding oligopeptide that activates the insulin receptor's tyrosine kinase</w:t>
      </w:r>
    </w:p>
    <w:p>
      <w:pPr>
        <w:pStyle w:val="ListParagraph"/>
        <w:numPr>
          <w:ilvl w:val="0"/>
          <w:numId w:val="1"/>
        </w:numPr>
        <w:spacing w:after="80"/>
      </w:pPr>
      <w:r>
        <w:rPr>
          <w:rFonts w:ascii="Arial" w:cs="Arial" w:eastAsia="Arial" w:hAnsi="Arial"/>
          <w:b w:val="false"/>
          <w:bCs w:val="false"/>
          <w:i w:val="false"/>
          <w:iCs w:val="false"/>
          <w:sz w:val="22"/>
          <w:szCs w:val="22"/>
        </w:rPr>
        <w:t xml:space="preserve">Potentiates insulin-stimulated glucose uptake</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val="false"/>
          <w:bCs w:val="false"/>
          <w:i w:val="false"/>
          <w:iCs w:val="false"/>
          <w:sz w:val="22"/>
          <w:szCs w:val="22"/>
        </w:rPr>
        <w:t xml:space="preserve">Typically seen with prolonged total parenteral nutrition (TPN)</w:t>
      </w:r>
    </w:p>
    <w:p>
      <w:pPr>
        <w:pStyle w:val="ListParagraph"/>
        <w:numPr>
          <w:ilvl w:val="0"/>
          <w:numId w:val="1"/>
        </w:numPr>
        <w:spacing w:after="80"/>
      </w:pPr>
      <w:r>
        <w:rPr>
          <w:rFonts w:ascii="Arial" w:cs="Arial" w:eastAsia="Arial" w:hAnsi="Arial"/>
          <w:b w:val="false"/>
          <w:bCs w:val="false"/>
          <w:i w:val="false"/>
          <w:iCs w:val="false"/>
          <w:sz w:val="22"/>
          <w:szCs w:val="22"/>
        </w:rPr>
        <w:t xml:space="preserve">Impaired glucose tolerance</w:t>
      </w:r>
    </w:p>
    <w:p>
      <w:pPr>
        <w:pStyle w:val="ListParagraph"/>
        <w:numPr>
          <w:ilvl w:val="0"/>
          <w:numId w:val="1"/>
        </w:numPr>
        <w:spacing w:after="80"/>
      </w:pPr>
      <w:r>
        <w:rPr>
          <w:rFonts w:ascii="Arial" w:cs="Arial" w:eastAsia="Arial" w:hAnsi="Arial"/>
          <w:b w:val="false"/>
          <w:bCs w:val="false"/>
          <w:i w:val="false"/>
          <w:iCs w:val="false"/>
          <w:sz w:val="22"/>
          <w:szCs w:val="22"/>
        </w:rPr>
        <w:t xml:space="preserve">Insulin resistance</w:t>
      </w:r>
    </w:p>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bCs/>
          <w:i w:val="false"/>
          <w:iCs w:val="false"/>
          <w:sz w:val="22"/>
          <w:szCs w:val="22"/>
        </w:rPr>
        <w:t xml:space="preserve">Hexavalent chromium [Cr(VI)]</w:t>
      </w:r>
      <w:r>
        <w:rPr>
          <w:rFonts w:ascii="Arial" w:cs="Arial" w:eastAsia="Arial" w:hAnsi="Arial"/>
          <w:b w:val="false"/>
          <w:bCs w:val="false"/>
          <w:i w:val="false"/>
          <w:iCs w:val="false"/>
          <w:sz w:val="22"/>
          <w:szCs w:val="22"/>
        </w:rPr>
        <w:t xml:space="preserve"> is a carcinogen (occupational exposure in welding, metal plating) associated with </w:t>
      </w:r>
      <w:r>
        <w:rPr>
          <w:rFonts w:ascii="Arial" w:cs="Arial" w:eastAsia="Arial" w:hAnsi="Arial"/>
          <w:b/>
          <w:bCs/>
          <w:i w:val="false"/>
          <w:iCs w:val="false"/>
          <w:sz w:val="22"/>
          <w:szCs w:val="22"/>
        </w:rPr>
        <w:t xml:space="preserve">lung cancer</w:t>
      </w:r>
      <w:r>
        <w:rPr>
          <w:rFonts w:ascii="Arial" w:cs="Arial" w:eastAsia="Arial" w:hAnsi="Arial"/>
          <w:b w:val="false"/>
          <w:bCs w:val="false"/>
          <w:i w:val="false"/>
          <w:iCs w:val="false"/>
          <w:sz w:val="22"/>
          <w:szCs w:val="22"/>
        </w:rPr>
        <w:t xml:space="preserve"> and nasal septum perforation</w:t>
      </w:r>
    </w:p>
    <w:p>
      <w:pPr>
        <w:pStyle w:val="Heading1"/>
        <w:spacing w:after="120" w:before="240"/>
      </w:pPr>
      <w:r>
        <w:rPr>
          <w:rFonts w:ascii="Arial" w:cs="Arial" w:eastAsia="Arial" w:hAnsi="Arial"/>
          <w:b/>
          <w:bCs/>
          <w:color w:val="1F4E79"/>
          <w:sz w:val="30"/>
          <w:szCs w:val="30"/>
        </w:rPr>
        <w:t xml:space="preserve">Manganese</w:t>
      </w:r>
    </w:p>
    <w:p>
      <w:pPr>
        <w:pStyle w:val="Heading2"/>
        <w:spacing w:after="120" w:before="240"/>
      </w:pPr>
      <w:r>
        <w:rPr>
          <w:rFonts w:ascii="Arial" w:cs="Arial" w:eastAsia="Arial" w:hAnsi="Arial"/>
          <w:b/>
          <w:bCs/>
          <w:color w:val="2E75B6"/>
          <w:sz w:val="26"/>
          <w:szCs w:val="26"/>
        </w:rPr>
        <w:t xml:space="preserve">Biochemistry &amp; Function</w:t>
      </w:r>
    </w:p>
    <w:p>
      <w:pPr>
        <w:pStyle w:val="ListParagraph"/>
        <w:numPr>
          <w:ilvl w:val="0"/>
          <w:numId w:val="1"/>
        </w:numPr>
        <w:spacing w:after="80"/>
      </w:pPr>
      <w:r>
        <w:rPr>
          <w:rFonts w:ascii="Arial" w:cs="Arial" w:eastAsia="Arial" w:hAnsi="Arial"/>
          <w:b w:val="false"/>
          <w:bCs w:val="false"/>
          <w:i w:val="false"/>
          <w:iCs w:val="false"/>
          <w:sz w:val="22"/>
          <w:szCs w:val="22"/>
        </w:rPr>
        <w:t xml:space="preserve">Metal cofactor for </w:t>
      </w:r>
      <w:r>
        <w:rPr>
          <w:rFonts w:ascii="Arial" w:cs="Arial" w:eastAsia="Arial" w:hAnsi="Arial"/>
          <w:b/>
          <w:bCs/>
          <w:i w:val="false"/>
          <w:iCs w:val="false"/>
          <w:sz w:val="22"/>
          <w:szCs w:val="22"/>
        </w:rPr>
        <w:t xml:space="preserve">arginase</w:t>
      </w:r>
      <w:r>
        <w:rPr>
          <w:rFonts w:ascii="Arial" w:cs="Arial" w:eastAsia="Arial" w:hAnsi="Arial"/>
          <w:b w:val="false"/>
          <w:bCs w:val="false"/>
          <w:i w:val="false"/>
          <w:iCs w:val="false"/>
          <w:sz w:val="22"/>
          <w:szCs w:val="22"/>
        </w:rPr>
        <w:t xml:space="preserve"> in the urea cycle (ornithine → urea synthesis), mitochondrial </w:t>
      </w:r>
      <w:r>
        <w:rPr>
          <w:rFonts w:ascii="Arial" w:cs="Arial" w:eastAsia="Arial" w:hAnsi="Arial"/>
          <w:b/>
          <w:bCs/>
          <w:i w:val="false"/>
          <w:iCs w:val="false"/>
          <w:sz w:val="22"/>
          <w:szCs w:val="22"/>
        </w:rPr>
        <w:t xml:space="preserve">superoxide dismutase (MnSOD)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pyruvate carboxylase</w:t>
      </w:r>
      <w:r>
        <w:rPr>
          <w:rFonts w:ascii="Arial" w:cs="Arial" w:eastAsia="Arial" w:hAnsi="Arial"/>
          <w:b w:val="false"/>
          <w:bCs w:val="false"/>
          <w:i w:val="false"/>
          <w:iCs w:val="false"/>
          <w:sz w:val="22"/>
          <w:szCs w:val="22"/>
        </w:rPr>
        <w:t xml:space="preserve"> (gluconeogenesis), and glycosyltransferases (glycoprotein synthesis)</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val="false"/>
          <w:bCs w:val="false"/>
          <w:i w:val="false"/>
          <w:iCs w:val="false"/>
          <w:sz w:val="22"/>
          <w:szCs w:val="22"/>
        </w:rPr>
        <w:t xml:space="preserve">Dietary deficiency is rare</w:t>
      </w:r>
    </w:p>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val="false"/>
          <w:bCs w:val="false"/>
          <w:i w:val="false"/>
          <w:iCs w:val="false"/>
          <w:sz w:val="22"/>
          <w:szCs w:val="22"/>
        </w:rPr>
        <w:t xml:space="preserve">Occupational inhalation of manganese dust causes </w:t>
      </w:r>
      <w:r>
        <w:rPr>
          <w:rFonts w:ascii="Arial" w:cs="Arial" w:eastAsia="Arial" w:hAnsi="Arial"/>
          <w:b/>
          <w:bCs/>
          <w:i w:val="false"/>
          <w:iCs w:val="false"/>
          <w:sz w:val="22"/>
          <w:szCs w:val="22"/>
        </w:rPr>
        <w:t xml:space="preserve">manganism</w:t>
      </w:r>
      <w:r>
        <w:rPr>
          <w:rFonts w:ascii="Arial" w:cs="Arial" w:eastAsia="Arial" w:hAnsi="Arial"/>
          <w:b w:val="false"/>
          <w:bCs w:val="false"/>
          <w:i w:val="false"/>
          <w:iCs w:val="false"/>
          <w:sz w:val="22"/>
          <w:szCs w:val="22"/>
        </w:rPr>
        <w:t xml:space="preserve">: a parkinsonism-like syndrome with resting tremor, bradykinesia, rigidity, and psychiatric symptoms (manganese deposits preferentially in the basal ganglia)</w:t>
      </w:r>
    </w:p>
    <w:p>
      <w:pPr>
        <w:pStyle w:val="Heading1"/>
        <w:spacing w:after="120" w:before="240"/>
      </w:pPr>
      <w:r>
        <w:rPr>
          <w:rFonts w:ascii="Arial" w:cs="Arial" w:eastAsia="Arial" w:hAnsi="Arial"/>
          <w:b/>
          <w:bCs/>
          <w:color w:val="1F4E79"/>
          <w:sz w:val="30"/>
          <w:szCs w:val="30"/>
        </w:rPr>
        <w:t xml:space="preserve">Molybdenum</w:t>
      </w:r>
    </w:p>
    <w:p>
      <w:pPr>
        <w:pStyle w:val="Heading2"/>
        <w:spacing w:after="120" w:before="240"/>
      </w:pPr>
      <w:r>
        <w:rPr>
          <w:rFonts w:ascii="Arial" w:cs="Arial" w:eastAsia="Arial" w:hAnsi="Arial"/>
          <w:b/>
          <w:bCs/>
          <w:color w:val="2E75B6"/>
          <w:sz w:val="26"/>
          <w:szCs w:val="26"/>
        </w:rPr>
        <w:t xml:space="preserve">Biochemistry &amp; Function</w:t>
      </w:r>
    </w:p>
    <w:p>
      <w:pPr>
        <w:pStyle w:val="ListParagraph"/>
        <w:numPr>
          <w:ilvl w:val="0"/>
          <w:numId w:val="1"/>
        </w:numPr>
        <w:spacing w:after="80"/>
      </w:pPr>
      <w:r>
        <w:rPr>
          <w:rFonts w:ascii="Arial" w:cs="Arial" w:eastAsia="Arial" w:hAnsi="Arial"/>
          <w:b w:val="false"/>
          <w:bCs w:val="false"/>
          <w:i w:val="false"/>
          <w:iCs w:val="false"/>
          <w:sz w:val="22"/>
          <w:szCs w:val="22"/>
        </w:rPr>
        <w:t xml:space="preserve">Metal cofactor for </w:t>
      </w:r>
      <w:r>
        <w:rPr>
          <w:rFonts w:ascii="Arial" w:cs="Arial" w:eastAsia="Arial" w:hAnsi="Arial"/>
          <w:b/>
          <w:bCs/>
          <w:i w:val="false"/>
          <w:iCs w:val="false"/>
          <w:sz w:val="22"/>
          <w:szCs w:val="22"/>
        </w:rPr>
        <w:t xml:space="preserve">xanthine oxidase</w:t>
      </w:r>
      <w:r>
        <w:rPr>
          <w:rFonts w:ascii="Arial" w:cs="Arial" w:eastAsia="Arial" w:hAnsi="Arial"/>
          <w:b w:val="false"/>
          <w:bCs w:val="false"/>
          <w:i w:val="false"/>
          <w:iCs w:val="false"/>
          <w:sz w:val="22"/>
          <w:szCs w:val="22"/>
        </w:rPr>
        <w:t xml:space="preserve"> (catalyzes hypoxanthine → xanthine → </w:t>
      </w:r>
      <w:r>
        <w:rPr>
          <w:rFonts w:ascii="Arial" w:cs="Arial" w:eastAsia="Arial" w:hAnsi="Arial"/>
          <w:b/>
          <w:bCs/>
          <w:i w:val="false"/>
          <w:iCs w:val="false"/>
          <w:sz w:val="22"/>
          <w:szCs w:val="22"/>
        </w:rPr>
        <w:t xml:space="preserve">uric acid</w:t>
      </w:r>
      <w:r>
        <w:rPr>
          <w:rFonts w:ascii="Arial" w:cs="Arial" w:eastAsia="Arial" w:hAnsi="Arial"/>
          <w:b w:val="false"/>
          <w:bCs w:val="false"/>
          <w:i w:val="false"/>
          <w:iCs w:val="false"/>
          <w:sz w:val="22"/>
          <w:szCs w:val="22"/>
        </w:rPr>
        <w:t xml:space="preserve">, the final steps of purine catabolism), </w:t>
      </w:r>
      <w:r>
        <w:rPr>
          <w:rFonts w:ascii="Arial" w:cs="Arial" w:eastAsia="Arial" w:hAnsi="Arial"/>
          <w:b/>
          <w:bCs/>
          <w:i w:val="false"/>
          <w:iCs w:val="false"/>
          <w:sz w:val="22"/>
          <w:szCs w:val="22"/>
        </w:rPr>
        <w:t xml:space="preserve">sulfite oxidase</w:t>
      </w:r>
      <w:r>
        <w:rPr>
          <w:rFonts w:ascii="Arial" w:cs="Arial" w:eastAsia="Arial" w:hAnsi="Arial"/>
          <w:b w:val="false"/>
          <w:bCs w:val="false"/>
          <w:i w:val="false"/>
          <w:iCs w:val="false"/>
          <w:sz w:val="22"/>
          <w:szCs w:val="22"/>
        </w:rPr>
        <w:t xml:space="preserve"> (converts sulfite to sulfate; deficiency causes accumulating sulfite toxicity with neurological damage), and </w:t>
      </w:r>
      <w:r>
        <w:rPr>
          <w:rFonts w:ascii="Arial" w:cs="Arial" w:eastAsia="Arial" w:hAnsi="Arial"/>
          <w:b/>
          <w:bCs/>
          <w:i w:val="false"/>
          <w:iCs w:val="false"/>
          <w:sz w:val="22"/>
          <w:szCs w:val="22"/>
        </w:rPr>
        <w:t xml:space="preserve">aldehyde oxidase</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val="false"/>
          <w:bCs w:val="false"/>
          <w:i w:val="false"/>
          <w:iCs w:val="false"/>
          <w:sz w:val="22"/>
          <w:szCs w:val="22"/>
        </w:rPr>
        <w:t xml:space="preserve">Rare and occurs almost exclusively with prolonged TPN</w:t>
      </w:r>
    </w:p>
    <w:p>
      <w:pPr>
        <w:pStyle w:val="ListParagraph"/>
        <w:numPr>
          <w:ilvl w:val="0"/>
          <w:numId w:val="1"/>
        </w:numPr>
        <w:spacing w:after="80"/>
      </w:pPr>
      <w:r>
        <w:rPr>
          <w:rFonts w:ascii="Arial" w:cs="Arial" w:eastAsia="Arial" w:hAnsi="Arial"/>
          <w:b w:val="false"/>
          <w:bCs w:val="false"/>
          <w:i w:val="false"/>
          <w:iCs w:val="false"/>
          <w:sz w:val="22"/>
          <w:szCs w:val="22"/>
        </w:rPr>
        <w:t xml:space="preserve">Isolated sulfite oxidase deficiency (either molybdenum deficiency or genetic) causes </w:t>
      </w:r>
      <w:r>
        <w:rPr>
          <w:rFonts w:ascii="Arial" w:cs="Arial" w:eastAsia="Arial" w:hAnsi="Arial"/>
          <w:b/>
          <w:bCs/>
          <w:i w:val="false"/>
          <w:iCs w:val="false"/>
          <w:sz w:val="22"/>
          <w:szCs w:val="22"/>
        </w:rPr>
        <w:t xml:space="preserve">severe neurological dysfunction</w:t>
      </w:r>
      <w:r>
        <w:rPr>
          <w:rFonts w:ascii="Arial" w:cs="Arial" w:eastAsia="Arial" w:hAnsi="Arial"/>
          <w:b w:val="false"/>
          <w:bCs w:val="false"/>
          <w:i w:val="false"/>
          <w:iCs w:val="false"/>
          <w:sz w:val="22"/>
          <w:szCs w:val="22"/>
        </w:rPr>
        <w:t xml:space="preserve">, dislocated lenses, and accumulation of sulfite metabolites</w:t>
      </w:r>
    </w:p>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val="false"/>
          <w:bCs w:val="false"/>
          <w:i w:val="false"/>
          <w:iCs w:val="false"/>
          <w:sz w:val="22"/>
          <w:szCs w:val="22"/>
        </w:rPr>
        <w:t xml:space="preserve">High dietary molybdenum antagonizes copper absorption and can produce a gout-like syndrome (elevated uric acid) due to enhanced xanthine oxidase activity</w:t>
      </w:r>
    </w:p>
    <w:p>
      <w:pPr>
        <w:pStyle w:val="Heading1"/>
        <w:spacing w:after="120" w:before="240"/>
      </w:pPr>
      <w:r>
        <w:rPr>
          <w:rFonts w:ascii="Arial" w:cs="Arial" w:eastAsia="Arial" w:hAnsi="Arial"/>
          <w:b/>
          <w:bCs/>
          <w:color w:val="1F4E79"/>
          <w:sz w:val="30"/>
          <w:szCs w:val="30"/>
        </w:rPr>
        <w:t xml:space="preserve">Key Takeaways</w:t>
      </w:r>
    </w:p>
    <w:p>
      <w:pPr>
        <w:pStyle w:val="ListParagraph"/>
        <w:numPr>
          <w:ilvl w:val="0"/>
          <w:numId w:val="1"/>
        </w:numPr>
        <w:spacing w:after="80"/>
      </w:pPr>
      <w:r>
        <w:rPr>
          <w:rFonts w:ascii="Arial" w:cs="Arial" w:eastAsia="Arial" w:hAnsi="Arial"/>
          <w:b/>
          <w:bCs/>
          <w:i w:val="false"/>
          <w:iCs w:val="false"/>
          <w:sz w:val="22"/>
          <w:szCs w:val="22"/>
        </w:rPr>
        <w:t xml:space="preserve">Iron deficiency</w:t>
      </w:r>
      <w:r>
        <w:rPr>
          <w:rFonts w:ascii="Arial" w:cs="Arial" w:eastAsia="Arial" w:hAnsi="Arial"/>
          <w:b w:val="false"/>
          <w:bCs w:val="false"/>
          <w:i w:val="false"/>
          <w:iCs w:val="false"/>
          <w:sz w:val="22"/>
          <w:szCs w:val="22"/>
        </w:rPr>
        <w:t xml:space="preserve"> is the most common nutritional deficiency worldwide; produces microcytic, hypochromic anemia with ↓ ferritin, ↓ serum iron, ↑ TIBC, and ↓ transferrin saturation. Classic triad of severe deficiency: Plummer-Vinson syndrome (dysphagia + esophageal web + iron deficiency anemia).</w:t>
      </w:r>
    </w:p>
    <w:p>
      <w:pPr>
        <w:pStyle w:val="ListParagraph"/>
        <w:numPr>
          <w:ilvl w:val="0"/>
          <w:numId w:val="1"/>
        </w:numPr>
        <w:spacing w:after="80"/>
      </w:pPr>
      <w:r>
        <w:rPr>
          <w:rFonts w:ascii="Arial" w:cs="Arial" w:eastAsia="Arial" w:hAnsi="Arial"/>
          <w:b/>
          <w:bCs/>
          <w:i w:val="false"/>
          <w:iCs w:val="false"/>
          <w:sz w:val="22"/>
          <w:szCs w:val="22"/>
        </w:rPr>
        <w:t xml:space="preserve">Hereditary hemochromatosis</w:t>
      </w:r>
      <w:r>
        <w:rPr>
          <w:rFonts w:ascii="Arial" w:cs="Arial" w:eastAsia="Arial" w:hAnsi="Arial"/>
          <w:b w:val="false"/>
          <w:bCs w:val="false"/>
          <w:i w:val="false"/>
          <w:iCs w:val="false"/>
          <w:sz w:val="22"/>
          <w:szCs w:val="22"/>
        </w:rPr>
        <w:t xml:space="preserve">: homozygous C282Y mutation in </w:t>
      </w:r>
      <w:r>
        <w:rPr>
          <w:rFonts w:ascii="Arial" w:cs="Arial" w:eastAsia="Arial" w:hAnsi="Arial"/>
          <w:b w:val="false"/>
          <w:bCs w:val="false"/>
          <w:i/>
          <w:iCs/>
          <w:sz w:val="22"/>
          <w:szCs w:val="22"/>
        </w:rPr>
        <w:t xml:space="preserve">HFE</w:t>
      </w:r>
      <w:r>
        <w:rPr>
          <w:rFonts w:ascii="Arial" w:cs="Arial" w:eastAsia="Arial" w:hAnsi="Arial"/>
          <w:b w:val="false"/>
          <w:bCs w:val="false"/>
          <w:i w:val="false"/>
          <w:iCs w:val="false"/>
          <w:sz w:val="22"/>
          <w:szCs w:val="22"/>
        </w:rPr>
        <w:t xml:space="preserve"> → inappropriately low hepcidin → excess iron absorption. Classic triad: bronze diabetes (hyperpigmentation + diabetes mellitus), cirrhosis, and cardiomyopathy. Screen with transferrin saturation &gt; 45%. Treat with therapeutic phlebotomy.</w:t>
      </w:r>
    </w:p>
    <w:p>
      <w:pPr>
        <w:pStyle w:val="ListParagraph"/>
        <w:numPr>
          <w:ilvl w:val="0"/>
          <w:numId w:val="1"/>
        </w:numPr>
        <w:spacing w:after="80"/>
      </w:pPr>
      <w:r>
        <w:rPr>
          <w:rFonts w:ascii="Arial" w:cs="Arial" w:eastAsia="Arial" w:hAnsi="Arial"/>
          <w:b/>
          <w:bCs/>
          <w:i w:val="false"/>
          <w:iCs w:val="false"/>
          <w:sz w:val="22"/>
          <w:szCs w:val="22"/>
        </w:rPr>
        <w:t xml:space="preserve">Zinc deficiency</w:t>
      </w:r>
      <w:r>
        <w:rPr>
          <w:rFonts w:ascii="Arial" w:cs="Arial" w:eastAsia="Arial" w:hAnsi="Arial"/>
          <w:b w:val="false"/>
          <w:bCs w:val="false"/>
          <w:i w:val="false"/>
          <w:iCs w:val="false"/>
          <w:sz w:val="22"/>
          <w:szCs w:val="22"/>
        </w:rPr>
        <w:t xml:space="preserve"> produces the classic triad: perioral/perineal dermatitis + diarrhea + alopecia (acrodermatitis enteropathica, AR, SLC39A4 mutation). Zinc also impairs wound healing, immune function (T-cell-mediated), and taste/smell.</w:t>
      </w:r>
    </w:p>
    <w:p>
      <w:pPr>
        <w:pStyle w:val="ListParagraph"/>
        <w:numPr>
          <w:ilvl w:val="0"/>
          <w:numId w:val="1"/>
        </w:numPr>
        <w:spacing w:after="80"/>
      </w:pPr>
      <w:r>
        <w:rPr>
          <w:rFonts w:ascii="Arial" w:cs="Arial" w:eastAsia="Arial" w:hAnsi="Arial"/>
          <w:b/>
          <w:bCs/>
          <w:i w:val="false"/>
          <w:iCs w:val="false"/>
          <w:sz w:val="22"/>
          <w:szCs w:val="22"/>
        </w:rPr>
        <w:t xml:space="preserve">Zinc toxicity</w:t>
      </w:r>
      <w:r>
        <w:rPr>
          <w:rFonts w:ascii="Arial" w:cs="Arial" w:eastAsia="Arial" w:hAnsi="Arial"/>
          <w:b w:val="false"/>
          <w:bCs w:val="false"/>
          <w:i w:val="false"/>
          <w:iCs w:val="false"/>
          <w:sz w:val="22"/>
          <w:szCs w:val="22"/>
        </w:rPr>
        <w:t xml:space="preserve">: ↓ copper absorption → secondary copper deficiency (microcytic anemia + neurological findings). This mechanism is used therapeutically in Wilson disease.</w:t>
      </w:r>
    </w:p>
    <w:p>
      <w:pPr>
        <w:pStyle w:val="ListParagraph"/>
        <w:numPr>
          <w:ilvl w:val="0"/>
          <w:numId w:val="1"/>
        </w:numPr>
        <w:spacing w:after="80"/>
      </w:pPr>
      <w:r>
        <w:rPr>
          <w:rFonts w:ascii="Arial" w:cs="Arial" w:eastAsia="Arial" w:hAnsi="Arial"/>
          <w:b/>
          <w:bCs/>
          <w:i w:val="false"/>
          <w:iCs w:val="false"/>
          <w:sz w:val="22"/>
          <w:szCs w:val="22"/>
        </w:rPr>
        <w:t xml:space="preserve">Menkes disease</w:t>
      </w:r>
      <w:r>
        <w:rPr>
          <w:rFonts w:ascii="Arial" w:cs="Arial" w:eastAsia="Arial" w:hAnsi="Arial"/>
          <w:b w:val="false"/>
          <w:bCs w:val="false"/>
          <w:i w:val="false"/>
          <w:iCs w:val="false"/>
          <w:sz w:val="22"/>
          <w:szCs w:val="22"/>
        </w:rPr>
        <w:t xml:space="preserve"> (X-linked recessive, </w:t>
      </w:r>
      <w:r>
        <w:rPr>
          <w:rFonts w:ascii="Arial" w:cs="Arial" w:eastAsia="Arial" w:hAnsi="Arial"/>
          <w:b w:val="false"/>
          <w:bCs w:val="false"/>
          <w:i/>
          <w:iCs/>
          <w:sz w:val="22"/>
          <w:szCs w:val="22"/>
        </w:rPr>
        <w:t xml:space="preserve">ATP7A</w:t>
      </w:r>
      <w:r>
        <w:rPr>
          <w:rFonts w:ascii="Arial" w:cs="Arial" w:eastAsia="Arial" w:hAnsi="Arial"/>
          <w:b w:val="false"/>
          <w:bCs w:val="false"/>
          <w:i w:val="false"/>
          <w:iCs w:val="false"/>
          <w:sz w:val="22"/>
          <w:szCs w:val="22"/>
        </w:rPr>
        <w:t xml:space="preserve">): copper trapped in enterocytes → tissue copper deficiency → kinky/steely hair (pili torti), neurodegeneration, hypotonia. ↓ serum copper, ↓ ceruloplasmin. Onset in male infants.</w:t>
      </w:r>
    </w:p>
    <w:p>
      <w:pPr>
        <w:pStyle w:val="ListParagraph"/>
        <w:numPr>
          <w:ilvl w:val="0"/>
          <w:numId w:val="1"/>
        </w:numPr>
        <w:spacing w:after="80"/>
      </w:pPr>
      <w:r>
        <w:rPr>
          <w:rFonts w:ascii="Arial" w:cs="Arial" w:eastAsia="Arial" w:hAnsi="Arial"/>
          <w:b/>
          <w:bCs/>
          <w:i w:val="false"/>
          <w:iCs w:val="false"/>
          <w:sz w:val="22"/>
          <w:szCs w:val="22"/>
        </w:rPr>
        <w:t xml:space="preserve">Wilson disease</w:t>
      </w:r>
      <w:r>
        <w:rPr>
          <w:rFonts w:ascii="Arial" w:cs="Arial" w:eastAsia="Arial" w:hAnsi="Arial"/>
          <w:b w:val="false"/>
          <w:bCs w:val="false"/>
          <w:i w:val="false"/>
          <w:iCs w:val="false"/>
          <w:sz w:val="22"/>
          <w:szCs w:val="22"/>
        </w:rPr>
        <w:t xml:space="preserve"> (autosomal recessive, </w:t>
      </w:r>
      <w:r>
        <w:rPr>
          <w:rFonts w:ascii="Arial" w:cs="Arial" w:eastAsia="Arial" w:hAnsi="Arial"/>
          <w:b w:val="false"/>
          <w:bCs w:val="false"/>
          <w:i/>
          <w:iCs/>
          <w:sz w:val="22"/>
          <w:szCs w:val="22"/>
        </w:rPr>
        <w:t xml:space="preserve">ATP7B</w:t>
      </w:r>
      <w:r>
        <w:rPr>
          <w:rFonts w:ascii="Arial" w:cs="Arial" w:eastAsia="Arial" w:hAnsi="Arial"/>
          <w:b w:val="false"/>
          <w:bCs w:val="false"/>
          <w:i w:val="false"/>
          <w:iCs w:val="false"/>
          <w:sz w:val="22"/>
          <w:szCs w:val="22"/>
        </w:rPr>
        <w:t xml:space="preserve">, chromosome 13): copper accumulates in liver, brain, cornea → hepatitis/cirrhosis, neuropsychiatric dysfunction, Kayser-Fleischer rings, asterixis. ↓ ceruloplasmin, ↑ 24-hour urinary copper. Treat with D-penicillamine or trientine; use zinc for maintenance.</w:t>
      </w:r>
    </w:p>
    <w:p>
      <w:pPr>
        <w:pStyle w:val="ListParagraph"/>
        <w:numPr>
          <w:ilvl w:val="0"/>
          <w:numId w:val="1"/>
        </w:numPr>
        <w:spacing w:after="80"/>
      </w:pPr>
      <w:r>
        <w:rPr>
          <w:rFonts w:ascii="Arial" w:cs="Arial" w:eastAsia="Arial" w:hAnsi="Arial"/>
          <w:b/>
          <w:bCs/>
          <w:i w:val="false"/>
          <w:iCs w:val="false"/>
          <w:sz w:val="22"/>
          <w:szCs w:val="22"/>
        </w:rPr>
        <w:t xml:space="preserve">Selenium</w:t>
      </w:r>
      <w:r>
        <w:rPr>
          <w:rFonts w:ascii="Arial" w:cs="Arial" w:eastAsia="Arial" w:hAnsi="Arial"/>
          <w:b w:val="false"/>
          <w:bCs w:val="false"/>
          <w:i w:val="false"/>
          <w:iCs w:val="false"/>
          <w:sz w:val="22"/>
          <w:szCs w:val="22"/>
        </w:rPr>
        <w:t xml:space="preserve"> is required for glutathione peroxidase (antioxidant defense) and T4 → T3 conversion (iodothyronine deiodinase). Deficiency causes Keshan disease (dilated cardiomyopathy, endemic to selenium-poor regions of China).</w:t>
      </w:r>
    </w:p>
    <w:p>
      <w:pPr>
        <w:pStyle w:val="ListParagraph"/>
        <w:numPr>
          <w:ilvl w:val="0"/>
          <w:numId w:val="1"/>
        </w:numPr>
        <w:spacing w:after="80"/>
      </w:pPr>
      <w:r>
        <w:rPr>
          <w:rFonts w:ascii="Arial" w:cs="Arial" w:eastAsia="Arial" w:hAnsi="Arial"/>
          <w:b/>
          <w:bCs/>
          <w:i w:val="false"/>
          <w:iCs w:val="false"/>
          <w:sz w:val="22"/>
          <w:szCs w:val="22"/>
        </w:rPr>
        <w:t xml:space="preserve">Iodine</w:t>
      </w:r>
      <w:r>
        <w:rPr>
          <w:rFonts w:ascii="Arial" w:cs="Arial" w:eastAsia="Arial" w:hAnsi="Arial"/>
          <w:b w:val="false"/>
          <w:bCs w:val="false"/>
          <w:i w:val="false"/>
          <w:iCs w:val="false"/>
          <w:sz w:val="22"/>
          <w:szCs w:val="22"/>
        </w:rPr>
        <w:t xml:space="preserve"> is the substrate for T3/T4 synthesis. Deficiency → goiter, hypothyroidism, and cretinism (the most common preventable cause of intellectual disability worldwide). The Wolff-Chaikoff effect (acute iodine load → transient suppression of thyroid hormone synthesis) and the Jod-Basedow effect (iodine load → hyperthyroidism in autonomous nodular tissue) are both board-tested.</w:t>
      </w:r>
    </w:p>
    <w:p>
      <w:pPr>
        <w:pStyle w:val="ListParagraph"/>
        <w:numPr>
          <w:ilvl w:val="0"/>
          <w:numId w:val="1"/>
        </w:numPr>
        <w:spacing w:after="80"/>
      </w:pPr>
      <w:r>
        <w:rPr>
          <w:rFonts w:ascii="Arial" w:cs="Arial" w:eastAsia="Arial" w:hAnsi="Arial"/>
          <w:b/>
          <w:bCs/>
          <w:i w:val="false"/>
          <w:iCs w:val="false"/>
          <w:sz w:val="22"/>
          <w:szCs w:val="22"/>
        </w:rPr>
        <w:t xml:space="preserve">Fluoride</w:t>
      </w:r>
      <w:r>
        <w:rPr>
          <w:rFonts w:ascii="Arial" w:cs="Arial" w:eastAsia="Arial" w:hAnsi="Arial"/>
          <w:b w:val="false"/>
          <w:bCs w:val="false"/>
          <w:i w:val="false"/>
          <w:iCs w:val="false"/>
          <w:sz w:val="22"/>
          <w:szCs w:val="22"/>
        </w:rPr>
        <w:t xml:space="preserve">: deficiency = dental caries; excess in childhood = dental fluorosis (white/brown mottling of tooth enamel)</w:t>
      </w:r>
    </w:p>
    <w:p>
      <w:pPr>
        <w:pStyle w:val="ListParagraph"/>
        <w:numPr>
          <w:ilvl w:val="0"/>
          <w:numId w:val="1"/>
        </w:numPr>
        <w:spacing w:after="80"/>
      </w:pPr>
      <w:r>
        <w:rPr>
          <w:rFonts w:ascii="Arial" w:cs="Arial" w:eastAsia="Arial" w:hAnsi="Arial"/>
          <w:b/>
          <w:bCs/>
          <w:i w:val="false"/>
          <w:iCs w:val="false"/>
          <w:sz w:val="22"/>
          <w:szCs w:val="22"/>
        </w:rPr>
        <w:t xml:space="preserve">Manganese</w:t>
      </w:r>
      <w:r>
        <w:rPr>
          <w:rFonts w:ascii="Arial" w:cs="Arial" w:eastAsia="Arial" w:hAnsi="Arial"/>
          <w:b w:val="false"/>
          <w:bCs w:val="false"/>
          <w:i w:val="false"/>
          <w:iCs w:val="false"/>
          <w:sz w:val="22"/>
          <w:szCs w:val="22"/>
        </w:rPr>
        <w:t xml:space="preserve">: cofactor for arginase (urea cycle) and MnSOD; manganism = occupational parkinsonism</w:t>
      </w:r>
    </w:p>
    <w:p>
      <w:pPr>
        <w:pStyle w:val="ListParagraph"/>
        <w:numPr>
          <w:ilvl w:val="0"/>
          <w:numId w:val="1"/>
        </w:numPr>
        <w:spacing w:after="80"/>
      </w:pPr>
      <w:r>
        <w:rPr>
          <w:rFonts w:ascii="Arial" w:cs="Arial" w:eastAsia="Arial" w:hAnsi="Arial"/>
          <w:b/>
          <w:bCs/>
          <w:i w:val="false"/>
          <w:iCs w:val="false"/>
          <w:sz w:val="22"/>
          <w:szCs w:val="22"/>
        </w:rPr>
        <w:t xml:space="preserve">Molybdenum</w:t>
      </w:r>
      <w:r>
        <w:rPr>
          <w:rFonts w:ascii="Arial" w:cs="Arial" w:eastAsia="Arial" w:hAnsi="Arial"/>
          <w:b w:val="false"/>
          <w:bCs w:val="false"/>
          <w:i w:val="false"/>
          <w:iCs w:val="false"/>
          <w:sz w:val="22"/>
          <w:szCs w:val="22"/>
        </w:rPr>
        <w:t xml:space="preserve">: cofactor for xanthine oxidase → purine catabolism → uric acid; sulfite oxidase deficiency → neurological damage</w:t>
      </w:r>
    </w:p>
    <w:p>
      <w:pPr>
        <w:pStyle w:val="Heading1"/>
        <w:spacing w:after="120" w:before="240"/>
      </w:pPr>
      <w:r>
        <w:rPr>
          <w:rFonts w:ascii="Arial" w:cs="Arial" w:eastAsia="Arial" w:hAnsi="Arial"/>
          <w:b/>
          <w:bCs/>
          <w:color w:val="1F4E79"/>
          <w:sz w:val="30"/>
          <w:szCs w:val="30"/>
        </w:rPr>
        <w:t xml:space="preserve">Teaching Cases</w:t>
      </w:r>
    </w:p>
    <w:p>
      <w:pPr>
        <w:pStyle w:val="Heading3"/>
        <w:spacing w:after="100" w:before="200"/>
      </w:pPr>
      <w:r>
        <w:rPr>
          <w:rFonts w:ascii="Arial" w:cs="Arial" w:eastAsia="Arial" w:hAnsi="Arial"/>
          <w:b/>
          <w:bCs/>
          <w:color w:val="404040"/>
          <w:sz w:val="24"/>
          <w:szCs w:val="24"/>
        </w:rPr>
        <w:t xml:space="preserve">Case 1: Iron Deficiency Anemia</w:t>
      </w:r>
    </w:p>
    <w:p>
      <w:pPr>
        <w:spacing w:after="160"/>
      </w:pPr>
      <w:r>
        <w:rPr>
          <w:rFonts w:ascii="Arial" w:cs="Arial" w:eastAsia="Arial" w:hAnsi="Arial"/>
          <w:b w:val="false"/>
          <w:bCs w:val="false"/>
          <w:i w:val="false"/>
          <w:iCs w:val="false"/>
          <w:sz w:val="22"/>
          <w:szCs w:val="22"/>
        </w:rPr>
        <w:t xml:space="preserve">A 42-year-old woman with uterine fibroids presents with fatigue, koilonychia, ferritin 4 ng/mL, and TIBC 480 µg/dL. Peripheral smear shows hypochromic microcytic cells. Diagnosis: iron deficiency anemia from chronic blood loss; treat with oral ferrous sulfate.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ferritin is the most sensitive early marker; TIBC rises in deficiency, distinguishing it from anemia of chronic disease.</w:t>
      </w:r>
    </w:p>
    <w:p>
      <w:pPr>
        <w:pStyle w:val="Heading3"/>
        <w:spacing w:after="100" w:before="200"/>
      </w:pPr>
      <w:r>
        <w:rPr>
          <w:rFonts w:ascii="Arial" w:cs="Arial" w:eastAsia="Arial" w:hAnsi="Arial"/>
          <w:b/>
          <w:bCs/>
          <w:color w:val="404040"/>
          <w:sz w:val="24"/>
          <w:szCs w:val="24"/>
        </w:rPr>
        <w:t xml:space="preserve">Case 2: Hereditary Hemochromatosis</w:t>
      </w:r>
    </w:p>
    <w:p>
      <w:pPr>
        <w:spacing w:after="160"/>
      </w:pPr>
      <w:r>
        <w:rPr>
          <w:rFonts w:ascii="Arial" w:cs="Arial" w:eastAsia="Arial" w:hAnsi="Arial"/>
          <w:b w:val="false"/>
          <w:bCs w:val="false"/>
          <w:i w:val="false"/>
          <w:iCs w:val="false"/>
          <w:sz w:val="22"/>
          <w:szCs w:val="22"/>
        </w:rPr>
        <w:t xml:space="preserve">A 52-year-old man of Northern European descent presents with bronze skin, MCP arthralgias, and fasting glucose 210 mg/dL. Transferrin saturation is 62%; HFE testing confirms C282Y homozygosity. Diagnosis: hereditary hemochromatosis; treat with therapeutic phlebotomy.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transferrin saturation &gt; 45% is the most sensitive screening test; MCP arthropathy responds poorly to phlebotomy.</w:t>
      </w:r>
    </w:p>
    <w:p>
      <w:pPr>
        <w:pStyle w:val="Heading3"/>
        <w:spacing w:after="100" w:before="200"/>
      </w:pPr>
      <w:r>
        <w:rPr>
          <w:rFonts w:ascii="Arial" w:cs="Arial" w:eastAsia="Arial" w:hAnsi="Arial"/>
          <w:b/>
          <w:bCs/>
          <w:color w:val="404040"/>
          <w:sz w:val="24"/>
          <w:szCs w:val="24"/>
        </w:rPr>
        <w:t xml:space="preserve">Case 3: Wilson Disease</w:t>
      </w:r>
    </w:p>
    <w:p>
      <w:pPr>
        <w:spacing w:after="160"/>
      </w:pPr>
      <w:r>
        <w:rPr>
          <w:rFonts w:ascii="Arial" w:cs="Arial" w:eastAsia="Arial" w:hAnsi="Arial"/>
          <w:b w:val="false"/>
          <w:bCs w:val="false"/>
          <w:i w:val="false"/>
          <w:iCs w:val="false"/>
          <w:sz w:val="22"/>
          <w:szCs w:val="22"/>
        </w:rPr>
        <w:t xml:space="preserve">A 19-year-old man presents with dysarthria, asterixis, and golden-brown corneal rings on slit-lamp. Ceruloplasmin is 8 mg/dL and 24-hour urine copper is 280 µg/day. Diagnosis: Wilson disease; treat with D-penicillamine or trientine.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Kayser-Fleischer rings are absent in ~50% of hepatic-only presentations; ceruloplasmin is low because copper is not incorporated into it normally.</w:t>
      </w:r>
    </w:p>
    <w:p>
      <w:pPr>
        <w:pStyle w:val="Heading3"/>
        <w:spacing w:after="100" w:before="200"/>
      </w:pPr>
      <w:r>
        <w:rPr>
          <w:rFonts w:ascii="Arial" w:cs="Arial" w:eastAsia="Arial" w:hAnsi="Arial"/>
          <w:b/>
          <w:bCs/>
          <w:color w:val="404040"/>
          <w:sz w:val="24"/>
          <w:szCs w:val="24"/>
        </w:rPr>
        <w:t xml:space="preserve">Case 4: Acrodermatitis Enteropathica</w:t>
      </w:r>
    </w:p>
    <w:p>
      <w:pPr>
        <w:spacing w:after="160"/>
      </w:pPr>
      <w:r>
        <w:rPr>
          <w:rFonts w:ascii="Arial" w:cs="Arial" w:eastAsia="Arial" w:hAnsi="Arial"/>
          <w:b w:val="false"/>
          <w:bCs w:val="false"/>
          <w:i w:val="false"/>
          <w:iCs w:val="false"/>
          <w:sz w:val="22"/>
          <w:szCs w:val="22"/>
        </w:rPr>
        <w:t xml:space="preserve">A 9-month-old boy develops periorificial dermatitis, diarrhea, and alopecia three weeks after weaning from breast milk. Serum zinc is low; SLC39A4 mutation confirmed. Diagnosis: acrodermatitis enteropathica; breast milk picolinic acid masks the absorptive defect until weaning.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the triad plus onset at weaning is pathognomonic; oral zinc is curative.</w:t>
      </w:r>
    </w:p>
    <w:p>
      <w:pPr>
        <w:pStyle w:val="Heading1"/>
        <w:spacing w:after="120" w:before="240"/>
      </w:pPr>
      <w:r>
        <w:rPr>
          <w:rFonts w:ascii="Arial" w:cs="Arial" w:eastAsia="Arial" w:hAnsi="Arial"/>
          <w:b/>
          <w:bCs/>
          <w:color w:val="1F4E79"/>
          <w:sz w:val="30"/>
          <w:szCs w:val="30"/>
        </w:rPr>
        <w:t xml:space="preserve">References</w:t>
      </w:r>
    </w:p>
    <w:p>
      <w:pPr>
        <w:spacing w:after="0"/>
      </w:pPr>
      <w:hyperlink w:history="1" r:id="rIdcnkffzv7i2x4eqhrwy00h">
        <w:r>
          <w:rPr>
            <w:rStyle w:val="Hyperlink"/>
            <w:rFonts w:ascii="Arial" w:cs="Arial" w:eastAsia="Arial" w:hAnsi="Arial"/>
            <w:color w:val="0563C1"/>
            <w:sz w:val="22"/>
            <w:szCs w:val="22"/>
            <w:u w:val="single"/>
          </w:rPr>
          <w:t xml:space="preserve">Biochemistry, Nutrients: StatPearls</w:t>
        </w:r>
      </w:hyperlink>
    </w:p>
    <w:p>
      <w:pPr>
        <w:spacing w:after="0"/>
      </w:pPr>
      <w:hyperlink w:history="1" r:id="rIdvlh4daax4xf7wpmhduzj0">
        <w:r>
          <w:rPr>
            <w:rStyle w:val="Hyperlink"/>
            <w:rFonts w:ascii="Arial" w:cs="Arial" w:eastAsia="Arial" w:hAnsi="Arial"/>
            <w:color w:val="0563C1"/>
            <w:sz w:val="22"/>
            <w:szCs w:val="22"/>
            <w:u w:val="single"/>
          </w:rPr>
          <w:t xml:space="preserve">Savatt JM, Sincan M, Lebo MS, et al. Testing and management of iron overload after genetic screening-identified hemochromatosis. JAMA Netw Open. 2023;6(10):e2338995. doi:10.1001/jamanetworkopen.2023.38995.</w:t>
        </w:r>
      </w:hyperlink>
    </w:p>
    <w:p>
      <w:pPr>
        <w:spacing w:after="0"/>
      </w:pPr>
      <w:hyperlink w:history="1" r:id="rId7foxzvhi-n0qaadgocxco">
        <w:r>
          <w:rPr>
            <w:rStyle w:val="Hyperlink"/>
            <w:rFonts w:ascii="Arial" w:cs="Arial" w:eastAsia="Arial" w:hAnsi="Arial"/>
            <w:color w:val="0563C1"/>
            <w:sz w:val="22"/>
            <w:szCs w:val="22"/>
            <w:u w:val="single"/>
          </w:rPr>
          <w:t xml:space="preserve">Kumar A, Sharma E, Marley A, Samaan MA, Brookes MJ. Iron deficiency anaemia: pathophysiology, assessment, practical management. BMJ Open Gastroenterol. 2022;9(1):e000759. doi:10.1136/bmjgast-2021-000759.</w:t>
        </w:r>
      </w:hyperlink>
    </w:p>
    <w:p>
      <w:pPr>
        <w:spacing w:after="0"/>
      </w:pPr>
      <w:hyperlink w:history="1" r:id="rIdcgys_xf8nl_hkhldvmy1_">
        <w:r>
          <w:rPr>
            <w:rStyle w:val="Hyperlink"/>
            <w:rFonts w:ascii="Arial" w:cs="Arial" w:eastAsia="Arial" w:hAnsi="Arial"/>
            <w:color w:val="0563C1"/>
            <w:sz w:val="22"/>
            <w:szCs w:val="22"/>
            <w:u w:val="single"/>
          </w:rPr>
          <w:t xml:space="preserve">Martínez-Morillo E, Bauça JM. Biochemical diagnosis of Wilson's disease: an update. Adv Lab Med. 2022;3(2):103-125. doi:10.1515/almed-2022-0020.</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TrueLearn | Biochemistry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TrueLearn Medical Library | Minerals and Trace Elements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nkffzv7i2x4eqhrwy00h" Type="http://schemas.openxmlformats.org/officeDocument/2006/relationships/hyperlink" Target="https://www.ncbi.nlm.nih.gov/books/NBK554545/" TargetMode="External"/><Relationship Id="rIdvlh4daax4xf7wpmhduzj0" Type="http://schemas.openxmlformats.org/officeDocument/2006/relationships/hyperlink" Target="https://www.ncbi.nlm.nih.gov/pmc/articles/PMC10594145/" TargetMode="External"/><Relationship Id="rId7foxzvhi-n0qaadgocxco" Type="http://schemas.openxmlformats.org/officeDocument/2006/relationships/hyperlink" Target="https://bmjopengastro.bmj.com/content/9/1/e000759" TargetMode="External"/><Relationship Id="rIdcgys_xf8nl_hkhldvmy1_" Type="http://schemas.openxmlformats.org/officeDocument/2006/relationships/hyperlink" Target="https://www.ncbi.nlm.nih.gov/pmc/articles/PMC10197364/"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2026-09-09T20:19:16.238Z</dcterms:created>
  <dcterms:modified xsi:type="dcterms:W3CDTF">2026-09-09T20:19:16.238Z</dcterms:modified>
</cp:coreProperties>
</file>

<file path=docProps/custom.xml><?xml version="1.0" encoding="utf-8"?>
<Properties xmlns="http://schemas.openxmlformats.org/officeDocument/2006/custom-properties" xmlns:vt="http://schemas.openxmlformats.org/officeDocument/2006/docPropsVTypes"/>
</file>