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1F4E79"/>
          <w:sz w:val="30"/>
          <w:szCs w:val="30"/>
        </w:rPr>
        <w:t xml:space="preserve">Water-Soluble Vitamins (B1, B2, B3, B5, B6, B7, B9, B12, C)</w:t>
      </w:r>
    </w:p>
    <w:p>
      <w:pPr>
        <w:pStyle w:val="Heading1"/>
        <w:spacing w:after="120" w:before="240"/>
      </w:pPr>
      <w:r>
        <w:rPr>
          <w:rFonts w:ascii="Arial" w:cs="Arial" w:eastAsia="Arial" w:hAnsi="Arial"/>
          <w:b/>
          <w:bCs/>
          <w:color w:val="1F4E79"/>
          <w:sz w:val="30"/>
          <w:szCs w:val="30"/>
        </w:rPr>
        <w:t xml:space="preserve">Summary</w:t>
      </w:r>
    </w:p>
    <w:p>
      <w:pPr>
        <w:spacing w:after="160"/>
      </w:pPr>
      <w:r>
        <w:rPr>
          <w:rFonts w:ascii="Arial" w:cs="Arial" w:eastAsia="Arial" w:hAnsi="Arial"/>
          <w:b w:val="false"/>
          <w:bCs w:val="false"/>
          <w:i w:val="false"/>
          <w:iCs w:val="false"/>
          <w:sz w:val="22"/>
          <w:szCs w:val="22"/>
        </w:rPr>
        <w:t xml:space="preserve">Water-soluble vitamins include the eight B-complex vitamins and vitamin C, which function primarily as enzyme cofactors and antioxidants. Unlike fat-soluble vitamins, they are not stored in significant quantities (vitamin B12, stored in the liver for 2-5 years, is the exception) and must be regularly replenished. Deficiency arises most commonly from </w:t>
      </w:r>
      <w:r>
        <w:rPr>
          <w:rFonts w:ascii="Arial" w:cs="Arial" w:eastAsia="Arial" w:hAnsi="Arial"/>
          <w:b/>
          <w:bCs/>
          <w:i w:val="false"/>
          <w:iCs w:val="false"/>
          <w:sz w:val="22"/>
          <w:szCs w:val="22"/>
        </w:rPr>
        <w:t xml:space="preserve">alcohol use disorder</w:t>
      </w:r>
      <w:r>
        <w:rPr>
          <w:rFonts w:ascii="Arial" w:cs="Arial" w:eastAsia="Arial" w:hAnsi="Arial"/>
          <w:b w:val="false"/>
          <w:bCs w:val="false"/>
          <w:i w:val="false"/>
          <w:iCs w:val="false"/>
          <w:sz w:val="22"/>
          <w:szCs w:val="22"/>
        </w:rPr>
        <w:t xml:space="preserve">, malabsorption (eg, celiac disease, Crohn disease, bariatric surgery), strict vegan diet, or drug-nutrient interactions (eg, isoniazid, methotrexate, proton pump inhibitors). Each vitamin produces a distinctive deficiency syndrome that is frequently tested on board exams.</w:t>
      </w:r>
    </w:p>
    <w:p>
      <w:pPr>
        <w:pStyle w:val="Heading1"/>
        <w:spacing w:after="120" w:before="240"/>
      </w:pPr>
      <w:r>
        <w:rPr>
          <w:rFonts w:ascii="Arial" w:cs="Arial" w:eastAsia="Arial" w:hAnsi="Arial"/>
          <w:b/>
          <w:bCs/>
          <w:color w:val="1F4E79"/>
          <w:sz w:val="30"/>
          <w:szCs w:val="30"/>
        </w:rPr>
        <w:t xml:space="preserve">At-a-Glance Overview</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000"/>
        <w:gridCol w:w="1960"/>
      </w:tblGrid>
      <w:tr>
        <w:tc>
          <w:tcPr>
            <w:gridSpan w:val="5"/>
            <w:tcBorders>
              <w:top w:val="single" w:color="000000" w:sz="4"/>
              <w:left w:val="single" w:color="000000" w:sz="4"/>
              <w:bottom w:val="single" w:color="000000" w:sz="4"/>
              <w:right w:val="single" w:color="000000" w:sz="4"/>
            </w:tcBorders>
          </w:tcPr>
          <w:p>
            <w:pPr>
              <w:jc w:val="center"/>
            </w:pPr>
            <w:r>
              <w:rPr>
                <w:rFonts w:ascii="Arial" w:cs="Arial" w:eastAsia="Arial" w:hAnsi="Arial"/>
                <w:b/>
                <w:bCs/>
                <w:sz w:val="20"/>
                <w:szCs w:val="20"/>
              </w:rPr>
              <w:t xml:space="preserve">Water-Soluble Vitamins</w:t>
            </w:r>
          </w:p>
        </w:tc>
      </w:tr>
      <w:tr>
        <w:tc>
          <w:tcPr>
            <w:tcW w:type="dxa" w:w="14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Vitamin</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Active Coenzyme</w:t>
            </w:r>
          </w:p>
        </w:tc>
        <w:tc>
          <w:tcPr>
            <w:tcW w:type="dxa" w:w="2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Function</w:t>
            </w:r>
          </w:p>
        </w:tc>
        <w:tc>
          <w:tcPr>
            <w:tcW w:type="dxa" w:w="20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Deficiency</w:t>
            </w:r>
          </w:p>
        </w:tc>
        <w:tc>
          <w:tcPr>
            <w:tcW w:type="dxa" w:w="19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Risk Factors for Deficiency</w:t>
            </w:r>
          </w:p>
        </w:tc>
      </w:tr>
      <w:tr>
        <w:tc>
          <w:tcPr>
            <w:tcW w:type="dxa" w:w="14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B1 (Thiamine)</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Thiamine pyrophosphate</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Coenzyme of pyruvate dehydrogenase that converts pyruvate into acetyl-CoA</w:t>
            </w:r>
          </w:p>
          <w:p>
            <w:pPr>
              <w:pStyle w:val="ListParagraph"/>
              <w:numPr>
                <w:ilvl w:val="0"/>
                <w:numId w:val="1"/>
              </w:numPr>
              <w:jc w:val="left"/>
            </w:pPr>
            <w:r>
              <w:rPr>
                <w:rFonts w:ascii="Arial" w:cs="Arial" w:eastAsia="Arial" w:hAnsi="Arial"/>
                <w:b w:val="false"/>
                <w:bCs w:val="false"/>
                <w:i w:val="false"/>
                <w:iCs w:val="false"/>
                <w:sz w:val="20"/>
                <w:szCs w:val="20"/>
              </w:rPr>
              <w:t xml:space="preserve">Cofactor of α-KG dehydrogenase in TCA cycle</w:t>
            </w:r>
          </w:p>
          <w:p>
            <w:pPr>
              <w:pStyle w:val="ListParagraph"/>
              <w:numPr>
                <w:ilvl w:val="0"/>
                <w:numId w:val="1"/>
              </w:numPr>
              <w:jc w:val="left"/>
            </w:pPr>
            <w:r>
              <w:rPr>
                <w:rFonts w:ascii="Arial" w:cs="Arial" w:eastAsia="Arial" w:hAnsi="Arial"/>
                <w:b w:val="false"/>
                <w:bCs w:val="false"/>
                <w:i w:val="false"/>
                <w:iCs w:val="false"/>
                <w:sz w:val="20"/>
                <w:szCs w:val="20"/>
              </w:rPr>
              <w:t xml:space="preserve">Cofactor of transketolase required for pentose phosphate pathway</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Dry/wet beriberi</w:t>
            </w:r>
          </w:p>
          <w:p>
            <w:pPr>
              <w:pStyle w:val="ListParagraph"/>
              <w:numPr>
                <w:ilvl w:val="0"/>
                <w:numId w:val="1"/>
              </w:numPr>
              <w:jc w:val="left"/>
            </w:pPr>
            <w:r>
              <w:rPr>
                <w:rFonts w:ascii="Arial" w:cs="Arial" w:eastAsia="Arial" w:hAnsi="Arial"/>
                <w:b w:val="false"/>
                <w:bCs w:val="false"/>
                <w:i w:val="false"/>
                <w:iCs w:val="false"/>
                <w:sz w:val="20"/>
                <w:szCs w:val="20"/>
              </w:rPr>
              <w:t xml:space="preserve">Wernicke encephalopathy</w:t>
            </w:r>
          </w:p>
          <w:p>
            <w:pPr>
              <w:pStyle w:val="ListParagraph"/>
              <w:numPr>
                <w:ilvl w:val="0"/>
                <w:numId w:val="1"/>
              </w:numPr>
              <w:jc w:val="left"/>
            </w:pPr>
            <w:r>
              <w:rPr>
                <w:rFonts w:ascii="Arial" w:cs="Arial" w:eastAsia="Arial" w:hAnsi="Arial"/>
                <w:b w:val="false"/>
                <w:bCs w:val="false"/>
                <w:i w:val="false"/>
                <w:iCs w:val="false"/>
                <w:sz w:val="20"/>
                <w:szCs w:val="20"/>
              </w:rPr>
              <w:t xml:space="preserve">Korsakoff syndrome</w:t>
            </w:r>
          </w:p>
        </w:tc>
        <w:tc>
          <w:tcPr>
            <w:tcW w:type="dxa" w:w="196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Alcohol use disorder</w:t>
            </w:r>
          </w:p>
        </w:tc>
      </w:tr>
      <w:tr>
        <w:tc>
          <w:tcPr>
            <w:tcW w:type="dxa" w:w="14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B2 (Riboflavin)</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Flavin adenine dinucleotide (FAD); Flavin mononucleotide (FMN)</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Electron transport chain (complex II)</w:t>
            </w:r>
          </w:p>
          <w:p>
            <w:pPr>
              <w:pStyle w:val="ListParagraph"/>
              <w:numPr>
                <w:ilvl w:val="0"/>
                <w:numId w:val="1"/>
              </w:numPr>
              <w:jc w:val="left"/>
            </w:pPr>
            <w:r>
              <w:rPr>
                <w:rFonts w:ascii="Arial" w:cs="Arial" w:eastAsia="Arial" w:hAnsi="Arial"/>
                <w:b w:val="false"/>
                <w:bCs w:val="false"/>
                <w:i w:val="false"/>
                <w:iCs w:val="false"/>
                <w:sz w:val="20"/>
                <w:szCs w:val="20"/>
              </w:rPr>
              <w:t xml:space="preserve">TCA cycle</w:t>
            </w:r>
          </w:p>
          <w:p>
            <w:pPr>
              <w:pStyle w:val="ListParagraph"/>
              <w:numPr>
                <w:ilvl w:val="0"/>
                <w:numId w:val="1"/>
              </w:numPr>
              <w:jc w:val="left"/>
            </w:pPr>
            <w:r>
              <w:rPr>
                <w:rFonts w:ascii="Arial" w:cs="Arial" w:eastAsia="Arial" w:hAnsi="Arial"/>
                <w:b w:val="false"/>
                <w:bCs w:val="false"/>
                <w:i w:val="false"/>
                <w:iCs w:val="false"/>
                <w:sz w:val="20"/>
                <w:szCs w:val="20"/>
              </w:rPr>
              <w:t xml:space="preserve">β-oxidation</w:t>
            </w:r>
          </w:p>
          <w:p>
            <w:pPr>
              <w:pStyle w:val="ListParagraph"/>
              <w:numPr>
                <w:ilvl w:val="0"/>
                <w:numId w:val="1"/>
              </w:numPr>
              <w:jc w:val="left"/>
            </w:pPr>
            <w:r>
              <w:rPr>
                <w:rFonts w:ascii="Arial" w:cs="Arial" w:eastAsia="Arial" w:hAnsi="Arial"/>
                <w:b w:val="false"/>
                <w:bCs w:val="false"/>
                <w:i w:val="false"/>
                <w:iCs w:val="false"/>
                <w:sz w:val="20"/>
                <w:szCs w:val="20"/>
              </w:rPr>
              <w:t xml:space="preserve">Activates B6 and folate</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Angular cheilitis</w:t>
            </w:r>
          </w:p>
          <w:p>
            <w:pPr>
              <w:pStyle w:val="ListParagraph"/>
              <w:numPr>
                <w:ilvl w:val="0"/>
                <w:numId w:val="1"/>
              </w:numPr>
              <w:jc w:val="left"/>
            </w:pPr>
            <w:r>
              <w:rPr>
                <w:rFonts w:ascii="Arial" w:cs="Arial" w:eastAsia="Arial" w:hAnsi="Arial"/>
                <w:b w:val="false"/>
                <w:bCs w:val="false"/>
                <w:i w:val="false"/>
                <w:iCs w:val="false"/>
                <w:sz w:val="20"/>
                <w:szCs w:val="20"/>
              </w:rPr>
              <w:t xml:space="preserve">Stomatitis</w:t>
            </w:r>
          </w:p>
          <w:p>
            <w:pPr>
              <w:pStyle w:val="ListParagraph"/>
              <w:numPr>
                <w:ilvl w:val="0"/>
                <w:numId w:val="1"/>
              </w:numPr>
              <w:jc w:val="left"/>
            </w:pPr>
            <w:r>
              <w:rPr>
                <w:rFonts w:ascii="Arial" w:cs="Arial" w:eastAsia="Arial" w:hAnsi="Arial"/>
                <w:b w:val="false"/>
                <w:bCs w:val="false"/>
                <w:i w:val="false"/>
                <w:iCs w:val="false"/>
                <w:sz w:val="20"/>
                <w:szCs w:val="20"/>
              </w:rPr>
              <w:t xml:space="preserve">Glossitis</w:t>
            </w:r>
          </w:p>
          <w:p>
            <w:pPr>
              <w:pStyle w:val="ListParagraph"/>
              <w:numPr>
                <w:ilvl w:val="0"/>
                <w:numId w:val="1"/>
              </w:numPr>
              <w:jc w:val="left"/>
            </w:pPr>
            <w:r>
              <w:rPr>
                <w:rFonts w:ascii="Arial" w:cs="Arial" w:eastAsia="Arial" w:hAnsi="Arial"/>
                <w:b w:val="false"/>
                <w:bCs w:val="false"/>
                <w:i w:val="false"/>
                <w:iCs w:val="false"/>
                <w:sz w:val="20"/>
                <w:szCs w:val="20"/>
              </w:rPr>
              <w:t xml:space="preserve">Corneal vascularization</w:t>
            </w:r>
          </w:p>
        </w:tc>
        <w:tc>
          <w:tcPr>
            <w:tcW w:type="dxa" w:w="19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Malnutrition</w:t>
            </w:r>
          </w:p>
          <w:p>
            <w:pPr>
              <w:pStyle w:val="ListParagraph"/>
              <w:numPr>
                <w:ilvl w:val="0"/>
                <w:numId w:val="1"/>
              </w:numPr>
              <w:jc w:val="left"/>
            </w:pPr>
            <w:r>
              <w:rPr>
                <w:rFonts w:ascii="Arial" w:cs="Arial" w:eastAsia="Arial" w:hAnsi="Arial"/>
                <w:b w:val="false"/>
                <w:bCs w:val="false"/>
                <w:i w:val="false"/>
                <w:iCs w:val="false"/>
                <w:sz w:val="20"/>
                <w:szCs w:val="20"/>
              </w:rPr>
              <w:t xml:space="preserve">Low-dairy diet</w:t>
            </w:r>
          </w:p>
        </w:tc>
      </w:tr>
      <w:tr>
        <w:tc>
          <w:tcPr>
            <w:tcW w:type="dxa" w:w="14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B3 (Niacin)</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NAD+; NADP+</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Redox (NAD+) and anabolic (NADP+) reactions</w:t>
            </w:r>
          </w:p>
          <w:p>
            <w:pPr>
              <w:pStyle w:val="ListParagraph"/>
              <w:numPr>
                <w:ilvl w:val="0"/>
                <w:numId w:val="1"/>
              </w:numPr>
              <w:jc w:val="left"/>
            </w:pPr>
            <w:r>
              <w:rPr>
                <w:rFonts w:ascii="Arial" w:cs="Arial" w:eastAsia="Arial" w:hAnsi="Arial"/>
                <w:b w:val="false"/>
                <w:bCs w:val="false"/>
                <w:i w:val="false"/>
                <w:iCs w:val="false"/>
                <w:sz w:val="20"/>
                <w:szCs w:val="20"/>
              </w:rPr>
              <w:t xml:space="preserve">Lipid metabolism</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Pellagra: dermatitis, diarrhea, dementia, death (4 Ds)</w:t>
            </w:r>
          </w:p>
        </w:tc>
        <w:tc>
          <w:tcPr>
            <w:tcW w:type="dxa" w:w="19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Corn diet</w:t>
            </w:r>
          </w:p>
          <w:p>
            <w:pPr>
              <w:pStyle w:val="ListParagraph"/>
              <w:numPr>
                <w:ilvl w:val="0"/>
                <w:numId w:val="1"/>
              </w:numPr>
              <w:jc w:val="left"/>
            </w:pPr>
            <w:r>
              <w:rPr>
                <w:rFonts w:ascii="Arial" w:cs="Arial" w:eastAsia="Arial" w:hAnsi="Arial"/>
                <w:b w:val="false"/>
                <w:bCs w:val="false"/>
                <w:i w:val="false"/>
                <w:iCs w:val="false"/>
                <w:sz w:val="20"/>
                <w:szCs w:val="20"/>
              </w:rPr>
              <w:t xml:space="preserve">Hartnup disease</w:t>
            </w:r>
          </w:p>
          <w:p>
            <w:pPr>
              <w:pStyle w:val="ListParagraph"/>
              <w:numPr>
                <w:ilvl w:val="0"/>
                <w:numId w:val="1"/>
              </w:numPr>
              <w:jc w:val="left"/>
            </w:pPr>
            <w:r>
              <w:rPr>
                <w:rFonts w:ascii="Arial" w:cs="Arial" w:eastAsia="Arial" w:hAnsi="Arial"/>
                <w:b w:val="false"/>
                <w:bCs w:val="false"/>
                <w:i w:val="false"/>
                <w:iCs w:val="false"/>
                <w:sz w:val="20"/>
                <w:szCs w:val="20"/>
              </w:rPr>
              <w:t xml:space="preserve">Carcinoid</w:t>
            </w:r>
          </w:p>
        </w:tc>
      </w:tr>
      <w:tr>
        <w:tc>
          <w:tcPr>
            <w:tcW w:type="dxa" w:w="14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B5 (Pantothenic Acid)</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Coenzyme A; Acyl carrier protein</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Fatty acid and steroid synthesis</w:t>
            </w:r>
          </w:p>
          <w:p>
            <w:pPr>
              <w:pStyle w:val="ListParagraph"/>
              <w:numPr>
                <w:ilvl w:val="0"/>
                <w:numId w:val="1"/>
              </w:numPr>
              <w:jc w:val="left"/>
            </w:pPr>
            <w:r>
              <w:rPr>
                <w:rFonts w:ascii="Arial" w:cs="Arial" w:eastAsia="Arial" w:hAnsi="Arial"/>
                <w:b w:val="false"/>
                <w:bCs w:val="false"/>
                <w:i w:val="false"/>
                <w:iCs w:val="false"/>
                <w:sz w:val="20"/>
                <w:szCs w:val="20"/>
              </w:rPr>
              <w:t xml:space="preserve">TCA cycle</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Rare "burning feet" neuropathy</w:t>
            </w:r>
          </w:p>
          <w:p>
            <w:pPr>
              <w:pStyle w:val="ListParagraph"/>
              <w:numPr>
                <w:ilvl w:val="0"/>
                <w:numId w:val="1"/>
              </w:numPr>
              <w:jc w:val="left"/>
            </w:pPr>
            <w:r>
              <w:rPr>
                <w:rFonts w:ascii="Arial" w:cs="Arial" w:eastAsia="Arial" w:hAnsi="Arial"/>
                <w:b w:val="false"/>
                <w:bCs w:val="false"/>
                <w:i w:val="false"/>
                <w:iCs w:val="false"/>
                <w:sz w:val="20"/>
                <w:szCs w:val="20"/>
              </w:rPr>
              <w:t xml:space="preserve">Dermatitis</w:t>
            </w:r>
          </w:p>
        </w:tc>
        <w:tc>
          <w:tcPr>
            <w:tcW w:type="dxa" w:w="19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Severe malnutrition</w:t>
            </w:r>
          </w:p>
          <w:p>
            <w:pPr>
              <w:pStyle w:val="ListParagraph"/>
              <w:numPr>
                <w:ilvl w:val="0"/>
                <w:numId w:val="1"/>
              </w:numPr>
              <w:jc w:val="left"/>
            </w:pPr>
            <w:r>
              <w:rPr>
                <w:rFonts w:ascii="Arial" w:cs="Arial" w:eastAsia="Arial" w:hAnsi="Arial"/>
                <w:b w:val="false"/>
                <w:bCs w:val="false"/>
                <w:i w:val="false"/>
                <w:iCs w:val="false"/>
                <w:sz w:val="20"/>
                <w:szCs w:val="20"/>
              </w:rPr>
              <w:t xml:space="preserve">Prolonged TPN</w:t>
            </w:r>
          </w:p>
        </w:tc>
      </w:tr>
      <w:tr>
        <w:tc>
          <w:tcPr>
            <w:tcW w:type="dxa" w:w="14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B6 (Pyridoxine)</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Pyridoxal phosphate</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Transamination (with ALT, AST)</w:t>
            </w:r>
          </w:p>
          <w:p>
            <w:pPr>
              <w:pStyle w:val="ListParagraph"/>
              <w:numPr>
                <w:ilvl w:val="0"/>
                <w:numId w:val="1"/>
              </w:numPr>
              <w:jc w:val="left"/>
            </w:pPr>
            <w:r>
              <w:rPr>
                <w:rFonts w:ascii="Arial" w:cs="Arial" w:eastAsia="Arial" w:hAnsi="Arial"/>
                <w:b w:val="false"/>
                <w:bCs w:val="false"/>
                <w:i w:val="false"/>
                <w:iCs w:val="false"/>
                <w:sz w:val="20"/>
                <w:szCs w:val="20"/>
              </w:rPr>
              <w:t xml:space="preserve">Heme synthesis (ALA synthase)</w:t>
            </w:r>
          </w:p>
          <w:p>
            <w:pPr>
              <w:pStyle w:val="ListParagraph"/>
              <w:numPr>
                <w:ilvl w:val="0"/>
                <w:numId w:val="1"/>
              </w:numPr>
              <w:jc w:val="left"/>
            </w:pPr>
            <w:r>
              <w:rPr>
                <w:rFonts w:ascii="Arial" w:cs="Arial" w:eastAsia="Arial" w:hAnsi="Arial"/>
                <w:b w:val="false"/>
                <w:bCs w:val="false"/>
                <w:i w:val="false"/>
                <w:iCs w:val="false"/>
                <w:sz w:val="20"/>
                <w:szCs w:val="20"/>
              </w:rPr>
              <w:t xml:space="preserve">Neurotransmitter synthesis</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Sideroblastic anemia</w:t>
            </w:r>
          </w:p>
          <w:p>
            <w:pPr>
              <w:pStyle w:val="ListParagraph"/>
              <w:numPr>
                <w:ilvl w:val="0"/>
                <w:numId w:val="1"/>
              </w:numPr>
              <w:jc w:val="left"/>
            </w:pPr>
            <w:r>
              <w:rPr>
                <w:rFonts w:ascii="Arial" w:cs="Arial" w:eastAsia="Arial" w:hAnsi="Arial"/>
                <w:b w:val="false"/>
                <w:bCs w:val="false"/>
                <w:i w:val="false"/>
                <w:iCs w:val="false"/>
                <w:sz w:val="20"/>
                <w:szCs w:val="20"/>
              </w:rPr>
              <w:t xml:space="preserve">Peripheral neuropathy</w:t>
            </w:r>
          </w:p>
          <w:p>
            <w:pPr>
              <w:pStyle w:val="ListParagraph"/>
              <w:numPr>
                <w:ilvl w:val="0"/>
                <w:numId w:val="1"/>
              </w:numPr>
              <w:jc w:val="left"/>
            </w:pPr>
            <w:r>
              <w:rPr>
                <w:rFonts w:ascii="Arial" w:cs="Arial" w:eastAsia="Arial" w:hAnsi="Arial"/>
                <w:b w:val="false"/>
                <w:bCs w:val="false"/>
                <w:i w:val="false"/>
                <w:iCs w:val="false"/>
                <w:sz w:val="20"/>
                <w:szCs w:val="20"/>
              </w:rPr>
              <w:t xml:space="preserve">Glossitis</w:t>
            </w:r>
          </w:p>
        </w:tc>
        <w:tc>
          <w:tcPr>
            <w:tcW w:type="dxa" w:w="19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Isoniazid</w:t>
            </w:r>
          </w:p>
          <w:p>
            <w:pPr>
              <w:pStyle w:val="ListParagraph"/>
              <w:numPr>
                <w:ilvl w:val="0"/>
                <w:numId w:val="1"/>
              </w:numPr>
              <w:jc w:val="left"/>
            </w:pPr>
            <w:r>
              <w:rPr>
                <w:rFonts w:ascii="Arial" w:cs="Arial" w:eastAsia="Arial" w:hAnsi="Arial"/>
                <w:b w:val="false"/>
                <w:bCs w:val="false"/>
                <w:i w:val="false"/>
                <w:iCs w:val="false"/>
                <w:sz w:val="20"/>
                <w:szCs w:val="20"/>
              </w:rPr>
              <w:t xml:space="preserve">Alcohol use disorder</w:t>
            </w:r>
          </w:p>
        </w:tc>
      </w:tr>
      <w:tr>
        <w:tc>
          <w:tcPr>
            <w:tcW w:type="dxa" w:w="14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B7 (Biotin)</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Carboxylase cofactor</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Carboxylation</w:t>
            </w:r>
          </w:p>
          <w:p>
            <w:pPr>
              <w:pStyle w:val="ListParagraph"/>
              <w:numPr>
                <w:ilvl w:val="0"/>
                <w:numId w:val="1"/>
              </w:numPr>
              <w:jc w:val="left"/>
            </w:pPr>
            <w:r>
              <w:rPr>
                <w:rFonts w:ascii="Arial" w:cs="Arial" w:eastAsia="Arial" w:hAnsi="Arial"/>
                <w:b w:val="false"/>
                <w:bCs w:val="false"/>
                <w:i w:val="false"/>
                <w:iCs w:val="false"/>
                <w:sz w:val="20"/>
                <w:szCs w:val="20"/>
              </w:rPr>
              <w:t xml:space="preserve">Pyruvate → OAA</w:t>
            </w:r>
          </w:p>
          <w:p>
            <w:pPr>
              <w:pStyle w:val="ListParagraph"/>
              <w:numPr>
                <w:ilvl w:val="0"/>
                <w:numId w:val="1"/>
              </w:numPr>
              <w:jc w:val="left"/>
            </w:pPr>
            <w:r>
              <w:rPr>
                <w:rFonts w:ascii="Arial" w:cs="Arial" w:eastAsia="Arial" w:hAnsi="Arial"/>
                <w:b w:val="false"/>
                <w:bCs w:val="false"/>
                <w:i w:val="false"/>
                <w:iCs w:val="false"/>
                <w:sz w:val="20"/>
                <w:szCs w:val="20"/>
              </w:rPr>
              <w:t xml:space="preserve">Acetyl-CoA → malonyl-CoA</w:t>
            </w:r>
          </w:p>
          <w:p>
            <w:pPr>
              <w:pStyle w:val="ListParagraph"/>
              <w:numPr>
                <w:ilvl w:val="0"/>
                <w:numId w:val="1"/>
              </w:numPr>
              <w:jc w:val="left"/>
            </w:pPr>
            <w:r>
              <w:rPr>
                <w:rFonts w:ascii="Arial" w:cs="Arial" w:eastAsia="Arial" w:hAnsi="Arial"/>
                <w:b w:val="false"/>
                <w:bCs w:val="false"/>
                <w:i w:val="false"/>
                <w:iCs w:val="false"/>
                <w:sz w:val="20"/>
                <w:szCs w:val="20"/>
              </w:rPr>
              <w:t xml:space="preserve">Propionyl-CoA → methylmalonyl-CoA</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Alopecia</w:t>
            </w:r>
          </w:p>
          <w:p>
            <w:pPr>
              <w:pStyle w:val="ListParagraph"/>
              <w:numPr>
                <w:ilvl w:val="0"/>
                <w:numId w:val="1"/>
              </w:numPr>
              <w:jc w:val="left"/>
            </w:pPr>
            <w:r>
              <w:rPr>
                <w:rFonts w:ascii="Arial" w:cs="Arial" w:eastAsia="Arial" w:hAnsi="Arial"/>
                <w:b w:val="false"/>
                <w:bCs w:val="false"/>
                <w:i w:val="false"/>
                <w:iCs w:val="false"/>
                <w:sz w:val="20"/>
                <w:szCs w:val="20"/>
              </w:rPr>
              <w:t xml:space="preserve">Seborrheic dermatitis</w:t>
            </w:r>
          </w:p>
          <w:p>
            <w:pPr>
              <w:pStyle w:val="ListParagraph"/>
              <w:numPr>
                <w:ilvl w:val="0"/>
                <w:numId w:val="1"/>
              </w:numPr>
              <w:jc w:val="left"/>
            </w:pPr>
            <w:r>
              <w:rPr>
                <w:rFonts w:ascii="Arial" w:cs="Arial" w:eastAsia="Arial" w:hAnsi="Arial"/>
                <w:b w:val="false"/>
                <w:bCs w:val="false"/>
                <w:i w:val="false"/>
                <w:iCs w:val="false"/>
                <w:sz w:val="20"/>
                <w:szCs w:val="20"/>
              </w:rPr>
              <w:t xml:space="preserve">Neurologic symptoms</w:t>
            </w:r>
          </w:p>
        </w:tc>
        <w:tc>
          <w:tcPr>
            <w:tcW w:type="dxa" w:w="196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Raw egg whites (avidin)</w:t>
            </w:r>
          </w:p>
        </w:tc>
      </w:tr>
      <w:tr>
        <w:tc>
          <w:tcPr>
            <w:tcW w:type="dxa" w:w="14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B9 (Folate)</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Tetrahydrofolate</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One-carbon transfer</w:t>
            </w:r>
          </w:p>
          <w:p>
            <w:pPr>
              <w:pStyle w:val="ListParagraph"/>
              <w:numPr>
                <w:ilvl w:val="0"/>
                <w:numId w:val="1"/>
              </w:numPr>
              <w:jc w:val="left"/>
            </w:pPr>
            <w:r>
              <w:rPr>
                <w:rFonts w:ascii="Arial" w:cs="Arial" w:eastAsia="Arial" w:hAnsi="Arial"/>
                <w:b w:val="false"/>
                <w:bCs w:val="false"/>
                <w:i w:val="false"/>
                <w:iCs w:val="false"/>
                <w:sz w:val="20"/>
                <w:szCs w:val="20"/>
              </w:rPr>
              <w:t xml:space="preserve">Purine synthesis</w:t>
            </w:r>
          </w:p>
          <w:p>
            <w:pPr>
              <w:pStyle w:val="ListParagraph"/>
              <w:numPr>
                <w:ilvl w:val="0"/>
                <w:numId w:val="1"/>
              </w:numPr>
              <w:jc w:val="left"/>
            </w:pPr>
            <w:r>
              <w:rPr>
                <w:rFonts w:ascii="Arial" w:cs="Arial" w:eastAsia="Arial" w:hAnsi="Arial"/>
                <w:b w:val="false"/>
                <w:bCs w:val="false"/>
                <w:i w:val="false"/>
                <w:iCs w:val="false"/>
                <w:sz w:val="20"/>
                <w:szCs w:val="20"/>
              </w:rPr>
              <w:t xml:space="preserve">dUMP → dTMP (thymidylate synthase)</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Megaloblastic anemia</w:t>
            </w:r>
          </w:p>
          <w:p>
            <w:pPr>
              <w:pStyle w:val="ListParagraph"/>
              <w:numPr>
                <w:ilvl w:val="0"/>
                <w:numId w:val="1"/>
              </w:numPr>
              <w:jc w:val="left"/>
            </w:pPr>
            <w:r>
              <w:rPr>
                <w:rFonts w:ascii="Arial" w:cs="Arial" w:eastAsia="Arial" w:hAnsi="Arial"/>
                <w:b w:val="false"/>
                <w:bCs w:val="false"/>
                <w:i w:val="false"/>
                <w:iCs w:val="false"/>
                <w:sz w:val="20"/>
                <w:szCs w:val="20"/>
              </w:rPr>
              <w:t xml:space="preserve">Neural tube defects</w:t>
            </w:r>
          </w:p>
          <w:p>
            <w:pPr>
              <w:pStyle w:val="ListParagraph"/>
              <w:numPr>
                <w:ilvl w:val="0"/>
                <w:numId w:val="1"/>
              </w:numPr>
              <w:jc w:val="left"/>
            </w:pPr>
            <w:r>
              <w:rPr>
                <w:rFonts w:ascii="Arial" w:cs="Arial" w:eastAsia="Arial" w:hAnsi="Arial"/>
                <w:b w:val="false"/>
                <w:bCs w:val="false"/>
                <w:i w:val="false"/>
                <w:iCs w:val="false"/>
                <w:sz w:val="20"/>
                <w:szCs w:val="20"/>
              </w:rPr>
              <w:t xml:space="preserve">No neurologic deficits</w:t>
            </w:r>
          </w:p>
        </w:tc>
        <w:tc>
          <w:tcPr>
            <w:tcW w:type="dxa" w:w="19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Pregnancy</w:t>
            </w:r>
          </w:p>
          <w:p>
            <w:pPr>
              <w:pStyle w:val="ListParagraph"/>
              <w:numPr>
                <w:ilvl w:val="0"/>
                <w:numId w:val="1"/>
              </w:numPr>
              <w:jc w:val="left"/>
            </w:pPr>
            <w:r>
              <w:rPr>
                <w:rFonts w:ascii="Arial" w:cs="Arial" w:eastAsia="Arial" w:hAnsi="Arial"/>
                <w:b w:val="false"/>
                <w:bCs w:val="false"/>
                <w:i w:val="false"/>
                <w:iCs w:val="false"/>
                <w:sz w:val="20"/>
                <w:szCs w:val="20"/>
              </w:rPr>
              <w:t xml:space="preserve">Methotrexate</w:t>
            </w:r>
          </w:p>
          <w:p>
            <w:pPr>
              <w:pStyle w:val="ListParagraph"/>
              <w:numPr>
                <w:ilvl w:val="0"/>
                <w:numId w:val="1"/>
              </w:numPr>
              <w:jc w:val="left"/>
            </w:pPr>
            <w:r>
              <w:rPr>
                <w:rFonts w:ascii="Arial" w:cs="Arial" w:eastAsia="Arial" w:hAnsi="Arial"/>
                <w:b w:val="false"/>
                <w:bCs w:val="false"/>
                <w:i w:val="false"/>
                <w:iCs w:val="false"/>
                <w:sz w:val="20"/>
                <w:szCs w:val="20"/>
              </w:rPr>
              <w:t xml:space="preserve">Trimethoprim</w:t>
            </w:r>
          </w:p>
          <w:p>
            <w:pPr>
              <w:pStyle w:val="ListParagraph"/>
              <w:numPr>
                <w:ilvl w:val="0"/>
                <w:numId w:val="1"/>
              </w:numPr>
              <w:jc w:val="left"/>
            </w:pPr>
            <w:r>
              <w:rPr>
                <w:rFonts w:ascii="Arial" w:cs="Arial" w:eastAsia="Arial" w:hAnsi="Arial"/>
                <w:b w:val="false"/>
                <w:bCs w:val="false"/>
                <w:i w:val="false"/>
                <w:iCs w:val="false"/>
                <w:sz w:val="20"/>
                <w:szCs w:val="20"/>
              </w:rPr>
              <w:t xml:space="preserve">Phenytoin</w:t>
            </w:r>
          </w:p>
        </w:tc>
      </w:tr>
      <w:tr>
        <w:tc>
          <w:tcPr>
            <w:tcW w:type="dxa" w:w="14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B12 (Cobalamin)</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Methylcobalamin; Adenosylcobalamin</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Homocysteine → methionine</w:t>
            </w:r>
          </w:p>
          <w:p>
            <w:pPr>
              <w:pStyle w:val="ListParagraph"/>
              <w:numPr>
                <w:ilvl w:val="0"/>
                <w:numId w:val="1"/>
              </w:numPr>
              <w:jc w:val="left"/>
            </w:pPr>
            <w:r>
              <w:rPr>
                <w:rFonts w:ascii="Arial" w:cs="Arial" w:eastAsia="Arial" w:hAnsi="Arial"/>
                <w:b w:val="false"/>
                <w:bCs w:val="false"/>
                <w:i w:val="false"/>
                <w:iCs w:val="false"/>
                <w:sz w:val="20"/>
                <w:szCs w:val="20"/>
              </w:rPr>
              <w:t xml:space="preserve">Methylmalonyl-CoA → succinyl-CoA</w:t>
            </w:r>
          </w:p>
        </w:tc>
        <w:tc>
          <w:tcPr>
            <w:tcW w:type="dxa" w:w="20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Megaloblastic anemia + subacute combined degeneration (posterior and lateral columns)</w:t>
            </w:r>
          </w:p>
        </w:tc>
        <w:tc>
          <w:tcPr>
            <w:tcW w:type="dxa" w:w="19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Pernicious anemia</w:t>
            </w:r>
          </w:p>
          <w:p>
            <w:pPr>
              <w:pStyle w:val="ListParagraph"/>
              <w:numPr>
                <w:ilvl w:val="0"/>
                <w:numId w:val="1"/>
              </w:numPr>
              <w:jc w:val="left"/>
            </w:pPr>
            <w:r>
              <w:rPr>
                <w:rFonts w:ascii="Arial" w:cs="Arial" w:eastAsia="Arial" w:hAnsi="Arial"/>
                <w:b w:val="false"/>
                <w:bCs w:val="false"/>
                <w:i w:val="false"/>
                <w:iCs w:val="false"/>
                <w:sz w:val="20"/>
                <w:szCs w:val="20"/>
              </w:rPr>
              <w:t xml:space="preserve">Vegan diet</w:t>
            </w:r>
          </w:p>
          <w:p>
            <w:pPr>
              <w:pStyle w:val="ListParagraph"/>
              <w:numPr>
                <w:ilvl w:val="0"/>
                <w:numId w:val="1"/>
              </w:numPr>
              <w:jc w:val="left"/>
            </w:pPr>
            <w:r>
              <w:rPr>
                <w:rFonts w:ascii="Arial" w:cs="Arial" w:eastAsia="Arial" w:hAnsi="Arial"/>
                <w:b w:val="false"/>
                <w:bCs w:val="false"/>
                <w:i w:val="false"/>
                <w:iCs w:val="false"/>
                <w:sz w:val="20"/>
                <w:szCs w:val="20"/>
              </w:rPr>
              <w:t xml:space="preserve">Bariatric surgery</w:t>
            </w:r>
          </w:p>
          <w:p>
            <w:pPr>
              <w:pStyle w:val="ListParagraph"/>
              <w:numPr>
                <w:ilvl w:val="0"/>
                <w:numId w:val="1"/>
              </w:numPr>
              <w:jc w:val="left"/>
            </w:pPr>
            <w:r>
              <w:rPr>
                <w:rFonts w:ascii="Arial" w:cs="Arial" w:eastAsia="Arial" w:hAnsi="Arial"/>
                <w:b w:val="false"/>
                <w:bCs w:val="false"/>
                <w:i w:val="false"/>
                <w:iCs w:val="false"/>
                <w:sz w:val="20"/>
                <w:szCs w:val="20"/>
              </w:rPr>
              <w:t xml:space="preserve">Metformin</w:t>
            </w:r>
          </w:p>
          <w:p>
            <w:pPr>
              <w:pStyle w:val="ListParagraph"/>
              <w:numPr>
                <w:ilvl w:val="0"/>
                <w:numId w:val="1"/>
              </w:numPr>
              <w:jc w:val="left"/>
            </w:pPr>
            <w:r>
              <w:rPr>
                <w:rFonts w:ascii="Arial" w:cs="Arial" w:eastAsia="Arial" w:hAnsi="Arial"/>
                <w:b w:val="false"/>
                <w:bCs w:val="false"/>
                <w:i w:val="false"/>
                <w:iCs w:val="false"/>
                <w:sz w:val="20"/>
                <w:szCs w:val="20"/>
              </w:rPr>
              <w:t xml:space="preserve">PPIs</w:t>
            </w:r>
          </w:p>
        </w:tc>
      </w:tr>
      <w:tr>
        <w:tc>
          <w:tcPr>
            <w:tcW w:type="dxa" w:w="14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C (Ascorbic Acid)</w:t>
            </w:r>
          </w:p>
        </w:tc>
        <w:tc>
          <w:tcPr>
            <w:tcW w:type="dxa" w:w="1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Ascorbate</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Collagen hydroxylation (with prolyl and lysyl hydroxylase)</w:t>
            </w:r>
          </w:p>
          <w:p>
            <w:pPr>
              <w:pStyle w:val="ListParagraph"/>
              <w:numPr>
                <w:ilvl w:val="0"/>
                <w:numId w:val="1"/>
              </w:numPr>
              <w:jc w:val="left"/>
            </w:pPr>
            <w:r>
              <w:rPr>
                <w:rFonts w:ascii="Arial" w:cs="Arial" w:eastAsia="Arial" w:hAnsi="Arial"/>
                <w:b w:val="false"/>
                <w:bCs w:val="false"/>
                <w:i w:val="false"/>
                <w:iCs w:val="false"/>
                <w:sz w:val="20"/>
                <w:szCs w:val="20"/>
              </w:rPr>
              <w:t xml:space="preserve">Fe³⁺ → Fe²⁺</w:t>
            </w:r>
          </w:p>
          <w:p>
            <w:pPr>
              <w:pStyle w:val="ListParagraph"/>
              <w:numPr>
                <w:ilvl w:val="0"/>
                <w:numId w:val="1"/>
              </w:numPr>
              <w:jc w:val="left"/>
            </w:pPr>
            <w:r>
              <w:rPr>
                <w:rFonts w:ascii="Arial" w:cs="Arial" w:eastAsia="Arial" w:hAnsi="Arial"/>
                <w:b w:val="false"/>
                <w:bCs w:val="false"/>
                <w:i w:val="false"/>
                <w:iCs w:val="false"/>
                <w:sz w:val="20"/>
                <w:szCs w:val="20"/>
              </w:rPr>
              <w:t xml:space="preserve">Antioxidant</w:t>
            </w:r>
          </w:p>
          <w:p>
            <w:pPr>
              <w:pStyle w:val="ListParagraph"/>
              <w:numPr>
                <w:ilvl w:val="0"/>
                <w:numId w:val="1"/>
              </w:numPr>
              <w:jc w:val="left"/>
            </w:pPr>
            <w:r>
              <w:rPr>
                <w:rFonts w:ascii="Arial" w:cs="Arial" w:eastAsia="Arial" w:hAnsi="Arial"/>
                <w:b w:val="false"/>
                <w:bCs w:val="false"/>
                <w:i w:val="false"/>
                <w:iCs w:val="false"/>
                <w:sz w:val="20"/>
                <w:szCs w:val="20"/>
              </w:rPr>
              <w:t xml:space="preserve">Cofactor of dopamine β-hydroxylase</w:t>
            </w:r>
          </w:p>
        </w:tc>
        <w:tc>
          <w:tcPr>
            <w:tcW w:type="dxa" w:w="20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Scurvy</w:t>
            </w:r>
          </w:p>
          <w:p>
            <w:pPr>
              <w:pStyle w:val="ListParagraph"/>
              <w:numPr>
                <w:ilvl w:val="0"/>
                <w:numId w:val="1"/>
              </w:numPr>
              <w:jc w:val="left"/>
            </w:pPr>
            <w:r>
              <w:rPr>
                <w:rFonts w:ascii="Arial" w:cs="Arial" w:eastAsia="Arial" w:hAnsi="Arial"/>
                <w:b w:val="false"/>
                <w:bCs w:val="false"/>
                <w:i w:val="false"/>
                <w:iCs w:val="false"/>
                <w:sz w:val="20"/>
                <w:szCs w:val="20"/>
              </w:rPr>
              <w:t xml:space="preserve">Perifollicular hemorrhages</w:t>
            </w:r>
          </w:p>
          <w:p>
            <w:pPr>
              <w:pStyle w:val="ListParagraph"/>
              <w:numPr>
                <w:ilvl w:val="0"/>
                <w:numId w:val="1"/>
              </w:numPr>
              <w:jc w:val="left"/>
            </w:pPr>
            <w:r>
              <w:rPr>
                <w:rFonts w:ascii="Arial" w:cs="Arial" w:eastAsia="Arial" w:hAnsi="Arial"/>
                <w:b w:val="false"/>
                <w:bCs w:val="false"/>
                <w:i w:val="false"/>
                <w:iCs w:val="false"/>
                <w:sz w:val="20"/>
                <w:szCs w:val="20"/>
              </w:rPr>
              <w:t xml:space="preserve">Corkscrew hairs</w:t>
            </w:r>
          </w:p>
          <w:p>
            <w:pPr>
              <w:pStyle w:val="ListParagraph"/>
              <w:numPr>
                <w:ilvl w:val="0"/>
                <w:numId w:val="1"/>
              </w:numPr>
              <w:jc w:val="left"/>
            </w:pPr>
            <w:r>
              <w:rPr>
                <w:rFonts w:ascii="Arial" w:cs="Arial" w:eastAsia="Arial" w:hAnsi="Arial"/>
                <w:b w:val="false"/>
                <w:bCs w:val="false"/>
                <w:i w:val="false"/>
                <w:iCs w:val="false"/>
                <w:sz w:val="20"/>
                <w:szCs w:val="20"/>
              </w:rPr>
              <w:t xml:space="preserve">Gingival bleeding</w:t>
            </w:r>
          </w:p>
          <w:p>
            <w:pPr>
              <w:pStyle w:val="ListParagraph"/>
              <w:numPr>
                <w:ilvl w:val="0"/>
                <w:numId w:val="1"/>
              </w:numPr>
              <w:jc w:val="left"/>
            </w:pPr>
            <w:r>
              <w:rPr>
                <w:rFonts w:ascii="Arial" w:cs="Arial" w:eastAsia="Arial" w:hAnsi="Arial"/>
                <w:b w:val="false"/>
                <w:bCs w:val="false"/>
                <w:i w:val="false"/>
                <w:iCs w:val="false"/>
                <w:sz w:val="20"/>
                <w:szCs w:val="20"/>
              </w:rPr>
              <w:t xml:space="preserve">Impaired wound healing</w:t>
            </w:r>
          </w:p>
        </w:tc>
        <w:tc>
          <w:tcPr>
            <w:tcW w:type="dxa" w:w="19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Restrictive diet</w:t>
            </w:r>
          </w:p>
          <w:p>
            <w:pPr>
              <w:pStyle w:val="ListParagraph"/>
              <w:numPr>
                <w:ilvl w:val="0"/>
                <w:numId w:val="1"/>
              </w:numPr>
              <w:jc w:val="left"/>
            </w:pPr>
            <w:r>
              <w:rPr>
                <w:rFonts w:ascii="Arial" w:cs="Arial" w:eastAsia="Arial" w:hAnsi="Arial"/>
                <w:b w:val="false"/>
                <w:bCs w:val="false"/>
                <w:i w:val="false"/>
                <w:iCs w:val="false"/>
                <w:sz w:val="20"/>
                <w:szCs w:val="20"/>
              </w:rPr>
              <w:t xml:space="preserve">Food insecurity</w:t>
            </w:r>
          </w:p>
          <w:p>
            <w:pPr>
              <w:pStyle w:val="ListParagraph"/>
              <w:numPr>
                <w:ilvl w:val="0"/>
                <w:numId w:val="1"/>
              </w:numPr>
              <w:jc w:val="left"/>
            </w:pPr>
            <w:r>
              <w:rPr>
                <w:rFonts w:ascii="Arial" w:cs="Arial" w:eastAsia="Arial" w:hAnsi="Arial"/>
                <w:b w:val="false"/>
                <w:bCs w:val="false"/>
                <w:i w:val="false"/>
                <w:iCs w:val="false"/>
                <w:sz w:val="20"/>
                <w:szCs w:val="20"/>
              </w:rPr>
              <w:t xml:space="preserve">Alcohol use disorder</w:t>
            </w:r>
          </w:p>
        </w:tc>
      </w:tr>
      <w:tr>
        <w:tc>
          <w:tcPr>
            <w:gridSpan w:val="5"/>
            <w:tcBorders>
              <w:top w:val="single" w:color="000000" w:sz="4"/>
              <w:left w:val="single" w:color="000000" w:sz="4"/>
              <w:bottom w:val="single" w:color="000000" w:sz="4"/>
              <w:right w:val="single" w:color="000000" w:sz="4"/>
            </w:tcBorders>
          </w:tcPr>
          <w:p>
            <w:r>
              <w:rPr>
                <w:rFonts w:ascii="Arial" w:cs="Arial" w:eastAsia="Arial" w:hAnsi="Arial"/>
                <w:sz w:val="18"/>
                <w:szCs w:val="18"/>
              </w:rPr>
              <w:t xml:space="preserve">ALA = δ-aminolevulinic acid; ALT = alanine aminotransferase; AST = aspartate aminotransferase; CoA = coenzyme A; dTMP = deoxythymidine monophosphate; dUMP = deoxyuridine monophosphate; NAD⁺ = nicotinamide adenine dinucleotide; NADP⁺ = nicotinamide adenine dinucleotide phosphate; OAA = oxaloacetate; PPI = proton pump inhibitor; TPN = total parenteral nutrition; TCA cycle = tricarboxylic acid cycle (citric acid cycle).</w:t>
            </w:r>
          </w:p>
        </w:tc>
      </w:tr>
    </w:tbl>
    <w:p>
      <w:pPr>
        <w:pStyle w:val="Heading1"/>
        <w:spacing w:after="120" w:before="240"/>
      </w:pPr>
      <w:r>
        <w:rPr>
          <w:rFonts w:ascii="Arial" w:cs="Arial" w:eastAsia="Arial" w:hAnsi="Arial"/>
          <w:b/>
          <w:bCs/>
          <w:color w:val="1F4E79"/>
          <w:sz w:val="30"/>
          <w:szCs w:val="30"/>
        </w:rPr>
        <w:t xml:space="preserve">Vitamin B1 (Thiamine)</w:t>
      </w:r>
    </w:p>
    <w:p>
      <w:pPr>
        <w:pStyle w:val="Heading2"/>
        <w:spacing w:after="120" w:before="240"/>
      </w:pPr>
      <w:r>
        <w:rPr>
          <w:rFonts w:ascii="Arial" w:cs="Arial" w:eastAsia="Arial" w:hAnsi="Arial"/>
          <w:b/>
          <w:bCs/>
          <w:color w:val="2E75B6"/>
          <w:sz w:val="26"/>
          <w:szCs w:val="26"/>
        </w:rPr>
        <w:t xml:space="preserve">Biochemistry &amp; Activation</w:t>
      </w:r>
    </w:p>
    <w:p>
      <w:pPr>
        <w:spacing w:after="160"/>
      </w:pPr>
      <w:r>
        <w:rPr>
          <w:rFonts w:ascii="Arial" w:cs="Arial" w:eastAsia="Arial" w:hAnsi="Arial"/>
          <w:b w:val="false"/>
          <w:bCs w:val="false"/>
          <w:i w:val="false"/>
          <w:iCs w:val="false"/>
          <w:sz w:val="22"/>
          <w:szCs w:val="22"/>
        </w:rPr>
        <w:t xml:space="preserve">Thiamine is phosphorylated intracellularly to </w:t>
      </w:r>
      <w:r>
        <w:rPr>
          <w:rFonts w:ascii="Arial" w:cs="Arial" w:eastAsia="Arial" w:hAnsi="Arial"/>
          <w:b/>
          <w:bCs/>
          <w:i w:val="false"/>
          <w:iCs w:val="false"/>
          <w:sz w:val="22"/>
          <w:szCs w:val="22"/>
        </w:rPr>
        <w:t xml:space="preserve">thiamine pyrophosphate (TPP)</w:t>
      </w:r>
      <w:r>
        <w:rPr>
          <w:rFonts w:ascii="Arial" w:cs="Arial" w:eastAsia="Arial" w:hAnsi="Arial"/>
          <w:b w:val="false"/>
          <w:bCs w:val="false"/>
          <w:i w:val="false"/>
          <w:iCs w:val="false"/>
          <w:sz w:val="22"/>
          <w:szCs w:val="22"/>
        </w:rPr>
        <w:t xml:space="preserve">, a cofactor for dehydrogenase complexes essential to aerobic glucose metabolism:</w:t>
      </w:r>
    </w:p>
    <w:p>
      <w:pPr>
        <w:pStyle w:val="ListParagraph"/>
        <w:numPr>
          <w:ilvl w:val="0"/>
          <w:numId w:val="1"/>
        </w:numPr>
        <w:spacing w:after="80"/>
      </w:pPr>
      <w:r>
        <w:rPr>
          <w:rFonts w:ascii="Arial" w:cs="Arial" w:eastAsia="Arial" w:hAnsi="Arial"/>
          <w:b/>
          <w:bCs/>
          <w:i w:val="false"/>
          <w:iCs w:val="false"/>
          <w:sz w:val="22"/>
          <w:szCs w:val="22"/>
        </w:rPr>
        <w:t xml:space="preserve">Pyruvate dehydrogenase (PDH)</w:t>
      </w:r>
      <w:r>
        <w:rPr>
          <w:rFonts w:ascii="Arial" w:cs="Arial" w:eastAsia="Arial" w:hAnsi="Arial"/>
          <w:b w:val="false"/>
          <w:bCs w:val="false"/>
          <w:i w:val="false"/>
          <w:iCs w:val="false"/>
          <w:sz w:val="22"/>
          <w:szCs w:val="22"/>
        </w:rPr>
        <w:t xml:space="preserve">: pyruvate → acetyl-CoA (links glycolysis to TCA cycle)</w:t>
      </w:r>
    </w:p>
    <w:p>
      <w:pPr>
        <w:pStyle w:val="ListParagraph"/>
        <w:numPr>
          <w:ilvl w:val="0"/>
          <w:numId w:val="1"/>
        </w:numPr>
        <w:spacing w:after="80"/>
      </w:pPr>
      <w:r>
        <w:rPr>
          <w:rFonts w:ascii="Arial" w:cs="Arial" w:eastAsia="Arial" w:hAnsi="Arial"/>
          <w:b/>
          <w:bCs/>
          <w:i w:val="false"/>
          <w:iCs w:val="false"/>
          <w:sz w:val="22"/>
          <w:szCs w:val="22"/>
        </w:rPr>
        <w:t xml:space="preserve">α-Ketoglutarate (α-KG) dehydrogenase</w:t>
      </w:r>
      <w:r>
        <w:rPr>
          <w:rFonts w:ascii="Arial" w:cs="Arial" w:eastAsia="Arial" w:hAnsi="Arial"/>
          <w:b w:val="false"/>
          <w:bCs w:val="false"/>
          <w:i w:val="false"/>
          <w:iCs w:val="false"/>
          <w:sz w:val="22"/>
          <w:szCs w:val="22"/>
        </w:rPr>
        <w:t xml:space="preserve">: α-KG → succinyl-CoA (TCA cycle)</w:t>
      </w:r>
    </w:p>
    <w:p>
      <w:pPr>
        <w:pStyle w:val="ListParagraph"/>
        <w:numPr>
          <w:ilvl w:val="0"/>
          <w:numId w:val="1"/>
        </w:numPr>
        <w:spacing w:after="80"/>
      </w:pPr>
      <w:r>
        <w:rPr>
          <w:rFonts w:ascii="Arial" w:cs="Arial" w:eastAsia="Arial" w:hAnsi="Arial"/>
          <w:b/>
          <w:bCs/>
          <w:i w:val="false"/>
          <w:iCs w:val="false"/>
          <w:sz w:val="22"/>
          <w:szCs w:val="22"/>
        </w:rPr>
        <w:t xml:space="preserve">Transketolase</w:t>
      </w:r>
      <w:r>
        <w:rPr>
          <w:rFonts w:ascii="Arial" w:cs="Arial" w:eastAsia="Arial" w:hAnsi="Arial"/>
          <w:b w:val="false"/>
          <w:bCs w:val="false"/>
          <w:i w:val="false"/>
          <w:iCs w:val="false"/>
          <w:sz w:val="22"/>
          <w:szCs w:val="22"/>
        </w:rPr>
        <w:t xml:space="preserve">: pentose phosphate pathway; RBC transketolase activity is the laboratory marker for deficiency</w:t>
      </w:r>
    </w:p>
    <w:p>
      <w:pPr>
        <w:pStyle w:val="ListParagraph"/>
        <w:numPr>
          <w:ilvl w:val="0"/>
          <w:numId w:val="1"/>
        </w:numPr>
        <w:spacing w:after="80"/>
      </w:pPr>
      <w:r>
        <w:rPr>
          <w:rFonts w:ascii="Arial" w:cs="Arial" w:eastAsia="Arial" w:hAnsi="Arial"/>
          <w:b/>
          <w:bCs/>
          <w:i w:val="false"/>
          <w:iCs w:val="false"/>
          <w:sz w:val="22"/>
          <w:szCs w:val="22"/>
        </w:rPr>
        <w:t xml:space="preserve">Branched-chain α-keto acid (BCAA) dehydrogenase</w:t>
      </w:r>
      <w:r>
        <w:rPr>
          <w:rFonts w:ascii="Arial" w:cs="Arial" w:eastAsia="Arial" w:hAnsi="Arial"/>
          <w:b w:val="false"/>
          <w:bCs w:val="false"/>
          <w:i w:val="false"/>
          <w:iCs w:val="false"/>
          <w:sz w:val="22"/>
          <w:szCs w:val="22"/>
        </w:rPr>
        <w:t xml:space="preserve">: BCAA catabolism</w:t>
      </w:r>
    </w:p>
    <w:p>
      <w:pPr>
        <w:pStyle w:val="Heading2"/>
        <w:spacing w:after="120" w:before="240"/>
      </w:pPr>
      <w:r>
        <w:rPr>
          <w:rFonts w:ascii="Arial" w:cs="Arial" w:eastAsia="Arial" w:hAnsi="Arial"/>
          <w:b/>
          <w:bCs/>
          <w:color w:val="2E75B6"/>
          <w:sz w:val="26"/>
          <w:szCs w:val="26"/>
        </w:rPr>
        <w:t xml:space="preserve">Deficiency (Beriberi and Wernicke-Korsakoff Syndrome)</w:t>
      </w:r>
    </w:p>
    <w:p>
      <w:pPr>
        <w:pStyle w:val="ListParagraph"/>
        <w:numPr>
          <w:ilvl w:val="0"/>
          <w:numId w:val="1"/>
        </w:numPr>
        <w:spacing w:after="80"/>
      </w:pPr>
      <w:r>
        <w:rPr>
          <w:rFonts w:ascii="Arial" w:cs="Arial" w:eastAsia="Arial" w:hAnsi="Arial"/>
          <w:b w:val="false"/>
          <w:bCs w:val="false"/>
          <w:i w:val="false"/>
          <w:iCs w:val="false"/>
          <w:sz w:val="22"/>
          <w:szCs w:val="22"/>
        </w:rPr>
        <w:t xml:space="preserve">Impaired TPP-dependent enzymes block aerobic metabolism and drive lactic acidosis</w:t>
      </w:r>
    </w:p>
    <w:p>
      <w:pPr>
        <w:pStyle w:val="ListParagraph"/>
        <w:numPr>
          <w:ilvl w:val="0"/>
          <w:numId w:val="1"/>
        </w:numPr>
        <w:spacing w:after="80"/>
      </w:pPr>
      <w:r>
        <w:rPr>
          <w:rFonts w:ascii="Arial" w:cs="Arial" w:eastAsia="Arial" w:hAnsi="Arial"/>
          <w:b w:val="false"/>
          <w:bCs w:val="false"/>
          <w:i w:val="false"/>
          <w:iCs w:val="false"/>
          <w:sz w:val="22"/>
          <w:szCs w:val="22"/>
        </w:rPr>
        <w:t xml:space="preserve">Four classic presentations: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000000" w:sz="4"/>
              <w:left w:val="single" w:color="000000" w:sz="4"/>
              <w:bottom w:val="single" w:color="000000" w:sz="4"/>
              <w:right w:val="single" w:color="000000" w:sz="4"/>
            </w:tcBorders>
          </w:tcPr>
          <w:p>
            <w:pPr>
              <w:jc w:val="center"/>
            </w:pPr>
            <w:r>
              <w:rPr>
                <w:rFonts w:ascii="Arial" w:cs="Arial" w:eastAsia="Arial" w:hAnsi="Arial"/>
                <w:b/>
                <w:bCs/>
                <w:sz w:val="20"/>
                <w:szCs w:val="20"/>
              </w:rPr>
              <w:t xml:space="preserve">Vitamin B1 (Thiamine) Deficiency Syndromes</w:t>
            </w:r>
          </w:p>
        </w:tc>
      </w:tr>
      <w:tr>
        <w:tc>
          <w:tcPr>
            <w:tcW w:type="dxa" w:w="25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Syndrome</w:t>
            </w:r>
          </w:p>
        </w:tc>
        <w:tc>
          <w:tcPr>
            <w:tcW w:type="dxa" w:w="68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Clinical Features</w:t>
            </w:r>
          </w:p>
        </w:tc>
      </w:tr>
      <w:tr>
        <w:tc>
          <w:tcPr>
            <w:tcW w:type="dxa" w:w="25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Dry Beriberi</w:t>
            </w:r>
          </w:p>
        </w:tc>
        <w:tc>
          <w:tcPr>
            <w:tcW w:type="dxa" w:w="68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Symmetric sensorimotor peripheral neuropathy with motor weakness</w:t>
            </w:r>
          </w:p>
          <w:p>
            <w:pPr>
              <w:pStyle w:val="ListParagraph"/>
              <w:numPr>
                <w:ilvl w:val="0"/>
                <w:numId w:val="1"/>
              </w:numPr>
              <w:jc w:val="left"/>
            </w:pPr>
            <w:r>
              <w:rPr>
                <w:rFonts w:ascii="Arial" w:cs="Arial" w:eastAsia="Arial" w:hAnsi="Arial"/>
                <w:b w:val="false"/>
                <w:bCs w:val="false"/>
                <w:i w:val="false"/>
                <w:iCs w:val="false"/>
                <w:sz w:val="20"/>
                <w:szCs w:val="20"/>
              </w:rPr>
              <w:t xml:space="preserve">Slow-onset deficiency</w:t>
            </w:r>
          </w:p>
        </w:tc>
      </w:tr>
      <w:tr>
        <w:tc>
          <w:tcPr>
            <w:tcW w:type="dxa" w:w="25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Wet Beriberi</w:t>
            </w:r>
          </w:p>
        </w:tc>
        <w:tc>
          <w:tcPr>
            <w:tcW w:type="dxa" w:w="68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High-output cardiac failure with dilated cardiomyopathy</w:t>
            </w:r>
          </w:p>
          <w:p>
            <w:pPr>
              <w:pStyle w:val="ListParagraph"/>
              <w:numPr>
                <w:ilvl w:val="0"/>
                <w:numId w:val="1"/>
              </w:numPr>
              <w:jc w:val="left"/>
            </w:pPr>
            <w:r>
              <w:rPr>
                <w:rFonts w:ascii="Arial" w:cs="Arial" w:eastAsia="Arial" w:hAnsi="Arial"/>
                <w:b w:val="false"/>
                <w:bCs w:val="false"/>
                <w:i w:val="false"/>
                <w:iCs w:val="false"/>
                <w:sz w:val="20"/>
                <w:szCs w:val="20"/>
              </w:rPr>
              <w:t xml:space="preserve">Peripheral edema and vasodilation</w:t>
            </w:r>
          </w:p>
          <w:p>
            <w:pPr>
              <w:pStyle w:val="ListParagraph"/>
              <w:numPr>
                <w:ilvl w:val="0"/>
                <w:numId w:val="1"/>
              </w:numPr>
              <w:jc w:val="left"/>
            </w:pPr>
            <w:r>
              <w:rPr>
                <w:rFonts w:ascii="Arial" w:cs="Arial" w:eastAsia="Arial" w:hAnsi="Arial"/>
                <w:b w:val="false"/>
                <w:bCs w:val="false"/>
                <w:i w:val="false"/>
                <w:iCs w:val="false"/>
                <w:sz w:val="20"/>
                <w:szCs w:val="20"/>
              </w:rPr>
              <w:t xml:space="preserve">Tachycardia</w:t>
            </w:r>
          </w:p>
          <w:p>
            <w:pPr>
              <w:pStyle w:val="ListParagraph"/>
              <w:numPr>
                <w:ilvl w:val="0"/>
                <w:numId w:val="1"/>
              </w:numPr>
              <w:jc w:val="left"/>
            </w:pPr>
            <w:r>
              <w:rPr>
                <w:rFonts w:ascii="Arial" w:cs="Arial" w:eastAsia="Arial" w:hAnsi="Arial"/>
                <w:b w:val="false"/>
                <w:bCs w:val="false"/>
                <w:i w:val="false"/>
                <w:iCs w:val="false"/>
                <w:sz w:val="20"/>
                <w:szCs w:val="20"/>
              </w:rPr>
              <w:t xml:space="preserve">Acute-onset deficiency</w:t>
            </w:r>
          </w:p>
        </w:tc>
      </w:tr>
      <w:tr>
        <w:tc>
          <w:tcPr>
            <w:tcW w:type="dxa" w:w="25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Wernicke Encephalopathy</w:t>
            </w:r>
          </w:p>
        </w:tc>
        <w:tc>
          <w:tcPr>
            <w:tcW w:type="dxa" w:w="68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bCs/>
                <w:i w:val="false"/>
                <w:iCs w:val="false"/>
                <w:sz w:val="20"/>
                <w:szCs w:val="20"/>
              </w:rPr>
              <w:t xml:space="preserve">Triad: confusion, ophthalmoplegia, ataxia</w:t>
            </w:r>
            <w:r>
              <w:rPr>
                <w:rFonts w:ascii="Arial" w:cs="Arial" w:eastAsia="Arial" w:hAnsi="Arial"/>
                <w:b w:val="false"/>
                <w:bCs w:val="false"/>
                <w:i w:val="false"/>
                <w:iCs w:val="false"/>
                <w:sz w:val="20"/>
                <w:szCs w:val="20"/>
              </w:rPr>
              <w:t xml:space="preserve"> (all three present in fewer than 20% of cases)</w:t>
            </w:r>
          </w:p>
          <w:p>
            <w:pPr>
              <w:pStyle w:val="ListParagraph"/>
              <w:numPr>
                <w:ilvl w:val="0"/>
                <w:numId w:val="1"/>
              </w:numPr>
              <w:jc w:val="left"/>
            </w:pPr>
            <w:r>
              <w:rPr>
                <w:rFonts w:ascii="Arial" w:cs="Arial" w:eastAsia="Arial" w:hAnsi="Arial"/>
                <w:b w:val="false"/>
                <w:bCs w:val="false"/>
                <w:i w:val="false"/>
                <w:iCs w:val="false"/>
                <w:sz w:val="20"/>
                <w:szCs w:val="20"/>
              </w:rPr>
              <w:t xml:space="preserve">MRI: T2 hyperintensities in mammillary bodies and periaqueductal gray</w:t>
            </w:r>
          </w:p>
          <w:p>
            <w:pPr>
              <w:pStyle w:val="ListParagraph"/>
              <w:numPr>
                <w:ilvl w:val="0"/>
                <w:numId w:val="1"/>
              </w:numPr>
              <w:jc w:val="left"/>
            </w:pPr>
            <w:r>
              <w:rPr>
                <w:rFonts w:ascii="Arial" w:cs="Arial" w:eastAsia="Arial" w:hAnsi="Arial"/>
                <w:b w:val="false"/>
                <w:bCs w:val="false"/>
                <w:i w:val="false"/>
                <w:iCs w:val="false"/>
                <w:sz w:val="20"/>
                <w:szCs w:val="20"/>
              </w:rPr>
              <w:t xml:space="preserve">Management: </w:t>
            </w:r>
            <w:r>
              <w:rPr>
                <w:rFonts w:ascii="Arial" w:cs="Arial" w:eastAsia="Arial" w:hAnsi="Arial"/>
                <w:b/>
                <w:bCs/>
                <w:i w:val="false"/>
                <w:iCs w:val="false"/>
                <w:sz w:val="20"/>
                <w:szCs w:val="20"/>
              </w:rPr>
              <w:t xml:space="preserve">give IV thiamine before glucose</w:t>
            </w:r>
            <w:r>
              <w:rPr>
                <w:rFonts w:ascii="Arial" w:cs="Arial" w:eastAsia="Arial" w:hAnsi="Arial"/>
                <w:b w:val="false"/>
                <w:bCs w:val="false"/>
                <w:i w:val="false"/>
                <w:iCs w:val="false"/>
                <w:sz w:val="20"/>
                <w:szCs w:val="20"/>
              </w:rPr>
              <w:t xml:space="preserve"> (glucose alone can precipitate encephalopathy in thiamine-deficient patients)</w:t>
            </w:r>
          </w:p>
        </w:tc>
      </w:tr>
      <w:tr>
        <w:tc>
          <w:tcPr>
            <w:tcW w:type="dxa" w:w="25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Korsakoff Syndrome</w:t>
            </w:r>
          </w:p>
        </w:tc>
        <w:tc>
          <w:tcPr>
            <w:tcW w:type="dxa" w:w="68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Irreversible</w:t>
            </w:r>
          </w:p>
          <w:p>
            <w:pPr>
              <w:pStyle w:val="ListParagraph"/>
              <w:numPr>
                <w:ilvl w:val="0"/>
                <w:numId w:val="1"/>
              </w:numPr>
              <w:jc w:val="left"/>
            </w:pPr>
            <w:r>
              <w:rPr>
                <w:rFonts w:ascii="Arial" w:cs="Arial" w:eastAsia="Arial" w:hAnsi="Arial"/>
                <w:b w:val="false"/>
                <w:bCs w:val="false"/>
                <w:i w:val="false"/>
                <w:iCs w:val="false"/>
                <w:sz w:val="20"/>
                <w:szCs w:val="20"/>
              </w:rPr>
              <w:t xml:space="preserve">Follows untreated Wernicke</w:t>
            </w:r>
          </w:p>
          <w:p>
            <w:pPr>
              <w:pStyle w:val="ListParagraph"/>
              <w:numPr>
                <w:ilvl w:val="0"/>
                <w:numId w:val="1"/>
              </w:numPr>
              <w:jc w:val="left"/>
            </w:pPr>
            <w:r>
              <w:rPr>
                <w:rFonts w:ascii="Arial" w:cs="Arial" w:eastAsia="Arial" w:hAnsi="Arial"/>
                <w:b w:val="false"/>
                <w:bCs w:val="false"/>
                <w:i w:val="false"/>
                <w:iCs w:val="false"/>
                <w:sz w:val="20"/>
                <w:szCs w:val="20"/>
              </w:rPr>
              <w:t xml:space="preserve">Anterograde → retrograde amnesia</w:t>
            </w:r>
          </w:p>
          <w:p>
            <w:pPr>
              <w:pStyle w:val="ListParagraph"/>
              <w:numPr>
                <w:ilvl w:val="0"/>
                <w:numId w:val="1"/>
              </w:numPr>
              <w:jc w:val="left"/>
            </w:pPr>
            <w:r>
              <w:rPr>
                <w:rFonts w:ascii="Arial" w:cs="Arial" w:eastAsia="Arial" w:hAnsi="Arial"/>
                <w:b w:val="false"/>
                <w:bCs w:val="false"/>
                <w:i w:val="false"/>
                <w:iCs w:val="false"/>
                <w:sz w:val="20"/>
                <w:szCs w:val="20"/>
              </w:rPr>
              <w:t xml:space="preserve">Confabulation</w:t>
            </w:r>
          </w:p>
          <w:p>
            <w:pPr>
              <w:pStyle w:val="ListParagraph"/>
              <w:numPr>
                <w:ilvl w:val="0"/>
                <w:numId w:val="1"/>
              </w:numPr>
              <w:jc w:val="left"/>
            </w:pPr>
            <w:r>
              <w:rPr>
                <w:rFonts w:ascii="Arial" w:cs="Arial" w:eastAsia="Arial" w:hAnsi="Arial"/>
                <w:b w:val="false"/>
                <w:bCs w:val="false"/>
                <w:i w:val="false"/>
                <w:iCs w:val="false"/>
                <w:sz w:val="20"/>
                <w:szCs w:val="20"/>
              </w:rPr>
              <w:t xml:space="preserve">Preserved consciousness</w:t>
            </w:r>
          </w:p>
        </w:tc>
      </w:tr>
    </w:tbl>
    <w:p>
      <w:pPr>
        <w:pStyle w:val="Heading1"/>
        <w:spacing w:after="120" w:before="240"/>
      </w:pPr>
      <w:r>
        <w:rPr>
          <w:rFonts w:ascii="Arial" w:cs="Arial" w:eastAsia="Arial" w:hAnsi="Arial"/>
          <w:b/>
          <w:bCs/>
          <w:color w:val="1F4E79"/>
          <w:sz w:val="30"/>
          <w:szCs w:val="30"/>
        </w:rPr>
        <w:t xml:space="preserve">Vitamin B2 (Riboflavin)</w:t>
      </w:r>
    </w:p>
    <w:p>
      <w:pPr>
        <w:pStyle w:val="Heading2"/>
        <w:spacing w:after="120" w:before="240"/>
      </w:pPr>
      <w:r>
        <w:rPr>
          <w:rFonts w:ascii="Arial" w:cs="Arial" w:eastAsia="Arial" w:hAnsi="Arial"/>
          <w:b/>
          <w:bCs/>
          <w:color w:val="2E75B6"/>
          <w:sz w:val="26"/>
          <w:szCs w:val="26"/>
        </w:rPr>
        <w:t xml:space="preserve">Biochemistry &amp; Activation</w:t>
      </w:r>
    </w:p>
    <w:p>
      <w:pPr>
        <w:pStyle w:val="ListParagraph"/>
        <w:numPr>
          <w:ilvl w:val="0"/>
          <w:numId w:val="1"/>
        </w:numPr>
        <w:spacing w:after="80"/>
      </w:pPr>
      <w:r>
        <w:rPr>
          <w:rFonts w:ascii="Arial" w:cs="Arial" w:eastAsia="Arial" w:hAnsi="Arial"/>
          <w:b w:val="false"/>
          <w:bCs w:val="false"/>
          <w:i w:val="false"/>
          <w:iCs w:val="false"/>
          <w:sz w:val="22"/>
          <w:szCs w:val="22"/>
        </w:rPr>
        <w:t xml:space="preserve">Riboflavin is the precursor for </w:t>
      </w:r>
      <w:r>
        <w:rPr>
          <w:rFonts w:ascii="Arial" w:cs="Arial" w:eastAsia="Arial" w:hAnsi="Arial"/>
          <w:b/>
          <w:bCs/>
          <w:i w:val="false"/>
          <w:iCs w:val="false"/>
          <w:sz w:val="22"/>
          <w:szCs w:val="22"/>
        </w:rPr>
        <w:t xml:space="preserve">flavin adenine dinucleotide (FAD)</w:t>
      </w:r>
      <w:r>
        <w:rPr>
          <w:rFonts w:ascii="Arial" w:cs="Arial" w:eastAsia="Arial" w:hAnsi="Arial"/>
          <w:b w:val="false"/>
          <w:bCs w:val="false"/>
          <w:i w:val="false"/>
          <w:iCs w:val="false"/>
          <w:sz w:val="22"/>
          <w:szCs w:val="22"/>
        </w:rPr>
        <w:t xml:space="preserve"> and </w:t>
      </w:r>
      <w:r>
        <w:rPr>
          <w:rFonts w:ascii="Arial" w:cs="Arial" w:eastAsia="Arial" w:hAnsi="Arial"/>
          <w:b/>
          <w:bCs/>
          <w:i w:val="false"/>
          <w:iCs w:val="false"/>
          <w:sz w:val="22"/>
          <w:szCs w:val="22"/>
        </w:rPr>
        <w:t xml:space="preserve">flavin mononucleotide (FMN)</w:t>
      </w:r>
      <w:r>
        <w:rPr>
          <w:rFonts w:ascii="Arial" w:cs="Arial" w:eastAsia="Arial" w:hAnsi="Arial"/>
          <w:b w:val="false"/>
          <w:bCs w:val="false"/>
          <w:i w:val="false"/>
          <w:iCs w:val="false"/>
          <w:sz w:val="22"/>
          <w:szCs w:val="22"/>
        </w:rPr>
        <w:t xml:space="preserve">, electron carriers in oxidation-reduction reactions</w:t>
      </w:r>
    </w:p>
    <w:p>
      <w:pPr>
        <w:pStyle w:val="ListParagraph"/>
        <w:numPr>
          <w:ilvl w:val="0"/>
          <w:numId w:val="1"/>
        </w:numPr>
        <w:spacing w:after="80"/>
      </w:pPr>
      <w:r>
        <w:rPr>
          <w:rFonts w:ascii="Arial" w:cs="Arial" w:eastAsia="Arial" w:hAnsi="Arial"/>
          <w:b w:val="false"/>
          <w:bCs w:val="false"/>
          <w:i w:val="false"/>
          <w:iCs w:val="false"/>
          <w:sz w:val="22"/>
          <w:szCs w:val="22"/>
        </w:rPr>
        <w:t xml:space="preserve">Key roles include complex II of the electron transport chain (succinate dehydrogenase), fatty acid β-oxidation, and the TCA cycle</w:t>
      </w:r>
    </w:p>
    <w:p>
      <w:pPr>
        <w:pStyle w:val="ListParagraph"/>
        <w:numPr>
          <w:ilvl w:val="0"/>
          <w:numId w:val="1"/>
        </w:numPr>
        <w:spacing w:after="80"/>
      </w:pPr>
      <w:r>
        <w:rPr>
          <w:rFonts w:ascii="Arial" w:cs="Arial" w:eastAsia="Arial" w:hAnsi="Arial"/>
          <w:b w:val="false"/>
          <w:bCs w:val="false"/>
          <w:i w:val="false"/>
          <w:iCs w:val="false"/>
          <w:sz w:val="22"/>
          <w:szCs w:val="22"/>
        </w:rPr>
        <w:t xml:space="preserve">Riboflavin also activates vitamins B6 and B9; its deficiency can therefore impair those pathways secondarily</w:t>
      </w:r>
    </w:p>
    <w:p>
      <w:pPr>
        <w:pStyle w:val="Heading2"/>
        <w:spacing w:after="120" w:before="240"/>
      </w:pPr>
      <w:r>
        <w:rPr>
          <w:rFonts w:ascii="Arial" w:cs="Arial" w:eastAsia="Arial" w:hAnsi="Arial"/>
          <w:b/>
          <w:bCs/>
          <w:color w:val="2E75B6"/>
          <w:sz w:val="26"/>
          <w:szCs w:val="26"/>
        </w:rPr>
        <w:t xml:space="preserve">Deficiency</w:t>
      </w:r>
    </w:p>
    <w:p>
      <w:pPr>
        <w:spacing w:after="160"/>
      </w:pPr>
      <w:r>
        <w:rPr>
          <w:rFonts w:ascii="Arial" w:cs="Arial" w:eastAsia="Arial" w:hAnsi="Arial"/>
          <w:b w:val="false"/>
          <w:bCs w:val="false"/>
          <w:i w:val="false"/>
          <w:iCs w:val="false"/>
          <w:sz w:val="22"/>
          <w:szCs w:val="22"/>
        </w:rPr>
        <w:t xml:space="preserve">Classic triad:</w:t>
      </w:r>
    </w:p>
    <w:p>
      <w:pPr>
        <w:pStyle w:val="ListParagraph"/>
        <w:numPr>
          <w:ilvl w:val="0"/>
          <w:numId w:val="1"/>
        </w:numPr>
        <w:spacing w:after="80"/>
      </w:pPr>
      <w:r>
        <w:rPr>
          <w:rFonts w:ascii="Arial" w:cs="Arial" w:eastAsia="Arial" w:hAnsi="Arial"/>
          <w:b/>
          <w:bCs/>
          <w:i w:val="false"/>
          <w:iCs w:val="false"/>
          <w:sz w:val="22"/>
          <w:szCs w:val="22"/>
        </w:rPr>
        <w:t xml:space="preserve">Angular cheilitis</w:t>
      </w:r>
      <w:r>
        <w:rPr>
          <w:rFonts w:ascii="Arial" w:cs="Arial" w:eastAsia="Arial" w:hAnsi="Arial"/>
          <w:b w:val="false"/>
          <w:bCs w:val="false"/>
          <w:i w:val="false"/>
          <w:iCs w:val="false"/>
          <w:sz w:val="22"/>
          <w:szCs w:val="22"/>
        </w:rPr>
        <w:t xml:space="preserve"> (fissures at corners of the mouth)</w:t>
      </w:r>
    </w:p>
    <w:p>
      <w:pPr>
        <w:pStyle w:val="ListParagraph"/>
        <w:numPr>
          <w:ilvl w:val="0"/>
          <w:numId w:val="1"/>
        </w:numPr>
        <w:spacing w:after="80"/>
      </w:pPr>
      <w:r>
        <w:rPr>
          <w:rFonts w:ascii="Arial" w:cs="Arial" w:eastAsia="Arial" w:hAnsi="Arial"/>
          <w:b/>
          <w:bCs/>
          <w:i w:val="false"/>
          <w:iCs w:val="false"/>
          <w:sz w:val="22"/>
          <w:szCs w:val="22"/>
        </w:rPr>
        <w:t xml:space="preserve">Glossitis</w:t>
      </w:r>
      <w:r>
        <w:rPr>
          <w:rFonts w:ascii="Arial" w:cs="Arial" w:eastAsia="Arial" w:hAnsi="Arial"/>
          <w:b w:val="false"/>
          <w:bCs w:val="false"/>
          <w:i w:val="false"/>
          <w:iCs w:val="false"/>
          <w:sz w:val="22"/>
          <w:szCs w:val="22"/>
        </w:rPr>
        <w:t xml:space="preserve"> (erythematous, swollen tongue)</w:t>
      </w:r>
    </w:p>
    <w:p>
      <w:pPr>
        <w:pStyle w:val="ListParagraph"/>
        <w:numPr>
          <w:ilvl w:val="0"/>
          <w:numId w:val="1"/>
        </w:numPr>
        <w:spacing w:after="80"/>
      </w:pPr>
      <w:r>
        <w:rPr>
          <w:rFonts w:ascii="Arial" w:cs="Arial" w:eastAsia="Arial" w:hAnsi="Arial"/>
          <w:b/>
          <w:bCs/>
          <w:i w:val="false"/>
          <w:iCs w:val="false"/>
          <w:sz w:val="22"/>
          <w:szCs w:val="22"/>
        </w:rPr>
        <w:t xml:space="preserve">Stomatitis</w:t>
      </w:r>
    </w:p>
    <w:p>
      <w:pPr>
        <w:pStyle w:val="ListParagraph"/>
        <w:numPr>
          <w:ilvl w:val="0"/>
          <w:numId w:val="1"/>
        </w:numPr>
        <w:spacing w:after="80"/>
      </w:pPr>
      <w:r>
        <w:rPr>
          <w:rFonts w:ascii="Arial" w:cs="Arial" w:eastAsia="Arial" w:hAnsi="Arial"/>
          <w:b w:val="false"/>
          <w:bCs w:val="false"/>
          <w:i w:val="false"/>
          <w:iCs w:val="false"/>
          <w:sz w:val="22"/>
          <w:szCs w:val="22"/>
        </w:rPr>
        <w:t xml:space="preserve">Additional findings include </w:t>
      </w:r>
      <w:r>
        <w:rPr>
          <w:rFonts w:ascii="Arial" w:cs="Arial" w:eastAsia="Arial" w:hAnsi="Arial"/>
          <w:b/>
          <w:bCs/>
          <w:i w:val="false"/>
          <w:iCs w:val="false"/>
          <w:sz w:val="22"/>
          <w:szCs w:val="22"/>
        </w:rPr>
        <w:t xml:space="preserve">seborrheic dermatitis</w:t>
      </w:r>
      <w:r>
        <w:rPr>
          <w:rFonts w:ascii="Arial" w:cs="Arial" w:eastAsia="Arial" w:hAnsi="Arial"/>
          <w:b w:val="false"/>
          <w:bCs w:val="false"/>
          <w:i w:val="false"/>
          <w:iCs w:val="false"/>
          <w:sz w:val="22"/>
          <w:szCs w:val="22"/>
        </w:rPr>
        <w:t xml:space="preserve"> and </w:t>
      </w:r>
      <w:r>
        <w:rPr>
          <w:rFonts w:ascii="Arial" w:cs="Arial" w:eastAsia="Arial" w:hAnsi="Arial"/>
          <w:b/>
          <w:bCs/>
          <w:i w:val="false"/>
          <w:iCs w:val="false"/>
          <w:sz w:val="22"/>
          <w:szCs w:val="22"/>
        </w:rPr>
        <w:t xml:space="preserve">corneal vascularization</w:t>
      </w:r>
    </w:p>
    <w:p>
      <w:pPr>
        <w:pStyle w:val="Heading1"/>
        <w:spacing w:after="120" w:before="240"/>
      </w:pPr>
      <w:r>
        <w:rPr>
          <w:rFonts w:ascii="Arial" w:cs="Arial" w:eastAsia="Arial" w:hAnsi="Arial"/>
          <w:b/>
          <w:bCs/>
          <w:color w:val="1F4E79"/>
          <w:sz w:val="30"/>
          <w:szCs w:val="30"/>
        </w:rPr>
        <w:t xml:space="preserve">Vitamin B3 (Niacin)</w:t>
      </w:r>
    </w:p>
    <w:p>
      <w:pPr>
        <w:pStyle w:val="Heading2"/>
        <w:spacing w:after="120" w:before="240"/>
      </w:pPr>
      <w:r>
        <w:rPr>
          <w:rFonts w:ascii="Arial" w:cs="Arial" w:eastAsia="Arial" w:hAnsi="Arial"/>
          <w:b/>
          <w:bCs/>
          <w:color w:val="2E75B6"/>
          <w:sz w:val="26"/>
          <w:szCs w:val="26"/>
        </w:rPr>
        <w:t xml:space="preserve">Biochemistry &amp; Activation</w:t>
      </w:r>
    </w:p>
    <w:p>
      <w:pPr>
        <w:pStyle w:val="ListParagraph"/>
        <w:numPr>
          <w:ilvl w:val="0"/>
          <w:numId w:val="1"/>
        </w:numPr>
        <w:spacing w:after="80"/>
      </w:pPr>
      <w:r>
        <w:rPr>
          <w:rFonts w:ascii="Arial" w:cs="Arial" w:eastAsia="Arial" w:hAnsi="Arial"/>
          <w:b w:val="false"/>
          <w:bCs w:val="false"/>
          <w:i w:val="false"/>
          <w:iCs w:val="false"/>
          <w:sz w:val="22"/>
          <w:szCs w:val="22"/>
        </w:rPr>
        <w:t xml:space="preserve">Niacin is the precursor for </w:t>
      </w:r>
      <w:r>
        <w:rPr>
          <w:rFonts w:ascii="Arial" w:cs="Arial" w:eastAsia="Arial" w:hAnsi="Arial"/>
          <w:b/>
          <w:bCs/>
          <w:i w:val="false"/>
          <w:iCs w:val="false"/>
          <w:sz w:val="22"/>
          <w:szCs w:val="22"/>
        </w:rPr>
        <w:t xml:space="preserve">NAD+</w:t>
      </w:r>
      <w:r>
        <w:rPr>
          <w:rFonts w:ascii="Arial" w:cs="Arial" w:eastAsia="Arial" w:hAnsi="Arial"/>
          <w:b w:val="false"/>
          <w:bCs w:val="false"/>
          <w:i w:val="false"/>
          <w:iCs w:val="false"/>
          <w:sz w:val="22"/>
          <w:szCs w:val="22"/>
        </w:rPr>
        <w:t xml:space="preserve"> and </w:t>
      </w:r>
      <w:r>
        <w:rPr>
          <w:rFonts w:ascii="Arial" w:cs="Arial" w:eastAsia="Arial" w:hAnsi="Arial"/>
          <w:b/>
          <w:bCs/>
          <w:i w:val="false"/>
          <w:iCs w:val="false"/>
          <w:sz w:val="22"/>
          <w:szCs w:val="22"/>
        </w:rPr>
        <w:t xml:space="preserve">NADP+</w:t>
      </w:r>
      <w:r>
        <w:rPr>
          <w:rFonts w:ascii="Arial" w:cs="Arial" w:eastAsia="Arial" w:hAnsi="Arial"/>
          <w:b w:val="false"/>
          <w:bCs w:val="false"/>
          <w:i w:val="false"/>
          <w:iCs w:val="false"/>
          <w:sz w:val="22"/>
          <w:szCs w:val="22"/>
        </w:rPr>
        <w:t xml:space="preserve">, the most widely used electron carriers in metabolism. NAD+ accepts electrons in catabolism (glycolysis, TCA cycle, β-oxidation); NADP+ drives anabolic reactions (fatty acid synthesis, pentose phosphate pathway)</w:t>
      </w:r>
    </w:p>
    <w:p>
      <w:pPr>
        <w:pStyle w:val="ListParagraph"/>
        <w:numPr>
          <w:ilvl w:val="0"/>
          <w:numId w:val="1"/>
        </w:numPr>
        <w:spacing w:after="80"/>
      </w:pPr>
      <w:r>
        <w:rPr>
          <w:rFonts w:ascii="Arial" w:cs="Arial" w:eastAsia="Arial" w:hAnsi="Arial"/>
          <w:b w:val="false"/>
          <w:bCs w:val="false"/>
          <w:i w:val="false"/>
          <w:iCs w:val="false"/>
          <w:sz w:val="22"/>
          <w:szCs w:val="22"/>
        </w:rPr>
        <w:t xml:space="preserve">Tryptophan is a precursor for niacin, so tryptophan depletion or malabsorption can produce pellagra</w:t>
      </w:r>
    </w:p>
    <w:p>
      <w:pPr>
        <w:pStyle w:val="Heading2"/>
        <w:spacing w:after="120" w:before="240"/>
      </w:pPr>
      <w:r>
        <w:rPr>
          <w:rFonts w:ascii="Arial" w:cs="Arial" w:eastAsia="Arial" w:hAnsi="Arial"/>
          <w:b/>
          <w:bCs/>
          <w:color w:val="2E75B6"/>
          <w:sz w:val="26"/>
          <w:szCs w:val="26"/>
        </w:rPr>
        <w:t xml:space="preserve">Deficiency (Pellagra)</w:t>
      </w:r>
    </w:p>
    <w:p>
      <w:pPr>
        <w:spacing w:after="160"/>
      </w:pPr>
      <w:r>
        <w:rPr>
          <w:rFonts w:ascii="Arial" w:cs="Arial" w:eastAsia="Arial" w:hAnsi="Arial"/>
          <w:b w:val="false"/>
          <w:bCs w:val="false"/>
          <w:i w:val="false"/>
          <w:iCs w:val="false"/>
          <w:sz w:val="22"/>
          <w:szCs w:val="22"/>
        </w:rPr>
        <w:t xml:space="preserve">Pellagra presents with the </w:t>
      </w:r>
      <w:r>
        <w:rPr>
          <w:rFonts w:ascii="Arial" w:cs="Arial" w:eastAsia="Arial" w:hAnsi="Arial"/>
          <w:b/>
          <w:bCs/>
          <w:i w:val="false"/>
          <w:iCs w:val="false"/>
          <w:sz w:val="22"/>
          <w:szCs w:val="22"/>
        </w:rPr>
        <w:t xml:space="preserve">4 Ds</w:t>
      </w:r>
      <w:r>
        <w:rPr>
          <w:rFonts w:ascii="Arial" w:cs="Arial" w:eastAsia="Arial" w:hAnsi="Arial"/>
          <w:b w:val="false"/>
          <w:bCs w:val="false"/>
          <w:i w:val="false"/>
          <w:iCs w:val="false"/>
          <w:sz w:val="22"/>
          <w:szCs w:val="22"/>
        </w:rPr>
        <w:t xml:space="preserve">:</w:t>
      </w:r>
    </w:p>
    <w:p>
      <w:pPr>
        <w:pStyle w:val="ListParagraph"/>
        <w:numPr>
          <w:ilvl w:val="0"/>
          <w:numId w:val="1"/>
        </w:numPr>
        <w:spacing w:after="80"/>
      </w:pPr>
      <w:r>
        <w:rPr>
          <w:rFonts w:ascii="Arial" w:cs="Arial" w:eastAsia="Arial" w:hAnsi="Arial"/>
          <w:b/>
          <w:bCs/>
          <w:i w:val="false"/>
          <w:iCs w:val="false"/>
          <w:sz w:val="22"/>
          <w:szCs w:val="22"/>
        </w:rPr>
        <w:t xml:space="preserve">Dermatitis</w:t>
      </w:r>
      <w:r>
        <w:rPr>
          <w:rFonts w:ascii="Arial" w:cs="Arial" w:eastAsia="Arial" w:hAnsi="Arial"/>
          <w:b w:val="false"/>
          <w:bCs w:val="false"/>
          <w:i w:val="false"/>
          <w:iCs w:val="false"/>
          <w:sz w:val="22"/>
          <w:szCs w:val="22"/>
        </w:rPr>
        <w:t xml:space="preserve"> (photosensitive, hyperpigmented, scaly; </w:t>
      </w:r>
      <w:r>
        <w:rPr>
          <w:rFonts w:ascii="Arial" w:cs="Arial" w:eastAsia="Arial" w:hAnsi="Arial"/>
          <w:b/>
          <w:bCs/>
          <w:i w:val="false"/>
          <w:iCs w:val="false"/>
          <w:sz w:val="22"/>
          <w:szCs w:val="22"/>
        </w:rPr>
        <w:t xml:space="preserve">casal necklace</w:t>
      </w:r>
      <w:r>
        <w:rPr>
          <w:rFonts w:ascii="Arial" w:cs="Arial" w:eastAsia="Arial" w:hAnsi="Arial"/>
          <w:b w:val="false"/>
          <w:bCs w:val="false"/>
          <w:i w:val="false"/>
          <w:iCs w:val="false"/>
          <w:sz w:val="22"/>
          <w:szCs w:val="22"/>
        </w:rPr>
        <w:t xml:space="preserve"> on the neck)</w:t>
      </w:r>
    </w:p>
    <w:p>
      <w:pPr>
        <w:pStyle w:val="ListParagraph"/>
        <w:numPr>
          <w:ilvl w:val="0"/>
          <w:numId w:val="1"/>
        </w:numPr>
        <w:spacing w:after="80"/>
      </w:pPr>
      <w:r>
        <w:rPr>
          <w:rFonts w:ascii="Arial" w:cs="Arial" w:eastAsia="Arial" w:hAnsi="Arial"/>
          <w:b/>
          <w:bCs/>
          <w:i w:val="false"/>
          <w:iCs w:val="false"/>
          <w:sz w:val="22"/>
          <w:szCs w:val="22"/>
        </w:rPr>
        <w:t xml:space="preserve">Diarrhea</w:t>
      </w:r>
    </w:p>
    <w:p>
      <w:pPr>
        <w:pStyle w:val="ListParagraph"/>
        <w:numPr>
          <w:ilvl w:val="0"/>
          <w:numId w:val="1"/>
        </w:numPr>
        <w:spacing w:after="80"/>
      </w:pPr>
      <w:r>
        <w:rPr>
          <w:rFonts w:ascii="Arial" w:cs="Arial" w:eastAsia="Arial" w:hAnsi="Arial"/>
          <w:b/>
          <w:bCs/>
          <w:i w:val="false"/>
          <w:iCs w:val="false"/>
          <w:sz w:val="22"/>
          <w:szCs w:val="22"/>
        </w:rPr>
        <w:t xml:space="preserve">Dementia</w:t>
      </w:r>
    </w:p>
    <w:p>
      <w:pPr>
        <w:pStyle w:val="ListParagraph"/>
        <w:numPr>
          <w:ilvl w:val="0"/>
          <w:numId w:val="1"/>
        </w:numPr>
        <w:spacing w:after="80"/>
      </w:pPr>
      <w:r>
        <w:rPr>
          <w:rFonts w:ascii="Arial" w:cs="Arial" w:eastAsia="Arial" w:hAnsi="Arial"/>
          <w:b/>
          <w:bCs/>
          <w:i w:val="false"/>
          <w:iCs w:val="false"/>
          <w:sz w:val="22"/>
          <w:szCs w:val="22"/>
        </w:rPr>
        <w:t xml:space="preserve">Death</w:t>
      </w:r>
    </w:p>
    <w:p>
      <w:pPr>
        <w:spacing w:after="160"/>
      </w:pPr>
      <w:r>
        <w:rPr>
          <w:rFonts w:ascii="Arial" w:cs="Arial" w:eastAsia="Arial" w:hAnsi="Arial"/>
          <w:b w:val="false"/>
          <w:bCs w:val="false"/>
          <w:i w:val="false"/>
          <w:iCs w:val="false"/>
          <w:sz w:val="22"/>
          <w:szCs w:val="22"/>
        </w:rPr>
        <w:t xml:space="preserve">Causes:</w:t>
      </w:r>
    </w:p>
    <w:p>
      <w:pPr>
        <w:pStyle w:val="ListParagraph"/>
        <w:numPr>
          <w:ilvl w:val="0"/>
          <w:numId w:val="1"/>
        </w:numPr>
        <w:spacing w:after="80"/>
      </w:pPr>
      <w:r>
        <w:rPr>
          <w:rFonts w:ascii="Arial" w:cs="Arial" w:eastAsia="Arial" w:hAnsi="Arial"/>
          <w:b/>
          <w:bCs/>
          <w:i w:val="false"/>
          <w:iCs w:val="false"/>
          <w:sz w:val="22"/>
          <w:szCs w:val="22"/>
        </w:rPr>
        <w:t xml:space="preserve">Corn-based diet</w:t>
      </w:r>
      <w:r>
        <w:rPr>
          <w:rFonts w:ascii="Arial" w:cs="Arial" w:eastAsia="Arial" w:hAnsi="Arial"/>
          <w:b w:val="false"/>
          <w:bCs w:val="false"/>
          <w:i w:val="false"/>
          <w:iCs w:val="false"/>
          <w:sz w:val="22"/>
          <w:szCs w:val="22"/>
        </w:rPr>
        <w:t xml:space="preserve">: corn lacks niacin and is low in tryptophan</w:t>
      </w:r>
    </w:p>
    <w:p>
      <w:pPr>
        <w:pStyle w:val="ListParagraph"/>
        <w:numPr>
          <w:ilvl w:val="0"/>
          <w:numId w:val="1"/>
        </w:numPr>
        <w:spacing w:after="80"/>
      </w:pPr>
      <w:r>
        <w:rPr>
          <w:rFonts w:ascii="Arial" w:cs="Arial" w:eastAsia="Arial" w:hAnsi="Arial"/>
          <w:b/>
          <w:bCs/>
          <w:i w:val="false"/>
          <w:iCs w:val="false"/>
          <w:sz w:val="22"/>
          <w:szCs w:val="22"/>
        </w:rPr>
        <w:t xml:space="preserve">Hartnup disease</w:t>
      </w:r>
      <w:r>
        <w:rPr>
          <w:rFonts w:ascii="Arial" w:cs="Arial" w:eastAsia="Arial" w:hAnsi="Arial"/>
          <w:b w:val="false"/>
          <w:bCs w:val="false"/>
          <w:i w:val="false"/>
          <w:iCs w:val="false"/>
          <w:sz w:val="22"/>
          <w:szCs w:val="22"/>
        </w:rPr>
        <w:t xml:space="preserve">: autosomal recessive disorder caused by defective intestinal and renal transport of neutral amino acids, particularly tryptophan</w:t>
      </w:r>
    </w:p>
    <w:p>
      <w:pPr>
        <w:pStyle w:val="ListParagraph"/>
        <w:numPr>
          <w:ilvl w:val="0"/>
          <w:numId w:val="1"/>
        </w:numPr>
        <w:spacing w:after="80"/>
      </w:pPr>
      <w:r>
        <w:rPr>
          <w:rFonts w:ascii="Arial" w:cs="Arial" w:eastAsia="Arial" w:hAnsi="Arial"/>
          <w:b/>
          <w:bCs/>
          <w:i w:val="false"/>
          <w:iCs w:val="false"/>
          <w:sz w:val="22"/>
          <w:szCs w:val="22"/>
        </w:rPr>
        <w:t xml:space="preserve">Carcinoid syndrome</w:t>
      </w:r>
      <w:r>
        <w:rPr>
          <w:rFonts w:ascii="Arial" w:cs="Arial" w:eastAsia="Arial" w:hAnsi="Arial"/>
          <w:b w:val="false"/>
          <w:bCs w:val="false"/>
          <w:i w:val="false"/>
          <w:iCs w:val="false"/>
          <w:sz w:val="22"/>
          <w:szCs w:val="22"/>
        </w:rPr>
        <w:t xml:space="preserve">: tryptophan diverted to serotonin synthesis, depleting the niacin precursor pool</w:t>
      </w:r>
    </w:p>
    <w:p>
      <w:pPr>
        <w:pStyle w:val="ListParagraph"/>
        <w:numPr>
          <w:ilvl w:val="0"/>
          <w:numId w:val="1"/>
        </w:numPr>
        <w:spacing w:after="80"/>
      </w:pPr>
      <w:r>
        <w:rPr>
          <w:rFonts w:ascii="Arial" w:cs="Arial" w:eastAsia="Arial" w:hAnsi="Arial"/>
          <w:b/>
          <w:bCs/>
          <w:i w:val="false"/>
          <w:iCs w:val="false"/>
          <w:sz w:val="22"/>
          <w:szCs w:val="22"/>
        </w:rPr>
        <w:t xml:space="preserve">Isoniazid</w:t>
      </w:r>
      <w:r>
        <w:rPr>
          <w:rFonts w:ascii="Arial" w:cs="Arial" w:eastAsia="Arial" w:hAnsi="Arial"/>
          <w:b w:val="false"/>
          <w:bCs w:val="false"/>
          <w:i w:val="false"/>
          <w:iCs w:val="false"/>
          <w:sz w:val="22"/>
          <w:szCs w:val="22"/>
        </w:rPr>
        <w:t xml:space="preserve">: inhibition of pyridoxal kinase (reducing B6/PLP), which secondarily impairs the PLP-dependent step in tryptophan → niacin conversion</w:t>
      </w:r>
    </w:p>
    <w:p>
      <w:pPr>
        <w:pStyle w:val="Heading2"/>
        <w:spacing w:after="120" w:before="240"/>
      </w:pPr>
      <w:r>
        <w:rPr>
          <w:rFonts w:ascii="Arial" w:cs="Arial" w:eastAsia="Arial" w:hAnsi="Arial"/>
          <w:b/>
          <w:bCs/>
          <w:color w:val="2E75B6"/>
          <w:sz w:val="26"/>
          <w:szCs w:val="26"/>
        </w:rPr>
        <w:t xml:space="preserve">Pharmacologic Use</w:t>
      </w:r>
    </w:p>
    <w:p>
      <w:pPr>
        <w:pStyle w:val="ListParagraph"/>
        <w:numPr>
          <w:ilvl w:val="0"/>
          <w:numId w:val="1"/>
        </w:numPr>
        <w:spacing w:after="80"/>
      </w:pPr>
      <w:r>
        <w:rPr>
          <w:rFonts w:ascii="Arial" w:cs="Arial" w:eastAsia="Arial" w:hAnsi="Arial"/>
          <w:b w:val="false"/>
          <w:bCs w:val="false"/>
          <w:i w:val="false"/>
          <w:iCs w:val="false"/>
          <w:sz w:val="22"/>
          <w:szCs w:val="22"/>
        </w:rPr>
        <w:t xml:space="preserve">At pharmacologic doses, </w:t>
      </w:r>
      <w:r>
        <w:rPr>
          <w:rFonts w:ascii="Arial" w:cs="Arial" w:eastAsia="Arial" w:hAnsi="Arial"/>
          <w:b/>
          <w:bCs/>
          <w:i w:val="false"/>
          <w:iCs w:val="false"/>
          <w:sz w:val="22"/>
          <w:szCs w:val="22"/>
        </w:rPr>
        <w:t xml:space="preserve">niacin</w:t>
      </w:r>
      <w:r>
        <w:rPr>
          <w:rFonts w:ascii="Arial" w:cs="Arial" w:eastAsia="Arial" w:hAnsi="Arial"/>
          <w:b w:val="false"/>
          <w:bCs w:val="false"/>
          <w:i w:val="false"/>
          <w:iCs w:val="false"/>
          <w:sz w:val="22"/>
          <w:szCs w:val="22"/>
        </w:rPr>
        <w:t xml:space="preserve"> raises HDL cholesterol and lowers triglycerides</w:t>
      </w:r>
    </w:p>
    <w:p>
      <w:pPr>
        <w:pStyle w:val="ListParagraph"/>
        <w:numPr>
          <w:ilvl w:val="0"/>
          <w:numId w:val="1"/>
        </w:numPr>
        <w:spacing w:after="80"/>
      </w:pPr>
      <w:r>
        <w:rPr>
          <w:rFonts w:ascii="Arial" w:cs="Arial" w:eastAsia="Arial" w:hAnsi="Arial"/>
          <w:b w:val="false"/>
          <w:bCs w:val="false"/>
          <w:i w:val="false"/>
          <w:iCs w:val="false"/>
          <w:sz w:val="22"/>
          <w:szCs w:val="22"/>
        </w:rPr>
        <w:t xml:space="preserve">Side effects include </w:t>
      </w:r>
      <w:r>
        <w:rPr>
          <w:rFonts w:ascii="Arial" w:cs="Arial" w:eastAsia="Arial" w:hAnsi="Arial"/>
          <w:b/>
          <w:bCs/>
          <w:i w:val="false"/>
          <w:iCs w:val="false"/>
          <w:sz w:val="22"/>
          <w:szCs w:val="22"/>
        </w:rPr>
        <w:t xml:space="preserve">cutaneous flushing</w:t>
      </w:r>
      <w:r>
        <w:rPr>
          <w:rFonts w:ascii="Arial" w:cs="Arial" w:eastAsia="Arial" w:hAnsi="Arial"/>
          <w:b w:val="false"/>
          <w:bCs w:val="false"/>
          <w:i w:val="false"/>
          <w:iCs w:val="false"/>
          <w:sz w:val="22"/>
          <w:szCs w:val="22"/>
        </w:rPr>
        <w:t xml:space="preserve"> (prostaglandin-mediated; mitigated by aspirin pretreatment), hepatotoxicity, hyperglycemia, and hyperuricemia</w:t>
      </w:r>
    </w:p>
    <w:p>
      <w:pPr>
        <w:pStyle w:val="Heading1"/>
        <w:spacing w:after="120" w:before="240"/>
      </w:pPr>
      <w:r>
        <w:rPr>
          <w:rFonts w:ascii="Arial" w:cs="Arial" w:eastAsia="Arial" w:hAnsi="Arial"/>
          <w:b/>
          <w:bCs/>
          <w:color w:val="1F4E79"/>
          <w:sz w:val="30"/>
          <w:szCs w:val="30"/>
        </w:rPr>
        <w:t xml:space="preserve">Vitamin B5 (Pantothenic Acid)</w:t>
      </w:r>
    </w:p>
    <w:p>
      <w:pPr>
        <w:pStyle w:val="Heading2"/>
        <w:spacing w:after="120" w:before="240"/>
      </w:pPr>
      <w:r>
        <w:rPr>
          <w:rFonts w:ascii="Arial" w:cs="Arial" w:eastAsia="Arial" w:hAnsi="Arial"/>
          <w:b/>
          <w:bCs/>
          <w:color w:val="2E75B6"/>
          <w:sz w:val="26"/>
          <w:szCs w:val="26"/>
        </w:rPr>
        <w:t xml:space="preserve">Biochemistry &amp; Activation</w:t>
      </w:r>
    </w:p>
    <w:p>
      <w:pPr>
        <w:pStyle w:val="ListParagraph"/>
        <w:numPr>
          <w:ilvl w:val="0"/>
          <w:numId w:val="1"/>
        </w:numPr>
        <w:spacing w:after="80"/>
      </w:pPr>
      <w:r>
        <w:rPr>
          <w:rFonts w:ascii="Arial" w:cs="Arial" w:eastAsia="Arial" w:hAnsi="Arial"/>
          <w:b w:val="false"/>
          <w:bCs w:val="false"/>
          <w:i w:val="false"/>
          <w:iCs w:val="false"/>
          <w:sz w:val="22"/>
          <w:szCs w:val="22"/>
        </w:rPr>
        <w:t xml:space="preserve">Pantothenic acid is an essential component of </w:t>
      </w:r>
      <w:r>
        <w:rPr>
          <w:rFonts w:ascii="Arial" w:cs="Arial" w:eastAsia="Arial" w:hAnsi="Arial"/>
          <w:b/>
          <w:bCs/>
          <w:i w:val="false"/>
          <w:iCs w:val="false"/>
          <w:sz w:val="22"/>
          <w:szCs w:val="22"/>
        </w:rPr>
        <w:t xml:space="preserve">coenzyme A (CoA)</w:t>
      </w:r>
      <w:r>
        <w:rPr>
          <w:rFonts w:ascii="Arial" w:cs="Arial" w:eastAsia="Arial" w:hAnsi="Arial"/>
          <w:b w:val="false"/>
          <w:bCs w:val="false"/>
          <w:i w:val="false"/>
          <w:iCs w:val="false"/>
          <w:sz w:val="22"/>
          <w:szCs w:val="22"/>
        </w:rPr>
        <w:t xml:space="preserve"> and the </w:t>
      </w:r>
      <w:r>
        <w:rPr>
          <w:rFonts w:ascii="Arial" w:cs="Arial" w:eastAsia="Arial" w:hAnsi="Arial"/>
          <w:b/>
          <w:bCs/>
          <w:i w:val="false"/>
          <w:iCs w:val="false"/>
          <w:sz w:val="22"/>
          <w:szCs w:val="22"/>
        </w:rPr>
        <w:t xml:space="preserve">acyl carrier protein (ACP)</w:t>
      </w:r>
      <w:r>
        <w:rPr>
          <w:rFonts w:ascii="Arial" w:cs="Arial" w:eastAsia="Arial" w:hAnsi="Arial"/>
          <w:b w:val="false"/>
          <w:bCs w:val="false"/>
          <w:i w:val="false"/>
          <w:iCs w:val="false"/>
          <w:sz w:val="22"/>
          <w:szCs w:val="22"/>
        </w:rPr>
        <w:t xml:space="preserve">. CoA activates fatty acids as acyl-CoA, is required for acetyl-CoA entry into the TCA cycle, and participates in cholesterol, steroid hormone, and heme synthesis</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val="false"/>
          <w:bCs w:val="false"/>
          <w:i w:val="false"/>
          <w:iCs w:val="false"/>
          <w:sz w:val="22"/>
          <w:szCs w:val="22"/>
        </w:rPr>
        <w:t xml:space="preserve">Isolated deficiency is exceedingly rare</w:t>
      </w:r>
    </w:p>
    <w:p>
      <w:pPr>
        <w:pStyle w:val="ListParagraph"/>
        <w:numPr>
          <w:ilvl w:val="0"/>
          <w:numId w:val="1"/>
        </w:numPr>
        <w:spacing w:after="80"/>
      </w:pPr>
      <w:r>
        <w:rPr>
          <w:rFonts w:ascii="Arial" w:cs="Arial" w:eastAsia="Arial" w:hAnsi="Arial"/>
          <w:b w:val="false"/>
          <w:bCs w:val="false"/>
          <w:i w:val="false"/>
          <w:iCs w:val="false"/>
          <w:sz w:val="22"/>
          <w:szCs w:val="22"/>
        </w:rPr>
        <w:t xml:space="preserve">Prolonged total parenteral nutrition without supplementation or severe malnutrition may produce </w:t>
      </w:r>
      <w:r>
        <w:rPr>
          <w:rFonts w:ascii="Arial" w:cs="Arial" w:eastAsia="Arial" w:hAnsi="Arial"/>
          <w:b/>
          <w:bCs/>
          <w:i w:val="false"/>
          <w:iCs w:val="false"/>
          <w:sz w:val="22"/>
          <w:szCs w:val="22"/>
        </w:rPr>
        <w:t xml:space="preserve">"burning feet" neuropathy</w:t>
      </w:r>
      <w:r>
        <w:rPr>
          <w:rFonts w:ascii="Arial" w:cs="Arial" w:eastAsia="Arial" w:hAnsi="Arial"/>
          <w:b w:val="false"/>
          <w:bCs w:val="false"/>
          <w:i w:val="false"/>
          <w:iCs w:val="false"/>
          <w:sz w:val="22"/>
          <w:szCs w:val="22"/>
        </w:rPr>
        <w:t xml:space="preserve">, dermatitis, and enteritis</w:t>
      </w:r>
    </w:p>
    <w:p>
      <w:pPr>
        <w:pStyle w:val="Heading1"/>
        <w:spacing w:after="120" w:before="240"/>
      </w:pPr>
      <w:r>
        <w:rPr>
          <w:rFonts w:ascii="Arial" w:cs="Arial" w:eastAsia="Arial" w:hAnsi="Arial"/>
          <w:b/>
          <w:bCs/>
          <w:color w:val="1F4E79"/>
          <w:sz w:val="30"/>
          <w:szCs w:val="30"/>
        </w:rPr>
        <w:t xml:space="preserve">Vitamin B6 (Pyridoxine)</w:t>
      </w:r>
    </w:p>
    <w:p>
      <w:pPr>
        <w:pStyle w:val="Heading2"/>
        <w:spacing w:after="120" w:before="240"/>
      </w:pPr>
      <w:r>
        <w:rPr>
          <w:rFonts w:ascii="Arial" w:cs="Arial" w:eastAsia="Arial" w:hAnsi="Arial"/>
          <w:b/>
          <w:bCs/>
          <w:color w:val="2E75B6"/>
          <w:sz w:val="26"/>
          <w:szCs w:val="26"/>
        </w:rPr>
        <w:t xml:space="preserve">Biochemistry &amp; Activation</w:t>
      </w:r>
    </w:p>
    <w:p>
      <w:pPr>
        <w:spacing w:after="160"/>
      </w:pPr>
      <w:r>
        <w:rPr>
          <w:rFonts w:ascii="Arial" w:cs="Arial" w:eastAsia="Arial" w:hAnsi="Arial"/>
          <w:b w:val="false"/>
          <w:bCs w:val="false"/>
          <w:i w:val="false"/>
          <w:iCs w:val="false"/>
          <w:sz w:val="22"/>
          <w:szCs w:val="22"/>
        </w:rPr>
        <w:t xml:space="preserve">Pyridoxine is converted to </w:t>
      </w:r>
      <w:r>
        <w:rPr>
          <w:rFonts w:ascii="Arial" w:cs="Arial" w:eastAsia="Arial" w:hAnsi="Arial"/>
          <w:b/>
          <w:bCs/>
          <w:i w:val="false"/>
          <w:iCs w:val="false"/>
          <w:sz w:val="22"/>
          <w:szCs w:val="22"/>
        </w:rPr>
        <w:t xml:space="preserve">pyridoxal phosphate (PLP)</w:t>
      </w:r>
      <w:r>
        <w:rPr>
          <w:rFonts w:ascii="Arial" w:cs="Arial" w:eastAsia="Arial" w:hAnsi="Arial"/>
          <w:b w:val="false"/>
          <w:bCs w:val="false"/>
          <w:i w:val="false"/>
          <w:iCs w:val="false"/>
          <w:sz w:val="22"/>
          <w:szCs w:val="22"/>
        </w:rPr>
        <w:t xml:space="preserve">, a cofactor for more than 100 enzymes. Board-tested roles:</w:t>
      </w:r>
    </w:p>
    <w:p>
      <w:pPr>
        <w:pStyle w:val="ListParagraph"/>
        <w:numPr>
          <w:ilvl w:val="0"/>
          <w:numId w:val="1"/>
        </w:numPr>
        <w:spacing w:after="80"/>
      </w:pPr>
      <w:r>
        <w:rPr>
          <w:rFonts w:ascii="Arial" w:cs="Arial" w:eastAsia="Arial" w:hAnsi="Arial"/>
          <w:b/>
          <w:bCs/>
          <w:i w:val="false"/>
          <w:iCs w:val="false"/>
          <w:sz w:val="22"/>
          <w:szCs w:val="22"/>
        </w:rPr>
        <w:t xml:space="preserve">Transamination</w:t>
      </w:r>
      <w:r>
        <w:rPr>
          <w:rFonts w:ascii="Arial" w:cs="Arial" w:eastAsia="Arial" w:hAnsi="Arial"/>
          <w:b w:val="false"/>
          <w:bCs w:val="false"/>
          <w:i w:val="false"/>
          <w:iCs w:val="false"/>
          <w:sz w:val="22"/>
          <w:szCs w:val="22"/>
        </w:rPr>
        <w:t xml:space="preserve">, with ALT and AST</w:t>
      </w:r>
    </w:p>
    <w:p>
      <w:pPr>
        <w:pStyle w:val="ListParagraph"/>
        <w:numPr>
          <w:ilvl w:val="0"/>
          <w:numId w:val="1"/>
        </w:numPr>
        <w:spacing w:after="80"/>
      </w:pPr>
      <w:r>
        <w:rPr>
          <w:rFonts w:ascii="Arial" w:cs="Arial" w:eastAsia="Arial" w:hAnsi="Arial"/>
          <w:b/>
          <w:bCs/>
          <w:i w:val="false"/>
          <w:iCs w:val="false"/>
          <w:sz w:val="22"/>
          <w:szCs w:val="22"/>
        </w:rPr>
        <w:t xml:space="preserve">ALA synthase</w:t>
      </w:r>
      <w:r>
        <w:rPr>
          <w:rFonts w:ascii="Arial" w:cs="Arial" w:eastAsia="Arial" w:hAnsi="Arial"/>
          <w:b w:val="false"/>
          <w:bCs w:val="false"/>
          <w:i w:val="false"/>
          <w:iCs w:val="false"/>
          <w:sz w:val="22"/>
          <w:szCs w:val="22"/>
        </w:rPr>
        <w:t xml:space="preserve">: rate-limiting step of heme synthesis (succinyl-CoA + glycine → δ-aminolevulinic acid)</w:t>
      </w:r>
    </w:p>
    <w:p>
      <w:pPr>
        <w:pStyle w:val="ListParagraph"/>
        <w:numPr>
          <w:ilvl w:val="0"/>
          <w:numId w:val="1"/>
        </w:numPr>
        <w:spacing w:after="80"/>
      </w:pPr>
      <w:r>
        <w:rPr>
          <w:rFonts w:ascii="Arial" w:cs="Arial" w:eastAsia="Arial" w:hAnsi="Arial"/>
          <w:b/>
          <w:bCs/>
          <w:i w:val="false"/>
          <w:iCs w:val="false"/>
          <w:sz w:val="22"/>
          <w:szCs w:val="22"/>
        </w:rPr>
        <w:t xml:space="preserve">Neurotransmitter synthesis</w:t>
      </w:r>
      <w:r>
        <w:rPr>
          <w:rFonts w:ascii="Arial" w:cs="Arial" w:eastAsia="Arial" w:hAnsi="Arial"/>
          <w:b w:val="false"/>
          <w:bCs w:val="false"/>
          <w:i w:val="false"/>
          <w:iCs w:val="false"/>
          <w:sz w:val="22"/>
          <w:szCs w:val="22"/>
        </w:rPr>
        <w:t xml:space="preserve">: DOPA decarboxylase (dopamine, norepinephrine), GABA, serotonin</w:t>
      </w:r>
    </w:p>
    <w:p>
      <w:pPr>
        <w:pStyle w:val="ListParagraph"/>
        <w:numPr>
          <w:ilvl w:val="0"/>
          <w:numId w:val="1"/>
        </w:numPr>
        <w:spacing w:after="80"/>
      </w:pPr>
      <w:r>
        <w:rPr>
          <w:rFonts w:ascii="Arial" w:cs="Arial" w:eastAsia="Arial" w:hAnsi="Arial"/>
          <w:b/>
          <w:bCs/>
          <w:i w:val="false"/>
          <w:iCs w:val="false"/>
          <w:sz w:val="22"/>
          <w:szCs w:val="22"/>
        </w:rPr>
        <w:t xml:space="preserve">Cystathionine β-synthase</w:t>
      </w:r>
      <w:r>
        <w:rPr>
          <w:rFonts w:ascii="Arial" w:cs="Arial" w:eastAsia="Arial" w:hAnsi="Arial"/>
          <w:b w:val="false"/>
          <w:bCs w:val="false"/>
          <w:i w:val="false"/>
          <w:iCs w:val="false"/>
          <w:sz w:val="22"/>
          <w:szCs w:val="22"/>
        </w:rPr>
        <w:t xml:space="preserve">: homocysteine → cystathionine; deficiency elevates homocysteine</w:t>
      </w:r>
    </w:p>
    <w:p>
      <w:pPr>
        <w:pStyle w:val="Heading2"/>
        <w:spacing w:after="120" w:before="240"/>
      </w:pPr>
      <w:r>
        <w:rPr>
          <w:rFonts w:ascii="Arial" w:cs="Arial" w:eastAsia="Arial" w:hAnsi="Arial"/>
          <w:b/>
          <w:bCs/>
          <w:color w:val="2E75B6"/>
          <w:sz w:val="26"/>
          <w:szCs w:val="26"/>
        </w:rPr>
        <w:t xml:space="preserve">Deficiency</w:t>
      </w:r>
    </w:p>
    <w:p>
      <w:pPr>
        <w:spacing w:after="160"/>
      </w:pPr>
      <w:r>
        <w:rPr>
          <w:rFonts w:ascii="Arial" w:cs="Arial" w:eastAsia="Arial" w:hAnsi="Arial"/>
          <w:b w:val="false"/>
          <w:bCs w:val="false"/>
          <w:i w:val="false"/>
          <w:iCs w:val="false"/>
          <w:sz w:val="22"/>
          <w:szCs w:val="22"/>
        </w:rPr>
        <w:t xml:space="preserve">Impaired ALA synthase produces </w:t>
      </w:r>
      <w:r>
        <w:rPr>
          <w:rFonts w:ascii="Arial" w:cs="Arial" w:eastAsia="Arial" w:hAnsi="Arial"/>
          <w:b/>
          <w:bCs/>
          <w:i w:val="false"/>
          <w:iCs w:val="false"/>
          <w:sz w:val="22"/>
          <w:szCs w:val="22"/>
        </w:rPr>
        <w:t xml:space="preserve">sideroblastic anemia</w:t>
      </w:r>
      <w:r>
        <w:rPr>
          <w:rFonts w:ascii="Arial" w:cs="Arial" w:eastAsia="Arial" w:hAnsi="Arial"/>
          <w:b w:val="false"/>
          <w:bCs w:val="false"/>
          <w:i w:val="false"/>
          <w:iCs w:val="false"/>
          <w:sz w:val="22"/>
          <w:szCs w:val="22"/>
        </w:rPr>
        <w:t xml:space="preserve">:</w:t>
      </w:r>
    </w:p>
    <w:p>
      <w:pPr>
        <w:pStyle w:val="ListParagraph"/>
        <w:numPr>
          <w:ilvl w:val="0"/>
          <w:numId w:val="1"/>
        </w:numPr>
        <w:spacing w:after="80"/>
      </w:pPr>
      <w:r>
        <w:rPr>
          <w:rFonts w:ascii="Arial" w:cs="Arial" w:eastAsia="Arial" w:hAnsi="Arial"/>
          <w:b w:val="false"/>
          <w:bCs w:val="false"/>
          <w:i w:val="false"/>
          <w:iCs w:val="false"/>
          <w:sz w:val="22"/>
          <w:szCs w:val="22"/>
        </w:rPr>
        <w:t xml:space="preserve">Microcytic, hypochromic RBCs with </w:t>
      </w:r>
      <w:r>
        <w:rPr>
          <w:rFonts w:ascii="Arial" w:cs="Arial" w:eastAsia="Arial" w:hAnsi="Arial"/>
          <w:b/>
          <w:bCs/>
          <w:i w:val="false"/>
          <w:iCs w:val="false"/>
          <w:sz w:val="22"/>
          <w:szCs w:val="22"/>
        </w:rPr>
        <w:t xml:space="preserve">ring sideroblasts</w:t>
      </w:r>
      <w:r>
        <w:rPr>
          <w:rFonts w:ascii="Arial" w:cs="Arial" w:eastAsia="Arial" w:hAnsi="Arial"/>
          <w:b w:val="false"/>
          <w:bCs w:val="false"/>
          <w:i w:val="false"/>
          <w:iCs w:val="false"/>
          <w:sz w:val="22"/>
          <w:szCs w:val="22"/>
        </w:rPr>
        <w:t xml:space="preserve"> on bone marrow biopsy</w:t>
      </w:r>
    </w:p>
    <w:p>
      <w:pPr>
        <w:pStyle w:val="ListParagraph"/>
        <w:numPr>
          <w:ilvl w:val="0"/>
          <w:numId w:val="1"/>
        </w:numPr>
        <w:spacing w:after="80"/>
      </w:pPr>
      <w:r>
        <w:rPr>
          <w:rFonts w:ascii="Arial" w:cs="Arial" w:eastAsia="Arial" w:hAnsi="Arial"/>
          <w:b w:val="false"/>
          <w:bCs w:val="false"/>
          <w:i w:val="false"/>
          <w:iCs w:val="false"/>
          <w:sz w:val="22"/>
          <w:szCs w:val="22"/>
        </w:rPr>
        <w:t xml:space="preserve">Additional findings include </w:t>
      </w:r>
      <w:r>
        <w:rPr>
          <w:rFonts w:ascii="Arial" w:cs="Arial" w:eastAsia="Arial" w:hAnsi="Arial"/>
          <w:b/>
          <w:bCs/>
          <w:i w:val="false"/>
          <w:iCs w:val="false"/>
          <w:sz w:val="22"/>
          <w:szCs w:val="22"/>
        </w:rPr>
        <w:t xml:space="preserve">peripheral neuropathy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glossitis</w:t>
      </w:r>
      <w:r>
        <w:rPr>
          <w:rFonts w:ascii="Arial" w:cs="Arial" w:eastAsia="Arial" w:hAnsi="Arial"/>
          <w:b w:val="false"/>
          <w:bCs w:val="false"/>
          <w:i w:val="false"/>
          <w:iCs w:val="false"/>
          <w:sz w:val="22"/>
          <w:szCs w:val="22"/>
        </w:rPr>
        <w:t xml:space="preserve">, and seborrheic dermatitis</w:t>
      </w:r>
    </w:p>
    <w:p>
      <w:pPr>
        <w:spacing w:after="160"/>
      </w:pPr>
      <w:r>
        <w:rPr>
          <w:rFonts w:ascii="Arial" w:cs="Arial" w:eastAsia="Arial" w:hAnsi="Arial"/>
          <w:b w:val="false"/>
          <w:bCs w:val="false"/>
          <w:i w:val="false"/>
          <w:iCs w:val="false"/>
          <w:sz w:val="22"/>
          <w:szCs w:val="22"/>
        </w:rPr>
        <w:t xml:space="preserve">Risk factors:</w:t>
      </w:r>
    </w:p>
    <w:p>
      <w:pPr>
        <w:pStyle w:val="ListParagraph"/>
        <w:numPr>
          <w:ilvl w:val="0"/>
          <w:numId w:val="1"/>
        </w:numPr>
        <w:spacing w:after="80"/>
      </w:pPr>
      <w:r>
        <w:rPr>
          <w:rFonts w:ascii="Arial" w:cs="Arial" w:eastAsia="Arial" w:hAnsi="Arial"/>
          <w:b/>
          <w:bCs/>
          <w:i w:val="false"/>
          <w:iCs w:val="false"/>
          <w:sz w:val="22"/>
          <w:szCs w:val="22"/>
        </w:rPr>
        <w:t xml:space="preserve">Isoniazid</w:t>
      </w:r>
      <w:r>
        <w:rPr>
          <w:rFonts w:ascii="Arial" w:cs="Arial" w:eastAsia="Arial" w:hAnsi="Arial"/>
          <w:b w:val="false"/>
          <w:bCs w:val="false"/>
          <w:i w:val="false"/>
          <w:iCs w:val="false"/>
          <w:sz w:val="22"/>
          <w:szCs w:val="22"/>
        </w:rPr>
        <w:t xml:space="preserve">: inhibits pyridoxal kinase, causing functional B6 deficiency and peripheral neuropathy; co-prescribe </w:t>
      </w:r>
      <w:r>
        <w:rPr>
          <w:rFonts w:ascii="Arial" w:cs="Arial" w:eastAsia="Arial" w:hAnsi="Arial"/>
          <w:b/>
          <w:bCs/>
          <w:i w:val="false"/>
          <w:iCs w:val="false"/>
          <w:sz w:val="22"/>
          <w:szCs w:val="22"/>
        </w:rPr>
        <w:t xml:space="preserve">pyridoxine</w:t>
      </w:r>
    </w:p>
    <w:p>
      <w:pPr>
        <w:pStyle w:val="ListParagraph"/>
        <w:numPr>
          <w:ilvl w:val="0"/>
          <w:numId w:val="1"/>
        </w:numPr>
        <w:spacing w:after="80"/>
      </w:pPr>
      <w:r>
        <w:rPr>
          <w:rFonts w:ascii="Arial" w:cs="Arial" w:eastAsia="Arial" w:hAnsi="Arial"/>
          <w:b/>
          <w:bCs/>
          <w:i w:val="false"/>
          <w:iCs w:val="false"/>
          <w:sz w:val="22"/>
          <w:szCs w:val="22"/>
        </w:rPr>
        <w:t xml:space="preserve">Alcohol use disorder</w:t>
      </w:r>
      <w:r>
        <w:rPr>
          <w:rFonts w:ascii="Arial" w:cs="Arial" w:eastAsia="Arial" w:hAnsi="Arial"/>
          <w:b w:val="false"/>
          <w:bCs w:val="false"/>
          <w:i w:val="false"/>
          <w:iCs w:val="false"/>
          <w:sz w:val="22"/>
          <w:szCs w:val="22"/>
        </w:rPr>
        <w:t xml:space="preserve">: causes sideroblastic anemia; treat with pyridoxine and alcohol cessation</w:t>
      </w:r>
    </w:p>
    <w:p>
      <w:pPr>
        <w:pStyle w:val="ListParagraph"/>
        <w:numPr>
          <w:ilvl w:val="0"/>
          <w:numId w:val="1"/>
        </w:numPr>
        <w:spacing w:after="80"/>
      </w:pPr>
      <w:r>
        <w:rPr>
          <w:rFonts w:ascii="Arial" w:cs="Arial" w:eastAsia="Arial" w:hAnsi="Arial"/>
          <w:b/>
          <w:bCs/>
          <w:i w:val="false"/>
          <w:iCs w:val="false"/>
          <w:sz w:val="22"/>
          <w:szCs w:val="22"/>
        </w:rPr>
        <w:t xml:space="preserve">Pyridoxine-dependent epilepsy</w:t>
      </w:r>
      <w:r>
        <w:rPr>
          <w:rFonts w:ascii="Arial" w:cs="Arial" w:eastAsia="Arial" w:hAnsi="Arial"/>
          <w:b w:val="false"/>
          <w:bCs w:val="false"/>
          <w:i w:val="false"/>
          <w:iCs w:val="false"/>
          <w:sz w:val="22"/>
          <w:szCs w:val="22"/>
        </w:rPr>
        <w:t xml:space="preserve">: neonatal seizures unresponsive to standard anticonvulsants; respond to pharmacologic pyridoxine</w:t>
      </w:r>
    </w:p>
    <w:p>
      <w:pPr>
        <w:pStyle w:val="Heading1"/>
        <w:spacing w:after="120" w:before="240"/>
      </w:pPr>
      <w:r>
        <w:rPr>
          <w:rFonts w:ascii="Arial" w:cs="Arial" w:eastAsia="Arial" w:hAnsi="Arial"/>
          <w:b/>
          <w:bCs/>
          <w:color w:val="1F4E79"/>
          <w:sz w:val="30"/>
          <w:szCs w:val="30"/>
        </w:rPr>
        <w:t xml:space="preserve">Vitamin B7 (Biotin)</w:t>
      </w:r>
    </w:p>
    <w:p>
      <w:pPr>
        <w:pStyle w:val="Heading2"/>
        <w:spacing w:after="120" w:before="240"/>
      </w:pPr>
      <w:r>
        <w:rPr>
          <w:rFonts w:ascii="Arial" w:cs="Arial" w:eastAsia="Arial" w:hAnsi="Arial"/>
          <w:b/>
          <w:bCs/>
          <w:color w:val="2E75B6"/>
          <w:sz w:val="26"/>
          <w:szCs w:val="26"/>
        </w:rPr>
        <w:t xml:space="preserve">Biochemistry &amp; Activation</w:t>
      </w:r>
    </w:p>
    <w:p>
      <w:pPr>
        <w:spacing w:after="160"/>
      </w:pPr>
      <w:r>
        <w:rPr>
          <w:rFonts w:ascii="Arial" w:cs="Arial" w:eastAsia="Arial" w:hAnsi="Arial"/>
          <w:b w:val="false"/>
          <w:bCs w:val="false"/>
          <w:i w:val="false"/>
          <w:iCs w:val="false"/>
          <w:sz w:val="22"/>
          <w:szCs w:val="22"/>
        </w:rPr>
        <w:t xml:space="preserve">Biotin is a cofactor for </w:t>
      </w:r>
      <w:r>
        <w:rPr>
          <w:rFonts w:ascii="Arial" w:cs="Arial" w:eastAsia="Arial" w:hAnsi="Arial"/>
          <w:b/>
          <w:bCs/>
          <w:i w:val="false"/>
          <w:iCs w:val="false"/>
          <w:sz w:val="22"/>
          <w:szCs w:val="22"/>
        </w:rPr>
        <w:t xml:space="preserve">carboxylase enzymes</w:t>
      </w:r>
      <w:r>
        <w:rPr>
          <w:rFonts w:ascii="Arial" w:cs="Arial" w:eastAsia="Arial" w:hAnsi="Arial"/>
          <w:b w:val="false"/>
          <w:bCs w:val="false"/>
          <w:i w:val="false"/>
          <w:iCs w:val="false"/>
          <w:sz w:val="22"/>
          <w:szCs w:val="22"/>
        </w:rPr>
        <w:t xml:space="preserve">:</w:t>
      </w:r>
    </w:p>
    <w:p>
      <w:pPr>
        <w:pStyle w:val="ListParagraph"/>
        <w:numPr>
          <w:ilvl w:val="0"/>
          <w:numId w:val="1"/>
        </w:numPr>
        <w:spacing w:after="80"/>
      </w:pPr>
      <w:r>
        <w:rPr>
          <w:rFonts w:ascii="Arial" w:cs="Arial" w:eastAsia="Arial" w:hAnsi="Arial"/>
          <w:b/>
          <w:bCs/>
          <w:i w:val="false"/>
          <w:iCs w:val="false"/>
          <w:sz w:val="22"/>
          <w:szCs w:val="22"/>
        </w:rPr>
        <w:t xml:space="preserve">Pyruvate carboxylase</w:t>
      </w:r>
      <w:r>
        <w:rPr>
          <w:rFonts w:ascii="Arial" w:cs="Arial" w:eastAsia="Arial" w:hAnsi="Arial"/>
          <w:b w:val="false"/>
          <w:bCs w:val="false"/>
          <w:i w:val="false"/>
          <w:iCs w:val="false"/>
          <w:sz w:val="22"/>
          <w:szCs w:val="22"/>
        </w:rPr>
        <w:t xml:space="preserve">: pyruvate → oxaloacetate (gluconeogenesis)</w:t>
      </w:r>
    </w:p>
    <w:p>
      <w:pPr>
        <w:pStyle w:val="ListParagraph"/>
        <w:numPr>
          <w:ilvl w:val="0"/>
          <w:numId w:val="1"/>
        </w:numPr>
        <w:spacing w:after="80"/>
      </w:pPr>
      <w:r>
        <w:rPr>
          <w:rFonts w:ascii="Arial" w:cs="Arial" w:eastAsia="Arial" w:hAnsi="Arial"/>
          <w:b/>
          <w:bCs/>
          <w:i w:val="false"/>
          <w:iCs w:val="false"/>
          <w:sz w:val="22"/>
          <w:szCs w:val="22"/>
        </w:rPr>
        <w:t xml:space="preserve">Acetyl-CoA carboxylase</w:t>
      </w:r>
      <w:r>
        <w:rPr>
          <w:rFonts w:ascii="Arial" w:cs="Arial" w:eastAsia="Arial" w:hAnsi="Arial"/>
          <w:b w:val="false"/>
          <w:bCs w:val="false"/>
          <w:i w:val="false"/>
          <w:iCs w:val="false"/>
          <w:sz w:val="22"/>
          <w:szCs w:val="22"/>
        </w:rPr>
        <w:t xml:space="preserve">: acetyl-CoA → malonyl-CoA (rate-limiting step of fatty acid synthesis)</w:t>
      </w:r>
    </w:p>
    <w:p>
      <w:pPr>
        <w:pStyle w:val="ListParagraph"/>
        <w:numPr>
          <w:ilvl w:val="0"/>
          <w:numId w:val="1"/>
        </w:numPr>
        <w:spacing w:after="80"/>
      </w:pPr>
      <w:r>
        <w:rPr>
          <w:rFonts w:ascii="Arial" w:cs="Arial" w:eastAsia="Arial" w:hAnsi="Arial"/>
          <w:b/>
          <w:bCs/>
          <w:i w:val="false"/>
          <w:iCs w:val="false"/>
          <w:sz w:val="22"/>
          <w:szCs w:val="22"/>
        </w:rPr>
        <w:t xml:space="preserve">Propionyl-CoA carboxylase</w:t>
      </w:r>
      <w:r>
        <w:rPr>
          <w:rFonts w:ascii="Arial" w:cs="Arial" w:eastAsia="Arial" w:hAnsi="Arial"/>
          <w:b w:val="false"/>
          <w:bCs w:val="false"/>
          <w:i w:val="false"/>
          <w:iCs w:val="false"/>
          <w:sz w:val="22"/>
          <w:szCs w:val="22"/>
        </w:rPr>
        <w:t xml:space="preserve">: propionyl-CoA → methylmalonyl-CoA (odd-chain fatty acid catabolism)</w:t>
      </w:r>
    </w:p>
    <w:p>
      <w:pPr>
        <w:pStyle w:val="ListParagraph"/>
        <w:numPr>
          <w:ilvl w:val="0"/>
          <w:numId w:val="1"/>
        </w:numPr>
        <w:spacing w:after="80"/>
      </w:pPr>
      <w:r>
        <w:rPr>
          <w:rFonts w:ascii="Arial" w:cs="Arial" w:eastAsia="Arial" w:hAnsi="Arial"/>
          <w:b/>
          <w:bCs/>
          <w:i w:val="false"/>
          <w:iCs w:val="false"/>
          <w:sz w:val="22"/>
          <w:szCs w:val="22"/>
        </w:rPr>
        <w:t xml:space="preserve">Methylcrotonyl-CoA carboxylase</w:t>
      </w:r>
      <w:r>
        <w:rPr>
          <w:rFonts w:ascii="Arial" w:cs="Arial" w:eastAsia="Arial" w:hAnsi="Arial"/>
          <w:b w:val="false"/>
          <w:bCs w:val="false"/>
          <w:i w:val="false"/>
          <w:iCs w:val="false"/>
          <w:sz w:val="22"/>
          <w:szCs w:val="22"/>
        </w:rPr>
        <w:t xml:space="preserve">: leucine catabolism</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bCs/>
          <w:i w:val="false"/>
          <w:iCs w:val="false"/>
          <w:sz w:val="22"/>
          <w:szCs w:val="22"/>
        </w:rPr>
        <w:t xml:space="preserve">Alopecia</w:t>
      </w:r>
    </w:p>
    <w:p>
      <w:pPr>
        <w:pStyle w:val="ListParagraph"/>
        <w:numPr>
          <w:ilvl w:val="0"/>
          <w:numId w:val="1"/>
        </w:numPr>
        <w:spacing w:after="80"/>
      </w:pPr>
      <w:r>
        <w:rPr>
          <w:rFonts w:ascii="Arial" w:cs="Arial" w:eastAsia="Arial" w:hAnsi="Arial"/>
          <w:b/>
          <w:bCs/>
          <w:i w:val="false"/>
          <w:iCs w:val="false"/>
          <w:sz w:val="22"/>
          <w:szCs w:val="22"/>
        </w:rPr>
        <w:t xml:space="preserve">Seborrheic dermatitis</w:t>
      </w:r>
    </w:p>
    <w:p>
      <w:pPr>
        <w:pStyle w:val="ListParagraph"/>
        <w:numPr>
          <w:ilvl w:val="0"/>
          <w:numId w:val="1"/>
        </w:numPr>
        <w:spacing w:after="80"/>
      </w:pPr>
      <w:r>
        <w:rPr>
          <w:rFonts w:ascii="Arial" w:cs="Arial" w:eastAsia="Arial" w:hAnsi="Arial"/>
          <w:b w:val="false"/>
          <w:bCs w:val="false"/>
          <w:i w:val="false"/>
          <w:iCs w:val="false"/>
          <w:sz w:val="22"/>
          <w:szCs w:val="22"/>
        </w:rPr>
        <w:t xml:space="preserve">Neurologic symptoms (eg, paresthesias, ataxia, seizures)</w:t>
      </w:r>
    </w:p>
    <w:p>
      <w:pPr>
        <w:pStyle w:val="ListParagraph"/>
        <w:numPr>
          <w:ilvl w:val="0"/>
          <w:numId w:val="1"/>
        </w:numPr>
        <w:spacing w:after="80"/>
      </w:pPr>
      <w:r>
        <w:rPr>
          <w:rFonts w:ascii="Arial" w:cs="Arial" w:eastAsia="Arial" w:hAnsi="Arial"/>
          <w:b w:val="false"/>
          <w:bCs w:val="false"/>
          <w:i w:val="false"/>
          <w:iCs w:val="false"/>
          <w:sz w:val="22"/>
          <w:szCs w:val="22"/>
        </w:rPr>
        <w:t xml:space="preserve">Caused by prolonged consumption of </w:t>
      </w:r>
      <w:r>
        <w:rPr>
          <w:rFonts w:ascii="Arial" w:cs="Arial" w:eastAsia="Arial" w:hAnsi="Arial"/>
          <w:b/>
          <w:bCs/>
          <w:i w:val="false"/>
          <w:iCs w:val="false"/>
          <w:sz w:val="22"/>
          <w:szCs w:val="22"/>
        </w:rPr>
        <w:t xml:space="preserve">raw egg whites</w:t>
      </w:r>
      <w:r>
        <w:rPr>
          <w:rFonts w:ascii="Arial" w:cs="Arial" w:eastAsia="Arial" w:hAnsi="Arial"/>
          <w:b w:val="false"/>
          <w:bCs w:val="false"/>
          <w:i w:val="false"/>
          <w:iCs w:val="false"/>
          <w:sz w:val="22"/>
          <w:szCs w:val="22"/>
        </w:rPr>
        <w:t xml:space="preserve">, which contain </w:t>
      </w:r>
      <w:r>
        <w:rPr>
          <w:rFonts w:ascii="Arial" w:cs="Arial" w:eastAsia="Arial" w:hAnsi="Arial"/>
          <w:b/>
          <w:bCs/>
          <w:i w:val="false"/>
          <w:iCs w:val="false"/>
          <w:sz w:val="22"/>
          <w:szCs w:val="22"/>
        </w:rPr>
        <w:t xml:space="preserve">avidin</w:t>
      </w:r>
      <w:r>
        <w:rPr>
          <w:rFonts w:ascii="Arial" w:cs="Arial" w:eastAsia="Arial" w:hAnsi="Arial"/>
          <w:b w:val="false"/>
          <w:bCs w:val="false"/>
          <w:i w:val="false"/>
          <w:iCs w:val="false"/>
          <w:sz w:val="22"/>
          <w:szCs w:val="22"/>
        </w:rPr>
        <w:t xml:space="preserve">, a glycoprotein that binds biotin with high affinity (cooking denatures avidin), or by extended total parenteral nutrition without biotin supplementation</w:t>
      </w:r>
    </w:p>
    <w:p>
      <w:pPr>
        <w:pStyle w:val="Heading1"/>
        <w:spacing w:after="120" w:before="240"/>
      </w:pPr>
      <w:r>
        <w:rPr>
          <w:rFonts w:ascii="Arial" w:cs="Arial" w:eastAsia="Arial" w:hAnsi="Arial"/>
          <w:b/>
          <w:bCs/>
          <w:color w:val="1F4E79"/>
          <w:sz w:val="30"/>
          <w:szCs w:val="30"/>
        </w:rPr>
        <w:t xml:space="preserve">Vitamin B9 (Folate)</w:t>
      </w:r>
    </w:p>
    <w:p>
      <w:pPr>
        <w:pStyle w:val="Heading2"/>
        <w:spacing w:after="120" w:before="240"/>
      </w:pPr>
      <w:r>
        <w:rPr>
          <w:rFonts w:ascii="Arial" w:cs="Arial" w:eastAsia="Arial" w:hAnsi="Arial"/>
          <w:b/>
          <w:bCs/>
          <w:color w:val="2E75B6"/>
          <w:sz w:val="26"/>
          <w:szCs w:val="26"/>
        </w:rPr>
        <w:t xml:space="preserve">Biochemistry &amp; Activation</w:t>
      </w:r>
    </w:p>
    <w:p>
      <w:pPr>
        <w:spacing w:after="160"/>
      </w:pPr>
      <w:r>
        <w:rPr>
          <w:rFonts w:ascii="Arial" w:cs="Arial" w:eastAsia="Arial" w:hAnsi="Arial"/>
          <w:b w:val="false"/>
          <w:bCs w:val="false"/>
          <w:i w:val="false"/>
          <w:iCs w:val="false"/>
          <w:sz w:val="22"/>
          <w:szCs w:val="22"/>
        </w:rPr>
        <w:t xml:space="preserve">Dietary folate is reduced to </w:t>
      </w:r>
      <w:r>
        <w:rPr>
          <w:rFonts w:ascii="Arial" w:cs="Arial" w:eastAsia="Arial" w:hAnsi="Arial"/>
          <w:b/>
          <w:bCs/>
          <w:i w:val="false"/>
          <w:iCs w:val="false"/>
          <w:sz w:val="22"/>
          <w:szCs w:val="22"/>
        </w:rPr>
        <w:t xml:space="preserve">tetrahydrofolate (THF)</w:t>
      </w:r>
      <w:r>
        <w:rPr>
          <w:rFonts w:ascii="Arial" w:cs="Arial" w:eastAsia="Arial" w:hAnsi="Arial"/>
          <w:b w:val="false"/>
          <w:bCs w:val="false"/>
          <w:i w:val="false"/>
          <w:iCs w:val="false"/>
          <w:sz w:val="22"/>
          <w:szCs w:val="22"/>
        </w:rPr>
        <w:t xml:space="preserve"> by </w:t>
      </w:r>
      <w:r>
        <w:rPr>
          <w:rFonts w:ascii="Arial" w:cs="Arial" w:eastAsia="Arial" w:hAnsi="Arial"/>
          <w:b/>
          <w:bCs/>
          <w:i w:val="false"/>
          <w:iCs w:val="false"/>
          <w:sz w:val="22"/>
          <w:szCs w:val="22"/>
        </w:rPr>
        <w:t xml:space="preserve">dihydrofolate reductase (DHFR)</w:t>
      </w:r>
      <w:r>
        <w:rPr>
          <w:rFonts w:ascii="Arial" w:cs="Arial" w:eastAsia="Arial" w:hAnsi="Arial"/>
          <w:b w:val="false"/>
          <w:bCs w:val="false"/>
          <w:i w:val="false"/>
          <w:iCs w:val="false"/>
          <w:sz w:val="22"/>
          <w:szCs w:val="22"/>
        </w:rPr>
        <w:t xml:space="preserve">. THF donates one-carbon units for:</w:t>
      </w:r>
    </w:p>
    <w:p>
      <w:pPr>
        <w:pStyle w:val="ListParagraph"/>
        <w:numPr>
          <w:ilvl w:val="0"/>
          <w:numId w:val="1"/>
        </w:numPr>
        <w:spacing w:after="80"/>
      </w:pPr>
      <w:r>
        <w:rPr>
          <w:rFonts w:ascii="Arial" w:cs="Arial" w:eastAsia="Arial" w:hAnsi="Arial"/>
          <w:b w:val="false"/>
          <w:bCs w:val="false"/>
          <w:i w:val="false"/>
          <w:iCs w:val="false"/>
          <w:sz w:val="22"/>
          <w:szCs w:val="22"/>
        </w:rPr>
        <w:t xml:space="preserve">De novo purine synthesis (adenine, guanine)</w:t>
      </w:r>
    </w:p>
    <w:p>
      <w:pPr>
        <w:pStyle w:val="ListParagraph"/>
        <w:numPr>
          <w:ilvl w:val="0"/>
          <w:numId w:val="1"/>
        </w:numPr>
        <w:spacing w:after="80"/>
      </w:pPr>
      <w:r>
        <w:rPr>
          <w:rFonts w:ascii="Arial" w:cs="Arial" w:eastAsia="Arial" w:hAnsi="Arial"/>
          <w:b/>
          <w:bCs/>
          <w:i w:val="false"/>
          <w:iCs w:val="false"/>
          <w:sz w:val="22"/>
          <w:szCs w:val="22"/>
        </w:rPr>
        <w:t xml:space="preserve">Thymidylate synthase</w:t>
      </w:r>
      <w:r>
        <w:rPr>
          <w:rFonts w:ascii="Arial" w:cs="Arial" w:eastAsia="Arial" w:hAnsi="Arial"/>
          <w:b w:val="false"/>
          <w:bCs w:val="false"/>
          <w:i w:val="false"/>
          <w:iCs w:val="false"/>
          <w:sz w:val="22"/>
          <w:szCs w:val="22"/>
        </w:rPr>
        <w:t xml:space="preserve">: dUMP → dTMP (requires 5,10-methylene-THF); blocked by </w:t>
      </w:r>
      <w:r>
        <w:rPr>
          <w:rFonts w:ascii="Arial" w:cs="Arial" w:eastAsia="Arial" w:hAnsi="Arial"/>
          <w:b/>
          <w:bCs/>
          <w:i w:val="false"/>
          <w:iCs w:val="false"/>
          <w:sz w:val="22"/>
          <w:szCs w:val="22"/>
        </w:rPr>
        <w:t xml:space="preserve">5-fluorouracil (5-FU)</w:t>
      </w:r>
    </w:p>
    <w:p>
      <w:pPr>
        <w:pStyle w:val="ListParagraph"/>
        <w:numPr>
          <w:ilvl w:val="0"/>
          <w:numId w:val="1"/>
        </w:numPr>
        <w:spacing w:after="80"/>
      </w:pPr>
      <w:r>
        <w:rPr>
          <w:rFonts w:ascii="Arial" w:cs="Arial" w:eastAsia="Arial" w:hAnsi="Arial"/>
          <w:b w:val="false"/>
          <w:bCs w:val="false"/>
          <w:i w:val="false"/>
          <w:iCs w:val="false"/>
          <w:sz w:val="22"/>
          <w:szCs w:val="22"/>
        </w:rPr>
        <w:t xml:space="preserve">Homocysteine → methionine via methionine synthase (requires 5-methyl-THF and B12)</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val="false"/>
          <w:bCs w:val="false"/>
          <w:i w:val="false"/>
          <w:iCs w:val="false"/>
          <w:sz w:val="22"/>
          <w:szCs w:val="22"/>
        </w:rPr>
        <w:t xml:space="preserve">Body stores last approximately 2-4 months. Unlike B12 deficiency, folate deficiency does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cause subacute combined degeneration</w:t>
      </w:r>
    </w:p>
    <w:p>
      <w:pPr>
        <w:pStyle w:val="ListParagraph"/>
        <w:numPr>
          <w:ilvl w:val="0"/>
          <w:numId w:val="1"/>
        </w:numPr>
        <w:spacing w:after="80"/>
      </w:pPr>
      <w:r>
        <w:rPr>
          <w:rFonts w:ascii="Arial" w:cs="Arial" w:eastAsia="Arial" w:hAnsi="Arial"/>
          <w:b/>
          <w:bCs/>
          <w:i w:val="false"/>
          <w:iCs w:val="false"/>
          <w:sz w:val="22"/>
          <w:szCs w:val="22"/>
        </w:rPr>
        <w:t xml:space="preserve">Megaloblastic anemia</w:t>
      </w:r>
      <w:r>
        <w:rPr>
          <w:rFonts w:ascii="Arial" w:cs="Arial" w:eastAsia="Arial" w:hAnsi="Arial"/>
          <w:b w:val="false"/>
          <w:bCs w:val="false"/>
          <w:i w:val="false"/>
          <w:iCs w:val="false"/>
          <w:sz w:val="22"/>
          <w:szCs w:val="22"/>
        </w:rPr>
        <w:t xml:space="preserve">: macrocytic RBCs and </w:t>
      </w:r>
      <w:r>
        <w:rPr>
          <w:rFonts w:ascii="Arial" w:cs="Arial" w:eastAsia="Arial" w:hAnsi="Arial"/>
          <w:b/>
          <w:bCs/>
          <w:i w:val="false"/>
          <w:iCs w:val="false"/>
          <w:sz w:val="22"/>
          <w:szCs w:val="22"/>
        </w:rPr>
        <w:t xml:space="preserve">hypersegmented neutrophils</w:t>
      </w:r>
      <w:r>
        <w:rPr>
          <w:rFonts w:ascii="Arial" w:cs="Arial" w:eastAsia="Arial" w:hAnsi="Arial"/>
          <w:b w:val="false"/>
          <w:bCs w:val="false"/>
          <w:i w:val="false"/>
          <w:iCs w:val="false"/>
          <w:sz w:val="22"/>
          <w:szCs w:val="22"/>
        </w:rPr>
        <w:t xml:space="preserve"> (≥ 5 lobes) on peripheral smear</w:t>
      </w:r>
    </w:p>
    <w:p>
      <w:pPr>
        <w:pStyle w:val="ListParagraph"/>
        <w:numPr>
          <w:ilvl w:val="0"/>
          <w:numId w:val="1"/>
        </w:numPr>
        <w:spacing w:after="80"/>
      </w:pPr>
      <w:r>
        <w:rPr>
          <w:rFonts w:ascii="Arial" w:cs="Arial" w:eastAsia="Arial" w:hAnsi="Arial"/>
          <w:b/>
          <w:bCs/>
          <w:i w:val="false"/>
          <w:iCs w:val="false"/>
          <w:sz w:val="22"/>
          <w:szCs w:val="22"/>
        </w:rPr>
        <w:t xml:space="preserve">Neural tube defects</w:t>
      </w:r>
      <w:r>
        <w:rPr>
          <w:rFonts w:ascii="Arial" w:cs="Arial" w:eastAsia="Arial" w:hAnsi="Arial"/>
          <w:b w:val="false"/>
          <w:bCs w:val="false"/>
          <w:i w:val="false"/>
          <w:iCs w:val="false"/>
          <w:sz w:val="22"/>
          <w:szCs w:val="22"/>
        </w:rPr>
        <w:t xml:space="preserve">: inadequate folate during the first 3-4 weeks after conception, when neural tube formation and closure occur (completing around day 28), leads to anencephaly, spina bifida, and meningomyelocele. Standard of care is </w:t>
      </w:r>
      <w:r>
        <w:rPr>
          <w:rFonts w:ascii="Arial" w:cs="Arial" w:eastAsia="Arial" w:hAnsi="Arial"/>
          <w:b/>
          <w:bCs/>
          <w:i w:val="false"/>
          <w:iCs w:val="false"/>
          <w:sz w:val="22"/>
          <w:szCs w:val="22"/>
        </w:rPr>
        <w:t xml:space="preserve">400 mcg/day</w:t>
      </w:r>
      <w:r>
        <w:rPr>
          <w:rFonts w:ascii="Arial" w:cs="Arial" w:eastAsia="Arial" w:hAnsi="Arial"/>
          <w:b w:val="false"/>
          <w:bCs w:val="false"/>
          <w:i w:val="false"/>
          <w:iCs w:val="false"/>
          <w:sz w:val="22"/>
          <w:szCs w:val="22"/>
        </w:rPr>
        <w:t xml:space="preserve"> periconceptionally</w:t>
      </w:r>
    </w:p>
    <w:p>
      <w:pPr>
        <w:pStyle w:val="Heading1"/>
        <w:spacing w:after="120" w:before="240"/>
      </w:pPr>
      <w:r>
        <w:rPr>
          <w:rFonts w:ascii="Arial" w:cs="Arial" w:eastAsia="Arial" w:hAnsi="Arial"/>
          <w:b/>
          <w:bCs/>
          <w:color w:val="1F4E79"/>
          <w:sz w:val="30"/>
          <w:szCs w:val="30"/>
        </w:rPr>
        <w:t xml:space="preserve">Vitamin B12 (Cobalamin)</w:t>
      </w:r>
    </w:p>
    <w:p>
      <w:pPr>
        <w:pStyle w:val="Heading2"/>
        <w:spacing w:after="120" w:before="240"/>
      </w:pPr>
      <w:r>
        <w:rPr>
          <w:rFonts w:ascii="Arial" w:cs="Arial" w:eastAsia="Arial" w:hAnsi="Arial"/>
          <w:b/>
          <w:bCs/>
          <w:color w:val="2E75B6"/>
          <w:sz w:val="26"/>
          <w:szCs w:val="26"/>
        </w:rPr>
        <w:t xml:space="preserve">Biochemistry &amp; Activation</w:t>
      </w:r>
    </w:p>
    <w:p>
      <w:pPr>
        <w:pStyle w:val="ListParagraph"/>
        <w:numPr>
          <w:ilvl w:val="0"/>
          <w:numId w:val="1"/>
        </w:numPr>
        <w:spacing w:after="80"/>
      </w:pPr>
      <w:r>
        <w:rPr>
          <w:rFonts w:ascii="Arial" w:cs="Arial" w:eastAsia="Arial" w:hAnsi="Arial"/>
          <w:b w:val="false"/>
          <w:bCs w:val="false"/>
          <w:i w:val="false"/>
          <w:iCs w:val="false"/>
          <w:sz w:val="22"/>
          <w:szCs w:val="22"/>
        </w:rPr>
        <w:t xml:space="preserve">Dietary cobalamin is released from food protein by gastric acid, bound to </w:t>
      </w:r>
      <w:r>
        <w:rPr>
          <w:rFonts w:ascii="Arial" w:cs="Arial" w:eastAsia="Arial" w:hAnsi="Arial"/>
          <w:b/>
          <w:bCs/>
          <w:i w:val="false"/>
          <w:iCs w:val="false"/>
          <w:sz w:val="22"/>
          <w:szCs w:val="22"/>
        </w:rPr>
        <w:t xml:space="preserve">intrinsic factor (IF)</w:t>
      </w:r>
      <w:r>
        <w:rPr>
          <w:rFonts w:ascii="Arial" w:cs="Arial" w:eastAsia="Arial" w:hAnsi="Arial"/>
          <w:b w:val="false"/>
          <w:bCs w:val="false"/>
          <w:i w:val="false"/>
          <w:iCs w:val="false"/>
          <w:sz w:val="22"/>
          <w:szCs w:val="22"/>
        </w:rPr>
        <w:t xml:space="preserve"> secreted by gastric parietal cells</w:t>
      </w:r>
    </w:p>
    <w:p>
      <w:pPr>
        <w:pStyle w:val="ListParagraph"/>
        <w:numPr>
          <w:ilvl w:val="0"/>
          <w:numId w:val="1"/>
        </w:numPr>
        <w:spacing w:after="80"/>
      </w:pPr>
      <w:r>
        <w:rPr>
          <w:rFonts w:ascii="Arial" w:cs="Arial" w:eastAsia="Arial" w:hAnsi="Arial"/>
          <w:b w:val="false"/>
          <w:bCs w:val="false"/>
          <w:i w:val="false"/>
          <w:iCs w:val="false"/>
          <w:sz w:val="22"/>
          <w:szCs w:val="22"/>
        </w:rPr>
        <w:t xml:space="preserve">Absorbed in the </w:t>
      </w:r>
      <w:r>
        <w:rPr>
          <w:rFonts w:ascii="Arial" w:cs="Arial" w:eastAsia="Arial" w:hAnsi="Arial"/>
          <w:b/>
          <w:bCs/>
          <w:i w:val="false"/>
          <w:iCs w:val="false"/>
          <w:sz w:val="22"/>
          <w:szCs w:val="22"/>
        </w:rPr>
        <w:t xml:space="preserve">terminal ileum</w:t>
      </w:r>
      <w:r>
        <w:rPr>
          <w:rFonts w:ascii="Arial" w:cs="Arial" w:eastAsia="Arial" w:hAnsi="Arial"/>
          <w:b w:val="false"/>
          <w:bCs w:val="false"/>
          <w:i w:val="false"/>
          <w:iCs w:val="false"/>
          <w:sz w:val="22"/>
          <w:szCs w:val="22"/>
        </w:rPr>
        <w:t xml:space="preserve"> via cubilin receptors</w:t>
      </w:r>
    </w:p>
    <w:p>
      <w:pPr>
        <w:spacing w:after="160"/>
      </w:pPr>
      <w:r>
        <w:rPr>
          <w:rFonts w:ascii="Arial" w:cs="Arial" w:eastAsia="Arial" w:hAnsi="Arial"/>
          <w:b w:val="false"/>
          <w:bCs w:val="false"/>
          <w:i w:val="false"/>
          <w:iCs w:val="false"/>
          <w:sz w:val="22"/>
          <w:szCs w:val="22"/>
        </w:rPr>
        <w:t xml:space="preserve">Two active forms serve distinct reactions:</w:t>
      </w:r>
    </w:p>
    <w:p>
      <w:pPr>
        <w:pStyle w:val="ListParagraph"/>
        <w:numPr>
          <w:ilvl w:val="0"/>
          <w:numId w:val="1"/>
        </w:numPr>
        <w:spacing w:after="80"/>
      </w:pPr>
      <w:r>
        <w:rPr>
          <w:rFonts w:ascii="Arial" w:cs="Arial" w:eastAsia="Arial" w:hAnsi="Arial"/>
          <w:b/>
          <w:bCs/>
          <w:i w:val="false"/>
          <w:iCs w:val="false"/>
          <w:sz w:val="22"/>
          <w:szCs w:val="22"/>
        </w:rPr>
        <w:t xml:space="preserve">Methylcobalamin</w:t>
      </w:r>
      <w:r>
        <w:rPr>
          <w:rFonts w:ascii="Arial" w:cs="Arial" w:eastAsia="Arial" w:hAnsi="Arial"/>
          <w:b w:val="false"/>
          <w:bCs w:val="false"/>
          <w:i w:val="false"/>
          <w:iCs w:val="false"/>
          <w:sz w:val="22"/>
          <w:szCs w:val="22"/>
        </w:rPr>
        <w:t xml:space="preserve">: cofactor for </w:t>
      </w:r>
      <w:r>
        <w:rPr>
          <w:rFonts w:ascii="Arial" w:cs="Arial" w:eastAsia="Arial" w:hAnsi="Arial"/>
          <w:b/>
          <w:bCs/>
          <w:i w:val="false"/>
          <w:iCs w:val="false"/>
          <w:sz w:val="22"/>
          <w:szCs w:val="22"/>
        </w:rPr>
        <w:t xml:space="preserve">methionine synthase</w:t>
      </w:r>
      <w:r>
        <w:rPr>
          <w:rFonts w:ascii="Arial" w:cs="Arial" w:eastAsia="Arial" w:hAnsi="Arial"/>
          <w:b w:val="false"/>
          <w:bCs w:val="false"/>
          <w:i w:val="false"/>
          <w:iCs w:val="false"/>
          <w:sz w:val="22"/>
          <w:szCs w:val="22"/>
        </w:rPr>
        <w:t xml:space="preserve"> (5-methyl-THF + homocysteine → THF + methionine), regenerating THF and creating the </w:t>
      </w:r>
      <w:r>
        <w:rPr>
          <w:rFonts w:ascii="Arial" w:cs="Arial" w:eastAsia="Arial" w:hAnsi="Arial"/>
          <w:b/>
          <w:bCs/>
          <w:i w:val="false"/>
          <w:iCs w:val="false"/>
          <w:sz w:val="22"/>
          <w:szCs w:val="22"/>
        </w:rPr>
        <w:t xml:space="preserve">folate trap</w:t>
      </w:r>
      <w:r>
        <w:rPr>
          <w:rFonts w:ascii="Arial" w:cs="Arial" w:eastAsia="Arial" w:hAnsi="Arial"/>
          <w:b w:val="false"/>
          <w:bCs w:val="false"/>
          <w:i w:val="false"/>
          <w:iCs w:val="false"/>
          <w:sz w:val="22"/>
          <w:szCs w:val="22"/>
        </w:rPr>
        <w:t xml:space="preserve"> when B12 is absent</w:t>
      </w:r>
    </w:p>
    <w:p>
      <w:pPr>
        <w:pStyle w:val="ListParagraph"/>
        <w:numPr>
          <w:ilvl w:val="0"/>
          <w:numId w:val="1"/>
        </w:numPr>
        <w:spacing w:after="80"/>
      </w:pPr>
      <w:r>
        <w:rPr>
          <w:rFonts w:ascii="Arial" w:cs="Arial" w:eastAsia="Arial" w:hAnsi="Arial"/>
          <w:b/>
          <w:bCs/>
          <w:i w:val="false"/>
          <w:iCs w:val="false"/>
          <w:sz w:val="22"/>
          <w:szCs w:val="22"/>
        </w:rPr>
        <w:t xml:space="preserve">Adenosylcobalamin</w:t>
      </w:r>
      <w:r>
        <w:rPr>
          <w:rFonts w:ascii="Arial" w:cs="Arial" w:eastAsia="Arial" w:hAnsi="Arial"/>
          <w:b w:val="false"/>
          <w:bCs w:val="false"/>
          <w:i w:val="false"/>
          <w:iCs w:val="false"/>
          <w:sz w:val="22"/>
          <w:szCs w:val="22"/>
        </w:rPr>
        <w:t xml:space="preserve">: cofactor for </w:t>
      </w:r>
      <w:r>
        <w:rPr>
          <w:rFonts w:ascii="Arial" w:cs="Arial" w:eastAsia="Arial" w:hAnsi="Arial"/>
          <w:b/>
          <w:bCs/>
          <w:i w:val="false"/>
          <w:iCs w:val="false"/>
          <w:sz w:val="22"/>
          <w:szCs w:val="22"/>
        </w:rPr>
        <w:t xml:space="preserve">methylmalonyl-CoA mutase</w:t>
      </w:r>
      <w:r>
        <w:rPr>
          <w:rFonts w:ascii="Arial" w:cs="Arial" w:eastAsia="Arial" w:hAnsi="Arial"/>
          <w:b w:val="false"/>
          <w:bCs w:val="false"/>
          <w:i w:val="false"/>
          <w:iCs w:val="false"/>
          <w:sz w:val="22"/>
          <w:szCs w:val="22"/>
        </w:rPr>
        <w:t xml:space="preserve"> (methylmalonyl-CoA → succinyl-CoA); deficiency causes accumulation of </w:t>
      </w:r>
      <w:r>
        <w:rPr>
          <w:rFonts w:ascii="Arial" w:cs="Arial" w:eastAsia="Arial" w:hAnsi="Arial"/>
          <w:b/>
          <w:bCs/>
          <w:i w:val="false"/>
          <w:iCs w:val="false"/>
          <w:sz w:val="22"/>
          <w:szCs w:val="22"/>
        </w:rPr>
        <w:t xml:space="preserve">methylmalonic acid (MMA)</w:t>
      </w:r>
      <w:r>
        <w:rPr>
          <w:rFonts w:ascii="Arial" w:cs="Arial" w:eastAsia="Arial" w:hAnsi="Arial"/>
          <w:b w:val="false"/>
          <w:bCs w:val="false"/>
          <w:i w:val="false"/>
          <w:iCs w:val="false"/>
          <w:sz w:val="22"/>
          <w:szCs w:val="22"/>
        </w:rPr>
        <w:t xml:space="preserve">, the key diagnostic marker</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bCs/>
          <w:i w:val="false"/>
          <w:iCs w:val="false"/>
          <w:sz w:val="22"/>
          <w:szCs w:val="22"/>
        </w:rPr>
        <w:t xml:space="preserve">Megaloblastic anemia</w:t>
      </w:r>
      <w:r>
        <w:rPr>
          <w:rFonts w:ascii="Arial" w:cs="Arial" w:eastAsia="Arial" w:hAnsi="Arial"/>
          <w:b w:val="false"/>
          <w:bCs w:val="false"/>
          <w:i w:val="false"/>
          <w:iCs w:val="false"/>
          <w:sz w:val="22"/>
          <w:szCs w:val="22"/>
        </w:rPr>
        <w:t xml:space="preserve"> plus </w:t>
      </w:r>
      <w:r>
        <w:rPr>
          <w:rFonts w:ascii="Arial" w:cs="Arial" w:eastAsia="Arial" w:hAnsi="Arial"/>
          <w:b/>
          <w:bCs/>
          <w:i w:val="false"/>
          <w:iCs w:val="false"/>
          <w:sz w:val="22"/>
          <w:szCs w:val="22"/>
        </w:rPr>
        <w:t xml:space="preserve">neurologic disease</w:t>
      </w:r>
      <w:r>
        <w:rPr>
          <w:rFonts w:ascii="Arial" w:cs="Arial" w:eastAsia="Arial" w:hAnsi="Arial"/>
          <w:b w:val="false"/>
          <w:bCs w:val="false"/>
          <w:i w:val="false"/>
          <w:iCs w:val="false"/>
          <w:sz w:val="22"/>
          <w:szCs w:val="22"/>
        </w:rPr>
        <w:t xml:space="preserve">, a combination that folate deficiency alone does not produce</w:t>
      </w:r>
    </w:p>
    <w:p>
      <w:pPr>
        <w:pStyle w:val="ListParagraph"/>
        <w:numPr>
          <w:ilvl w:val="0"/>
          <w:numId w:val="1"/>
        </w:numPr>
        <w:spacing w:after="80"/>
      </w:pPr>
      <w:r>
        <w:rPr>
          <w:rFonts w:ascii="Arial" w:cs="Arial" w:eastAsia="Arial" w:hAnsi="Arial"/>
          <w:b/>
          <w:bCs/>
          <w:i w:val="false"/>
          <w:iCs w:val="false"/>
          <w:sz w:val="22"/>
          <w:szCs w:val="22"/>
        </w:rPr>
        <w:t xml:space="preserve">Subacute combined degeneration</w:t>
      </w:r>
    </w:p>
    <w:p>
      <w:pPr>
        <w:pStyle w:val="ListParagraph"/>
        <w:numPr>
          <w:ilvl w:val="0"/>
          <w:numId w:val="1"/>
        </w:numPr>
        <w:spacing w:after="80"/>
      </w:pPr>
      <w:r>
        <w:rPr>
          <w:rFonts w:ascii="Arial" w:cs="Arial" w:eastAsia="Arial" w:hAnsi="Arial"/>
          <w:b w:val="false"/>
          <w:bCs w:val="false"/>
          <w:i w:val="false"/>
          <w:iCs w:val="false"/>
          <w:sz w:val="22"/>
          <w:szCs w:val="22"/>
        </w:rPr>
        <w:t xml:space="preserve">Demyelination of the </w:t>
      </w:r>
      <w:r>
        <w:rPr>
          <w:rFonts w:ascii="Arial" w:cs="Arial" w:eastAsia="Arial" w:hAnsi="Arial"/>
          <w:b/>
          <w:bCs/>
          <w:i w:val="false"/>
          <w:iCs w:val="false"/>
          <w:sz w:val="22"/>
          <w:szCs w:val="22"/>
        </w:rPr>
        <w:t xml:space="preserve">posterior columns</w:t>
      </w:r>
      <w:r>
        <w:rPr>
          <w:rFonts w:ascii="Arial" w:cs="Arial" w:eastAsia="Arial" w:hAnsi="Arial"/>
          <w:b w:val="false"/>
          <w:bCs w:val="false"/>
          <w:i w:val="false"/>
          <w:iCs w:val="false"/>
          <w:sz w:val="22"/>
          <w:szCs w:val="22"/>
        </w:rPr>
        <w:t xml:space="preserve"> (loss of vibration and proprioception) and </w:t>
      </w:r>
      <w:r>
        <w:rPr>
          <w:rFonts w:ascii="Arial" w:cs="Arial" w:eastAsia="Arial" w:hAnsi="Arial"/>
          <w:b/>
          <w:bCs/>
          <w:i w:val="false"/>
          <w:iCs w:val="false"/>
          <w:sz w:val="22"/>
          <w:szCs w:val="22"/>
        </w:rPr>
        <w:t xml:space="preserve">lateral corticospinal tracts</w:t>
      </w:r>
      <w:r>
        <w:rPr>
          <w:rFonts w:ascii="Arial" w:cs="Arial" w:eastAsia="Arial" w:hAnsi="Arial"/>
          <w:b w:val="false"/>
          <w:bCs w:val="false"/>
          <w:i w:val="false"/>
          <w:iCs w:val="false"/>
          <w:sz w:val="22"/>
          <w:szCs w:val="22"/>
        </w:rPr>
        <w:t xml:space="preserve"> (spastic weakness, hyperreflexia, Babinski sign)</w:t>
      </w:r>
    </w:p>
    <w:p>
      <w:pPr>
        <w:pStyle w:val="ListParagraph"/>
        <w:numPr>
          <w:ilvl w:val="0"/>
          <w:numId w:val="1"/>
        </w:numPr>
        <w:spacing w:after="80"/>
      </w:pPr>
      <w:r>
        <w:rPr>
          <w:rFonts w:ascii="Arial" w:cs="Arial" w:eastAsia="Arial" w:hAnsi="Arial"/>
          <w:b w:val="false"/>
          <w:bCs w:val="false"/>
          <w:i w:val="false"/>
          <w:iCs w:val="false"/>
          <w:sz w:val="22"/>
          <w:szCs w:val="22"/>
        </w:rPr>
        <w:t xml:space="preserve">Dementia may develop in advanced disease</w:t>
      </w:r>
    </w:p>
    <w:p>
      <w:pPr>
        <w:pStyle w:val="ListParagraph"/>
        <w:numPr>
          <w:ilvl w:val="0"/>
          <w:numId w:val="1"/>
        </w:numPr>
        <w:spacing w:after="80"/>
      </w:pPr>
      <w:r>
        <w:rPr>
          <w:rFonts w:ascii="Arial" w:cs="Arial" w:eastAsia="Arial" w:hAnsi="Arial"/>
          <w:b w:val="false"/>
          <w:bCs w:val="false"/>
          <w:i w:val="false"/>
          <w:iCs w:val="false"/>
          <w:sz w:val="22"/>
          <w:szCs w:val="22"/>
        </w:rPr>
        <w:t xml:space="preserve">Neurologic damage is irreversible if untreated</w:t>
      </w:r>
    </w:p>
    <w:p>
      <w:pPr>
        <w:pStyle w:val="ListParagraph"/>
        <w:numPr>
          <w:ilvl w:val="0"/>
          <w:numId w:val="1"/>
        </w:numPr>
        <w:spacing w:after="80"/>
      </w:pPr>
      <w:r>
        <w:rPr>
          <w:rFonts w:ascii="Arial" w:cs="Arial" w:eastAsia="Arial" w:hAnsi="Arial"/>
          <w:b/>
          <w:bCs/>
          <w:i w:val="false"/>
          <w:iCs w:val="false"/>
          <w:sz w:val="22"/>
          <w:szCs w:val="22"/>
        </w:rPr>
        <w:t xml:space="preserve">Pernicious anemia</w:t>
      </w:r>
    </w:p>
    <w:p>
      <w:pPr>
        <w:pStyle w:val="ListParagraph"/>
        <w:numPr>
          <w:ilvl w:val="0"/>
          <w:numId w:val="1"/>
        </w:numPr>
        <w:spacing w:after="80"/>
      </w:pPr>
      <w:r>
        <w:rPr>
          <w:rFonts w:ascii="Arial" w:cs="Arial" w:eastAsia="Arial" w:hAnsi="Arial"/>
          <w:b w:val="false"/>
          <w:bCs w:val="false"/>
          <w:i w:val="false"/>
          <w:iCs w:val="false"/>
          <w:sz w:val="22"/>
          <w:szCs w:val="22"/>
        </w:rPr>
        <w:t xml:space="preserve">Autoimmune destruction of gastric parietal cells leads to loss of intrinsic factor and B12 malabsorption</w:t>
      </w:r>
    </w:p>
    <w:p>
      <w:pPr>
        <w:pStyle w:val="ListParagraph"/>
        <w:numPr>
          <w:ilvl w:val="0"/>
          <w:numId w:val="1"/>
        </w:numPr>
        <w:spacing w:after="80"/>
      </w:pPr>
      <w:r>
        <w:rPr>
          <w:rFonts w:ascii="Arial" w:cs="Arial" w:eastAsia="Arial" w:hAnsi="Arial"/>
          <w:b w:val="false"/>
          <w:bCs w:val="false"/>
          <w:i w:val="false"/>
          <w:iCs w:val="false"/>
          <w:sz w:val="22"/>
          <w:szCs w:val="22"/>
        </w:rPr>
        <w:t xml:space="preserve">Diagnosed by </w:t>
      </w:r>
      <w:r>
        <w:rPr>
          <w:rFonts w:ascii="Arial" w:cs="Arial" w:eastAsia="Arial" w:hAnsi="Arial"/>
          <w:b/>
          <w:bCs/>
          <w:i w:val="false"/>
          <w:iCs w:val="false"/>
          <w:sz w:val="22"/>
          <w:szCs w:val="22"/>
        </w:rPr>
        <w:t xml:space="preserve">anti-intrinsic factor antibodies</w:t>
      </w:r>
      <w:r>
        <w:rPr>
          <w:rFonts w:ascii="Arial" w:cs="Arial" w:eastAsia="Arial" w:hAnsi="Arial"/>
          <w:b w:val="false"/>
          <w:bCs w:val="false"/>
          <w:i w:val="false"/>
          <w:iCs w:val="false"/>
          <w:sz w:val="22"/>
          <w:szCs w:val="22"/>
        </w:rPr>
        <w:t xml:space="preserve"> (specific) or anti-parietal cell antibodies (sensitive)</w:t>
      </w:r>
    </w:p>
    <w:p>
      <w:pPr>
        <w:pStyle w:val="ListParagraph"/>
        <w:numPr>
          <w:ilvl w:val="0"/>
          <w:numId w:val="1"/>
        </w:numPr>
        <w:spacing w:after="80"/>
      </w:pPr>
      <w:r>
        <w:rPr>
          <w:rFonts w:ascii="Arial" w:cs="Arial" w:eastAsia="Arial" w:hAnsi="Arial"/>
          <w:b w:val="false"/>
          <w:bCs w:val="false"/>
          <w:i w:val="false"/>
          <w:iCs w:val="false"/>
          <w:sz w:val="22"/>
          <w:szCs w:val="22"/>
        </w:rPr>
        <w:t xml:space="preserve">Associated with autoimmune thyroiditis and type 1 diabetes</w:t>
      </w:r>
    </w:p>
    <w:p>
      <w:pPr>
        <w:pStyle w:val="ListParagraph"/>
        <w:numPr>
          <w:ilvl w:val="0"/>
          <w:numId w:val="1"/>
        </w:numPr>
        <w:spacing w:after="80"/>
      </w:pPr>
      <w:r>
        <w:rPr>
          <w:rFonts w:ascii="Arial" w:cs="Arial" w:eastAsia="Arial" w:hAnsi="Arial"/>
          <w:b/>
          <w:bCs/>
          <w:i w:val="false"/>
          <w:iCs w:val="false"/>
          <w:sz w:val="22"/>
          <w:szCs w:val="22"/>
        </w:rPr>
        <w:t xml:space="preserve">Folate trap</w:t>
      </w:r>
      <w:r>
        <w:rPr>
          <w:rFonts w:ascii="Arial" w:cs="Arial" w:eastAsia="Arial" w:hAnsi="Arial"/>
          <w:b w:val="false"/>
          <w:bCs w:val="false"/>
          <w:i w:val="false"/>
          <w:iCs w:val="false"/>
          <w:sz w:val="22"/>
          <w:szCs w:val="22"/>
        </w:rPr>
        <w:t xml:space="preserve">: Without B12, 5-methyl-THF cannot be converted back to free THF, so folate accumulates in an unusable form and DNA synthesis is impaired even when total folate is adequate. This is why B12 deficiency produces megaloblastic anemia despite normal or elevated serum folate</w:t>
      </w:r>
    </w:p>
    <w:tbl>
      <w:tblPr>
        <w:tblW w:type="dxa" w:w="83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780"/>
        <w:gridCol w:w="2780"/>
      </w:tblGrid>
      <w:tr>
        <w:tc>
          <w:tcPr>
            <w:gridSpan w:val="3"/>
            <w:tcBorders>
              <w:top w:val="single" w:color="000000" w:sz="4"/>
              <w:left w:val="single" w:color="000000" w:sz="4"/>
              <w:bottom w:val="single" w:color="000000" w:sz="4"/>
              <w:right w:val="single" w:color="000000" w:sz="4"/>
            </w:tcBorders>
          </w:tcPr>
          <w:p>
            <w:pPr>
              <w:jc w:val="center"/>
            </w:pPr>
            <w:r>
              <w:rPr>
                <w:rFonts w:ascii="Arial" w:cs="Arial" w:eastAsia="Arial" w:hAnsi="Arial"/>
                <w:b/>
                <w:bCs/>
                <w:sz w:val="20"/>
                <w:szCs w:val="20"/>
              </w:rPr>
              <w:t xml:space="preserve">B9 vs. B12 Deficiency</w:t>
            </w:r>
          </w:p>
        </w:tc>
      </w:tr>
      <w:tr>
        <w:tc>
          <w:tcPr>
            <w:tcW w:type="dxa" w:w="2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Feature</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B9 Deficiency</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B12 Deficiency</w:t>
            </w:r>
          </w:p>
        </w:tc>
      </w:tr>
      <w:tr>
        <w:tc>
          <w:tcPr>
            <w:tcW w:type="dxa" w:w="2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Megaloblastic Anemia</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Yes</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Yes</w:t>
            </w:r>
          </w:p>
        </w:tc>
      </w:tr>
      <w:tr>
        <w:tc>
          <w:tcPr>
            <w:tcW w:type="dxa" w:w="2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Hypersegmented Neutrophils</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Yes</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Yes</w:t>
            </w:r>
          </w:p>
        </w:tc>
      </w:tr>
      <w:tr>
        <w:tc>
          <w:tcPr>
            <w:tcW w:type="dxa" w:w="2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Subacute Combined Degeneration</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bCs/>
                <w:i w:val="false"/>
                <w:iCs w:val="false"/>
                <w:sz w:val="20"/>
                <w:szCs w:val="20"/>
              </w:rPr>
              <w:t xml:space="preserve">No</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bCs/>
                <w:i w:val="false"/>
                <w:iCs w:val="false"/>
                <w:sz w:val="20"/>
                <w:szCs w:val="20"/>
              </w:rPr>
              <w:t xml:space="preserve">Yes</w:t>
            </w:r>
          </w:p>
        </w:tc>
      </w:tr>
      <w:tr>
        <w:tc>
          <w:tcPr>
            <w:tcW w:type="dxa" w:w="2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Methylmalonic Acid (MMA)</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Normal</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bCs/>
                <w:i w:val="false"/>
                <w:iCs w:val="false"/>
                <w:sz w:val="20"/>
                <w:szCs w:val="20"/>
              </w:rPr>
              <w:t xml:space="preserve">Elevated</w:t>
            </w:r>
          </w:p>
        </w:tc>
      </w:tr>
      <w:tr>
        <w:tc>
          <w:tcPr>
            <w:tcW w:type="dxa" w:w="2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Homocysteine</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Elevated</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Elevated</w:t>
            </w:r>
          </w:p>
        </w:tc>
      </w:tr>
      <w:tr>
        <w:tc>
          <w:tcPr>
            <w:tcW w:type="dxa" w:w="2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Serum Folate</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Low</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May appear elevated (folate trap)</w:t>
            </w:r>
          </w:p>
        </w:tc>
      </w:tr>
      <w:tr>
        <w:tc>
          <w:tcPr>
            <w:tcW w:type="dxa" w:w="2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Neural Tube Defect Risk</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bCs/>
                <w:i w:val="false"/>
                <w:iCs w:val="false"/>
                <w:sz w:val="20"/>
                <w:szCs w:val="20"/>
              </w:rPr>
              <w:t xml:space="preserve">Yes</w:t>
            </w:r>
          </w:p>
        </w:tc>
        <w:tc>
          <w:tcPr>
            <w:tcW w:type="dxa" w:w="278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No</w:t>
            </w:r>
          </w:p>
        </w:tc>
      </w:tr>
    </w:tbl>
    <w:p>
      <w:pPr>
        <w:pStyle w:val="Heading1"/>
        <w:spacing w:after="120" w:before="240"/>
      </w:pPr>
      <w:r>
        <w:rPr>
          <w:rFonts w:ascii="Arial" w:cs="Arial" w:eastAsia="Arial" w:hAnsi="Arial"/>
          <w:b/>
          <w:bCs/>
          <w:color w:val="1F4E79"/>
          <w:sz w:val="30"/>
          <w:szCs w:val="30"/>
        </w:rPr>
        <w:t xml:space="preserve">Vitamin C (Ascorbic Acid)</w:t>
      </w:r>
    </w:p>
    <w:p>
      <w:pPr>
        <w:pStyle w:val="Heading2"/>
        <w:spacing w:after="120" w:before="240"/>
      </w:pPr>
      <w:r>
        <w:rPr>
          <w:rFonts w:ascii="Arial" w:cs="Arial" w:eastAsia="Arial" w:hAnsi="Arial"/>
          <w:b/>
          <w:bCs/>
          <w:color w:val="2E75B6"/>
          <w:sz w:val="26"/>
          <w:szCs w:val="26"/>
        </w:rPr>
        <w:t xml:space="preserve">Biochemistry &amp; Functions</w:t>
      </w:r>
    </w:p>
    <w:p>
      <w:pPr>
        <w:spacing w:after="160"/>
      </w:pPr>
      <w:r>
        <w:rPr>
          <w:rFonts w:ascii="Arial" w:cs="Arial" w:eastAsia="Arial" w:hAnsi="Arial"/>
          <w:b w:val="false"/>
          <w:bCs w:val="false"/>
          <w:i w:val="false"/>
          <w:iCs w:val="false"/>
          <w:sz w:val="22"/>
          <w:szCs w:val="22"/>
        </w:rPr>
        <w:t xml:space="preserve">Ascorbic acid is a </w:t>
      </w:r>
      <w:r>
        <w:rPr>
          <w:rFonts w:ascii="Arial" w:cs="Arial" w:eastAsia="Arial" w:hAnsi="Arial"/>
          <w:b/>
          <w:bCs/>
          <w:i w:val="false"/>
          <w:iCs w:val="false"/>
          <w:sz w:val="22"/>
          <w:szCs w:val="22"/>
        </w:rPr>
        <w:t xml:space="preserve">reducing agent</w:t>
      </w:r>
      <w:r>
        <w:rPr>
          <w:rFonts w:ascii="Arial" w:cs="Arial" w:eastAsia="Arial" w:hAnsi="Arial"/>
          <w:b w:val="false"/>
          <w:bCs w:val="false"/>
          <w:i w:val="false"/>
          <w:iCs w:val="false"/>
          <w:sz w:val="22"/>
          <w:szCs w:val="22"/>
        </w:rPr>
        <w:t xml:space="preserve"> and antioxidant with several board-tested roles:</w:t>
      </w:r>
    </w:p>
    <w:p>
      <w:pPr>
        <w:pStyle w:val="ListParagraph"/>
        <w:numPr>
          <w:ilvl w:val="0"/>
          <w:numId w:val="1"/>
        </w:numPr>
        <w:spacing w:after="80"/>
      </w:pPr>
      <w:r>
        <w:rPr>
          <w:rFonts w:ascii="Arial" w:cs="Arial" w:eastAsia="Arial" w:hAnsi="Arial"/>
          <w:b/>
          <w:bCs/>
          <w:i w:val="false"/>
          <w:iCs w:val="false"/>
          <w:sz w:val="22"/>
          <w:szCs w:val="22"/>
        </w:rPr>
        <w:t xml:space="preserve">Collagen synthesis</w:t>
      </w:r>
      <w:r>
        <w:rPr>
          <w:rFonts w:ascii="Arial" w:cs="Arial" w:eastAsia="Arial" w:hAnsi="Arial"/>
          <w:b w:val="false"/>
          <w:bCs w:val="false"/>
          <w:i w:val="false"/>
          <w:iCs w:val="false"/>
          <w:sz w:val="22"/>
          <w:szCs w:val="22"/>
        </w:rPr>
        <w:t xml:space="preserve">: cofactor for </w:t>
      </w:r>
      <w:r>
        <w:rPr>
          <w:rFonts w:ascii="Arial" w:cs="Arial" w:eastAsia="Arial" w:hAnsi="Arial"/>
          <w:b/>
          <w:bCs/>
          <w:i w:val="false"/>
          <w:iCs w:val="false"/>
          <w:sz w:val="22"/>
          <w:szCs w:val="22"/>
        </w:rPr>
        <w:t xml:space="preserve">prolyl and lysyl hydroxylase</w:t>
      </w:r>
      <w:r>
        <w:rPr>
          <w:rFonts w:ascii="Arial" w:cs="Arial" w:eastAsia="Arial" w:hAnsi="Arial"/>
          <w:b w:val="false"/>
          <w:bCs w:val="false"/>
          <w:i w:val="false"/>
          <w:iCs w:val="false"/>
          <w:sz w:val="22"/>
          <w:szCs w:val="22"/>
        </w:rPr>
        <w:t xml:space="preserve">, which hydroxylate proline and lysine in procollagen. Without hydroxylation, the collagen triple helix cannot form, resulting in defective connective tissue</w:t>
      </w:r>
    </w:p>
    <w:p>
      <w:pPr>
        <w:pStyle w:val="ListParagraph"/>
        <w:numPr>
          <w:ilvl w:val="0"/>
          <w:numId w:val="1"/>
        </w:numPr>
        <w:spacing w:after="80"/>
      </w:pPr>
      <w:r>
        <w:rPr>
          <w:rFonts w:ascii="Arial" w:cs="Arial" w:eastAsia="Arial" w:hAnsi="Arial"/>
          <w:b/>
          <w:bCs/>
          <w:i w:val="false"/>
          <w:iCs w:val="false"/>
          <w:sz w:val="22"/>
          <w:szCs w:val="22"/>
        </w:rPr>
        <w:t xml:space="preserve">Iron absorption</w:t>
      </w:r>
      <w:r>
        <w:rPr>
          <w:rFonts w:ascii="Arial" w:cs="Arial" w:eastAsia="Arial" w:hAnsi="Arial"/>
          <w:b w:val="false"/>
          <w:bCs w:val="false"/>
          <w:i w:val="false"/>
          <w:iCs w:val="false"/>
          <w:sz w:val="22"/>
          <w:szCs w:val="22"/>
        </w:rPr>
        <w:t xml:space="preserve">: reduces dietary Fe³⁺ to Fe²⁺ at the brush border of duodenal enterocytes; Fe²⁺ is the form absorbed by enterocytes</w:t>
      </w:r>
    </w:p>
    <w:p>
      <w:pPr>
        <w:pStyle w:val="ListParagraph"/>
        <w:numPr>
          <w:ilvl w:val="0"/>
          <w:numId w:val="1"/>
        </w:numPr>
        <w:spacing w:after="80"/>
      </w:pPr>
      <w:r>
        <w:rPr>
          <w:rFonts w:ascii="Arial" w:cs="Arial" w:eastAsia="Arial" w:hAnsi="Arial"/>
          <w:b/>
          <w:bCs/>
          <w:i w:val="false"/>
          <w:iCs w:val="false"/>
          <w:sz w:val="22"/>
          <w:szCs w:val="22"/>
        </w:rPr>
        <w:t xml:space="preserve">Antioxidant</w:t>
      </w:r>
      <w:r>
        <w:rPr>
          <w:rFonts w:ascii="Arial" w:cs="Arial" w:eastAsia="Arial" w:hAnsi="Arial"/>
          <w:b w:val="false"/>
          <w:bCs w:val="false"/>
          <w:i w:val="false"/>
          <w:iCs w:val="false"/>
          <w:sz w:val="22"/>
          <w:szCs w:val="22"/>
        </w:rPr>
        <w:t xml:space="preserve">: scavenges reactive oxygen species; regenerates vitamin E</w:t>
      </w:r>
    </w:p>
    <w:p>
      <w:pPr>
        <w:pStyle w:val="ListParagraph"/>
        <w:numPr>
          <w:ilvl w:val="0"/>
          <w:numId w:val="1"/>
        </w:numPr>
        <w:spacing w:after="80"/>
      </w:pPr>
      <w:r>
        <w:rPr>
          <w:rFonts w:ascii="Arial" w:cs="Arial" w:eastAsia="Arial" w:hAnsi="Arial"/>
          <w:b/>
          <w:bCs/>
          <w:i w:val="false"/>
          <w:iCs w:val="false"/>
          <w:sz w:val="22"/>
          <w:szCs w:val="22"/>
        </w:rPr>
        <w:t xml:space="preserve">Dopamine β-hydroxylase</w:t>
      </w:r>
      <w:r>
        <w:rPr>
          <w:rFonts w:ascii="Arial" w:cs="Arial" w:eastAsia="Arial" w:hAnsi="Arial"/>
          <w:b w:val="false"/>
          <w:bCs w:val="false"/>
          <w:i w:val="false"/>
          <w:iCs w:val="false"/>
          <w:sz w:val="22"/>
          <w:szCs w:val="22"/>
        </w:rPr>
        <w:t xml:space="preserve">: required for norepinephrine synthesis</w:t>
      </w:r>
    </w:p>
    <w:p>
      <w:pPr>
        <w:pStyle w:val="Heading2"/>
        <w:spacing w:after="120" w:before="240"/>
      </w:pPr>
      <w:r>
        <w:rPr>
          <w:rFonts w:ascii="Arial" w:cs="Arial" w:eastAsia="Arial" w:hAnsi="Arial"/>
          <w:b/>
          <w:bCs/>
          <w:color w:val="2E75B6"/>
          <w:sz w:val="26"/>
          <w:szCs w:val="26"/>
        </w:rPr>
        <w:t xml:space="preserve">Deficiency (Scurvy)</w:t>
      </w:r>
    </w:p>
    <w:p>
      <w:pPr>
        <w:spacing w:after="160"/>
      </w:pPr>
      <w:r>
        <w:rPr>
          <w:rFonts w:ascii="Arial" w:cs="Arial" w:eastAsia="Arial" w:hAnsi="Arial"/>
          <w:b w:val="false"/>
          <w:bCs w:val="false"/>
          <w:i w:val="false"/>
          <w:iCs w:val="false"/>
          <w:sz w:val="22"/>
          <w:szCs w:val="22"/>
        </w:rPr>
        <w:t xml:space="preserve">All findings reflect defective collagen:</w:t>
      </w:r>
    </w:p>
    <w:p>
      <w:pPr>
        <w:pStyle w:val="ListParagraph"/>
        <w:numPr>
          <w:ilvl w:val="0"/>
          <w:numId w:val="1"/>
        </w:numPr>
        <w:spacing w:after="80"/>
      </w:pPr>
      <w:r>
        <w:rPr>
          <w:rFonts w:ascii="Arial" w:cs="Arial" w:eastAsia="Arial" w:hAnsi="Arial"/>
          <w:b/>
          <w:bCs/>
          <w:i w:val="false"/>
          <w:iCs w:val="false"/>
          <w:sz w:val="22"/>
          <w:szCs w:val="22"/>
        </w:rPr>
        <w:t xml:space="preserve">Perifollicular hemorrhages</w:t>
      </w:r>
      <w:r>
        <w:rPr>
          <w:rFonts w:ascii="Arial" w:cs="Arial" w:eastAsia="Arial" w:hAnsi="Arial"/>
          <w:b w:val="false"/>
          <w:bCs w:val="false"/>
          <w:i w:val="false"/>
          <w:iCs w:val="false"/>
          <w:sz w:val="22"/>
          <w:szCs w:val="22"/>
        </w:rPr>
        <w:t xml:space="preserve"> (most specific finding)</w:t>
      </w:r>
    </w:p>
    <w:p>
      <w:pPr>
        <w:pStyle w:val="ListParagraph"/>
        <w:numPr>
          <w:ilvl w:val="0"/>
          <w:numId w:val="1"/>
        </w:numPr>
        <w:spacing w:after="80"/>
      </w:pPr>
      <w:r>
        <w:rPr>
          <w:rFonts w:ascii="Arial" w:cs="Arial" w:eastAsia="Arial" w:hAnsi="Arial"/>
          <w:b/>
          <w:bCs/>
          <w:i w:val="false"/>
          <w:iCs w:val="false"/>
          <w:sz w:val="22"/>
          <w:szCs w:val="22"/>
        </w:rPr>
        <w:t xml:space="preserve">Corkscrew hairs</w:t>
      </w:r>
      <w:r>
        <w:rPr>
          <w:rFonts w:ascii="Arial" w:cs="Arial" w:eastAsia="Arial" w:hAnsi="Arial"/>
          <w:b w:val="false"/>
          <w:bCs w:val="false"/>
          <w:i w:val="false"/>
          <w:iCs w:val="false"/>
          <w:sz w:val="22"/>
          <w:szCs w:val="22"/>
        </w:rPr>
        <w:t xml:space="preserve"> (pathognomonic)</w:t>
      </w:r>
    </w:p>
    <w:p>
      <w:pPr>
        <w:pStyle w:val="ListParagraph"/>
        <w:numPr>
          <w:ilvl w:val="0"/>
          <w:numId w:val="1"/>
        </w:numPr>
        <w:spacing w:after="80"/>
      </w:pPr>
      <w:r>
        <w:rPr>
          <w:rFonts w:ascii="Arial" w:cs="Arial" w:eastAsia="Arial" w:hAnsi="Arial"/>
          <w:b/>
          <w:bCs/>
          <w:i w:val="false"/>
          <w:iCs w:val="false"/>
          <w:sz w:val="22"/>
          <w:szCs w:val="22"/>
        </w:rPr>
        <w:t xml:space="preserve">Gingival bleeding and swelling</w:t>
      </w:r>
      <w:r>
        <w:rPr>
          <w:rFonts w:ascii="Arial" w:cs="Arial" w:eastAsia="Arial" w:hAnsi="Arial"/>
          <w:b w:val="false"/>
          <w:bCs w:val="false"/>
          <w:i w:val="false"/>
          <w:iCs w:val="false"/>
          <w:sz w:val="22"/>
          <w:szCs w:val="22"/>
        </w:rPr>
        <w:t xml:space="preserve">, loosening of teeth</w:t>
      </w:r>
    </w:p>
    <w:p>
      <w:pPr>
        <w:pStyle w:val="ListParagraph"/>
        <w:numPr>
          <w:ilvl w:val="0"/>
          <w:numId w:val="1"/>
        </w:numPr>
        <w:spacing w:after="80"/>
      </w:pPr>
      <w:r>
        <w:rPr>
          <w:rFonts w:ascii="Arial" w:cs="Arial" w:eastAsia="Arial" w:hAnsi="Arial"/>
          <w:b/>
          <w:bCs/>
          <w:i w:val="false"/>
          <w:iCs w:val="false"/>
          <w:sz w:val="22"/>
          <w:szCs w:val="22"/>
        </w:rPr>
        <w:t xml:space="preserve">Impaired wound healing</w:t>
      </w:r>
      <w:r>
        <w:rPr>
          <w:rFonts w:ascii="Arial" w:cs="Arial" w:eastAsia="Arial" w:hAnsi="Arial"/>
          <w:b w:val="false"/>
          <w:bCs w:val="false"/>
          <w:i w:val="false"/>
          <w:iCs w:val="false"/>
          <w:sz w:val="22"/>
          <w:szCs w:val="22"/>
        </w:rPr>
        <w:t xml:space="preserve">, poor scar strength</w:t>
      </w:r>
    </w:p>
    <w:p>
      <w:pPr>
        <w:pStyle w:val="ListParagraph"/>
        <w:numPr>
          <w:ilvl w:val="0"/>
          <w:numId w:val="1"/>
        </w:numPr>
        <w:spacing w:after="80"/>
      </w:pPr>
      <w:r>
        <w:rPr>
          <w:rFonts w:ascii="Arial" w:cs="Arial" w:eastAsia="Arial" w:hAnsi="Arial"/>
          <w:b/>
          <w:bCs/>
          <w:i w:val="false"/>
          <w:iCs w:val="false"/>
          <w:sz w:val="22"/>
          <w:szCs w:val="22"/>
        </w:rPr>
        <w:t xml:space="preserve">Iron deficiency anemia</w:t>
      </w:r>
      <w:r>
        <w:rPr>
          <w:rFonts w:ascii="Arial" w:cs="Arial" w:eastAsia="Arial" w:hAnsi="Arial"/>
          <w:b w:val="false"/>
          <w:bCs w:val="false"/>
          <w:i w:val="false"/>
          <w:iCs w:val="false"/>
          <w:sz w:val="22"/>
          <w:szCs w:val="22"/>
        </w:rPr>
        <w:t xml:space="preserve">: loss of Fe³⁺-to-Fe²⁺ conversion in gut</w:t>
      </w:r>
    </w:p>
    <w:p>
      <w:pPr>
        <w:pStyle w:val="ListParagraph"/>
        <w:numPr>
          <w:ilvl w:val="0"/>
          <w:numId w:val="1"/>
        </w:numPr>
        <w:spacing w:after="80"/>
      </w:pPr>
      <w:r>
        <w:rPr>
          <w:rFonts w:ascii="Arial" w:cs="Arial" w:eastAsia="Arial" w:hAnsi="Arial"/>
          <w:b/>
          <w:bCs/>
          <w:i w:val="false"/>
          <w:iCs w:val="false"/>
          <w:sz w:val="22"/>
          <w:szCs w:val="22"/>
        </w:rPr>
        <w:t xml:space="preserve">Subperiosteal hemorrhage in children</w:t>
      </w:r>
      <w:r>
        <w:rPr>
          <w:rFonts w:ascii="Arial" w:cs="Arial" w:eastAsia="Arial" w:hAnsi="Arial"/>
          <w:b w:val="false"/>
          <w:bCs w:val="false"/>
          <w:i w:val="false"/>
          <w:iCs w:val="false"/>
          <w:sz w:val="22"/>
          <w:szCs w:val="22"/>
        </w:rPr>
        <w:t xml:space="preserve">, Trümmerfeld zone on x-ray</w:t>
      </w:r>
    </w:p>
    <w:p>
      <w:pPr>
        <w:pStyle w:val="Heading1"/>
        <w:spacing w:after="120" w:before="240"/>
      </w:pPr>
      <w:r>
        <w:rPr>
          <w:rFonts w:ascii="Arial" w:cs="Arial" w:eastAsia="Arial" w:hAnsi="Arial"/>
          <w:b/>
          <w:bCs/>
          <w:color w:val="1F4E79"/>
          <w:sz w:val="30"/>
          <w:szCs w:val="30"/>
        </w:rPr>
        <w:t xml:space="preserve">Drug-Nutrient Interactions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gridSpan w:val="3"/>
            <w:tcBorders>
              <w:top w:val="single" w:color="000000" w:sz="4"/>
              <w:left w:val="single" w:color="000000" w:sz="4"/>
              <w:bottom w:val="single" w:color="000000" w:sz="4"/>
              <w:right w:val="single" w:color="000000" w:sz="4"/>
            </w:tcBorders>
          </w:tcPr>
          <w:p>
            <w:pPr>
              <w:jc w:val="center"/>
            </w:pPr>
            <w:r>
              <w:rPr>
                <w:rFonts w:ascii="Arial" w:cs="Arial" w:eastAsia="Arial" w:hAnsi="Arial"/>
                <w:b/>
                <w:bCs/>
                <w:sz w:val="20"/>
                <w:szCs w:val="20"/>
              </w:rPr>
              <w:t xml:space="preserve">Drug-Nutrient Interactions</w:t>
            </w:r>
          </w:p>
        </w:tc>
      </w:tr>
      <w:tr>
        <w:tc>
          <w:tcPr>
            <w:tcW w:type="dxa" w:w="2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Drug</w:t>
            </w:r>
          </w:p>
        </w:tc>
        <w:tc>
          <w:tcPr>
            <w:tcW w:type="dxa" w:w="16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Vitamin Affected</w:t>
            </w:r>
          </w:p>
        </w:tc>
        <w:tc>
          <w:tcPr>
            <w:tcW w:type="dxa" w:w="55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Mechanism and Clinical Consequence</w:t>
            </w:r>
          </w:p>
        </w:tc>
      </w:tr>
      <w:tr>
        <w:tc>
          <w:tcPr>
            <w:tcW w:type="dxa" w:w="2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Isoniazid</w:t>
            </w:r>
          </w:p>
        </w:tc>
        <w:tc>
          <w:tcPr>
            <w:tcW w:type="dxa" w:w="16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B6</w:t>
            </w:r>
          </w:p>
        </w:tc>
        <w:tc>
          <w:tcPr>
            <w:tcW w:type="dxa" w:w="55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Inhibits pyridoxal kinase, causing functional PLP deficiency and peripheral neuropathy; prevent with pyridoxine</w:t>
            </w:r>
          </w:p>
        </w:tc>
      </w:tr>
      <w:tr>
        <w:tc>
          <w:tcPr>
            <w:tcW w:type="dxa" w:w="2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Methotrexate, Trimethoprim</w:t>
            </w:r>
          </w:p>
        </w:tc>
        <w:tc>
          <w:tcPr>
            <w:tcW w:type="dxa" w:w="16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B9</w:t>
            </w:r>
          </w:p>
        </w:tc>
        <w:tc>
          <w:tcPr>
            <w:tcW w:type="dxa" w:w="55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DHFR inhibition impairs THF synthesis, producing megaloblastic anemia; rescue with leucovorin (folinic acid, which bypasses DHFR)</w:t>
            </w:r>
          </w:p>
        </w:tc>
      </w:tr>
      <w:tr>
        <w:tc>
          <w:tcPr>
            <w:tcW w:type="dxa" w:w="2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5-Fluorouracil (5-FU)</w:t>
            </w:r>
          </w:p>
        </w:tc>
        <w:tc>
          <w:tcPr>
            <w:tcW w:type="dxa" w:w="16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B9 (functional)</w:t>
            </w:r>
          </w:p>
        </w:tc>
        <w:tc>
          <w:tcPr>
            <w:tcW w:type="dxa" w:w="55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Thymidylate synthase inhibition impairs dUMP-to-dTMP conversion; functionally mimics folate deficiency at the DNA synthesis step</w:t>
            </w:r>
          </w:p>
        </w:tc>
      </w:tr>
      <w:tr>
        <w:tc>
          <w:tcPr>
            <w:tcW w:type="dxa" w:w="2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Phenytoin, Valproate</w:t>
            </w:r>
          </w:p>
        </w:tc>
        <w:tc>
          <w:tcPr>
            <w:tcW w:type="dxa" w:w="16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B9</w:t>
            </w:r>
          </w:p>
        </w:tc>
        <w:tc>
          <w:tcPr>
            <w:tcW w:type="dxa" w:w="55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Impair folate absorption and metabolism, producing megaloblastic anemia</w:t>
            </w:r>
          </w:p>
        </w:tc>
      </w:tr>
      <w:tr>
        <w:tc>
          <w:tcPr>
            <w:tcW w:type="dxa" w:w="2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PPIs, H2 Blockers</w:t>
            </w:r>
          </w:p>
        </w:tc>
        <w:tc>
          <w:tcPr>
            <w:tcW w:type="dxa" w:w="16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B12</w:t>
            </w:r>
          </w:p>
        </w:tc>
        <w:tc>
          <w:tcPr>
            <w:tcW w:type="dxa" w:w="55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Reduce gastric acid, impairing proteolytic release of food-bound B12</w:t>
            </w:r>
          </w:p>
        </w:tc>
      </w:tr>
      <w:tr>
        <w:tc>
          <w:tcPr>
            <w:tcW w:type="dxa" w:w="2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Metformin</w:t>
            </w:r>
          </w:p>
        </w:tc>
        <w:tc>
          <w:tcPr>
            <w:tcW w:type="dxa" w:w="16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B12</w:t>
            </w:r>
          </w:p>
        </w:tc>
        <w:tc>
          <w:tcPr>
            <w:tcW w:type="dxa" w:w="55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Reduces ileal B12 absorption; monitor B12 with long-term use</w:t>
            </w:r>
          </w:p>
        </w:tc>
      </w:tr>
      <w:tr>
        <w:tc>
          <w:tcPr>
            <w:gridSpan w:val="3"/>
            <w:tcBorders>
              <w:top w:val="single" w:color="000000" w:sz="4"/>
              <w:left w:val="single" w:color="000000" w:sz="4"/>
              <w:bottom w:val="single" w:color="000000" w:sz="4"/>
              <w:right w:val="single" w:color="000000" w:sz="4"/>
            </w:tcBorders>
          </w:tcPr>
          <w:p>
            <w:r>
              <w:rPr>
                <w:rFonts w:ascii="Arial" w:cs="Arial" w:eastAsia="Arial" w:hAnsi="Arial"/>
                <w:sz w:val="18"/>
                <w:szCs w:val="18"/>
              </w:rPr>
              <w:t xml:space="preserve">dTMP = deoxythymidine monophosphate; DHFR = dihydrofolate reductase; dUMP = deoxyuridine monophosphate; PLP = pyridoxal phosphate; PPI = proton pump inhibitor; THF = tetrahydrofolate.</w:t>
            </w:r>
          </w:p>
        </w:tc>
      </w:tr>
    </w:tbl>
    <w:p>
      <w:pPr>
        <w:pStyle w:val="Heading1"/>
        <w:spacing w:after="120" w:before="240"/>
      </w:pPr>
      <w:r>
        <w:rPr>
          <w:rFonts w:ascii="Arial" w:cs="Arial" w:eastAsia="Arial" w:hAnsi="Arial"/>
          <w:b/>
          <w:bCs/>
          <w:color w:val="1F4E79"/>
          <w:sz w:val="30"/>
          <w:szCs w:val="30"/>
        </w:rPr>
        <w:t xml:space="preserve">Key Takeaways</w:t>
      </w:r>
    </w:p>
    <w:p>
      <w:pPr>
        <w:pStyle w:val="ListParagraph"/>
        <w:numPr>
          <w:ilvl w:val="0"/>
          <w:numId w:val="1"/>
        </w:numPr>
        <w:spacing w:after="80"/>
      </w:pPr>
      <w:r>
        <w:rPr>
          <w:rFonts w:ascii="Arial" w:cs="Arial" w:eastAsia="Arial" w:hAnsi="Arial"/>
          <w:b/>
          <w:bCs/>
          <w:i w:val="false"/>
          <w:iCs w:val="false"/>
          <w:sz w:val="22"/>
          <w:szCs w:val="22"/>
        </w:rPr>
        <w:t xml:space="preserve">B1 (thiamine/TPP)</w:t>
      </w:r>
      <w:r>
        <w:rPr>
          <w:rFonts w:ascii="Arial" w:cs="Arial" w:eastAsia="Arial" w:hAnsi="Arial"/>
          <w:b w:val="false"/>
          <w:bCs w:val="false"/>
          <w:i w:val="false"/>
          <w:iCs w:val="false"/>
          <w:sz w:val="22"/>
          <w:szCs w:val="22"/>
        </w:rPr>
        <w:t xml:space="preserve">: cofactor for PDH, α-KG DH, and transketolase. Deficiency produces beriberi and Wernicke encephalopathy. Administer </w:t>
      </w:r>
      <w:r>
        <w:rPr>
          <w:rFonts w:ascii="Arial" w:cs="Arial" w:eastAsia="Arial" w:hAnsi="Arial"/>
          <w:b/>
          <w:bCs/>
          <w:i w:val="false"/>
          <w:iCs w:val="false"/>
          <w:sz w:val="22"/>
          <w:szCs w:val="22"/>
        </w:rPr>
        <w:t xml:space="preserve">IV thiamine before glucose</w:t>
      </w:r>
      <w:r>
        <w:rPr>
          <w:rFonts w:ascii="Arial" w:cs="Arial" w:eastAsia="Arial" w:hAnsi="Arial"/>
          <w:b w:val="false"/>
          <w:bCs w:val="false"/>
          <w:i w:val="false"/>
          <w:iCs w:val="false"/>
          <w:sz w:val="22"/>
          <w:szCs w:val="22"/>
        </w:rPr>
        <w:t xml:space="preserve"> in patients at risk for thiamine deficiency.</w:t>
      </w:r>
    </w:p>
    <w:p>
      <w:pPr>
        <w:pStyle w:val="ListParagraph"/>
        <w:numPr>
          <w:ilvl w:val="0"/>
          <w:numId w:val="1"/>
        </w:numPr>
        <w:spacing w:after="80"/>
      </w:pPr>
      <w:r>
        <w:rPr>
          <w:rFonts w:ascii="Arial" w:cs="Arial" w:eastAsia="Arial" w:hAnsi="Arial"/>
          <w:b/>
          <w:bCs/>
          <w:i w:val="false"/>
          <w:iCs w:val="false"/>
          <w:sz w:val="22"/>
          <w:szCs w:val="22"/>
        </w:rPr>
        <w:t xml:space="preserve">B2 (riboflavin/FAD, FMN)</w:t>
      </w:r>
      <w:r>
        <w:rPr>
          <w:rFonts w:ascii="Arial" w:cs="Arial" w:eastAsia="Arial" w:hAnsi="Arial"/>
          <w:b w:val="false"/>
          <w:bCs w:val="false"/>
          <w:i w:val="false"/>
          <w:iCs w:val="false"/>
          <w:sz w:val="22"/>
          <w:szCs w:val="22"/>
        </w:rPr>
        <w:t xml:space="preserve">: ETC and TCA cofactor. Deficiency produces angular cheilitis, glossitis, and corneal vascularization.</w:t>
      </w:r>
    </w:p>
    <w:p>
      <w:pPr>
        <w:pStyle w:val="ListParagraph"/>
        <w:numPr>
          <w:ilvl w:val="0"/>
          <w:numId w:val="1"/>
        </w:numPr>
        <w:spacing w:after="80"/>
      </w:pPr>
      <w:r>
        <w:rPr>
          <w:rFonts w:ascii="Arial" w:cs="Arial" w:eastAsia="Arial" w:hAnsi="Arial"/>
          <w:b/>
          <w:bCs/>
          <w:i w:val="false"/>
          <w:iCs w:val="false"/>
          <w:sz w:val="22"/>
          <w:szCs w:val="22"/>
        </w:rPr>
        <w:t xml:space="preserve">B3 (niacin/NAD+, NADP+)</w:t>
      </w:r>
      <w:r>
        <w:rPr>
          <w:rFonts w:ascii="Arial" w:cs="Arial" w:eastAsia="Arial" w:hAnsi="Arial"/>
          <w:b w:val="false"/>
          <w:bCs w:val="false"/>
          <w:i w:val="false"/>
          <w:iCs w:val="false"/>
          <w:sz w:val="22"/>
          <w:szCs w:val="22"/>
        </w:rPr>
        <w:t xml:space="preserve">: ubiquitous redox carrier. Deficiency produces pellagra (4 Ds). Hartnup disease and carcinoid syndrome are indirect causes via tryptophan depletion. Pharmacologic niacin causes flushing (prostaglandin-mediated; prevent with aspirin).</w:t>
      </w:r>
    </w:p>
    <w:p>
      <w:pPr>
        <w:pStyle w:val="ListParagraph"/>
        <w:numPr>
          <w:ilvl w:val="0"/>
          <w:numId w:val="1"/>
        </w:numPr>
        <w:spacing w:after="80"/>
      </w:pPr>
      <w:r>
        <w:rPr>
          <w:rFonts w:ascii="Arial" w:cs="Arial" w:eastAsia="Arial" w:hAnsi="Arial"/>
          <w:b/>
          <w:bCs/>
          <w:i w:val="false"/>
          <w:iCs w:val="false"/>
          <w:sz w:val="22"/>
          <w:szCs w:val="22"/>
        </w:rPr>
        <w:t xml:space="preserve">B5 (pantothenic acid/CoA)</w:t>
      </w:r>
      <w:r>
        <w:rPr>
          <w:rFonts w:ascii="Arial" w:cs="Arial" w:eastAsia="Arial" w:hAnsi="Arial"/>
          <w:b w:val="false"/>
          <w:bCs w:val="false"/>
          <w:i w:val="false"/>
          <w:iCs w:val="false"/>
          <w:sz w:val="22"/>
          <w:szCs w:val="22"/>
        </w:rPr>
        <w:t xml:space="preserve">: fatty acid activation. Deficiency is rare; "burning feet" is the classic finding.</w:t>
      </w:r>
    </w:p>
    <w:p>
      <w:pPr>
        <w:pStyle w:val="ListParagraph"/>
        <w:numPr>
          <w:ilvl w:val="0"/>
          <w:numId w:val="1"/>
        </w:numPr>
        <w:spacing w:after="80"/>
      </w:pPr>
      <w:r>
        <w:rPr>
          <w:rFonts w:ascii="Arial" w:cs="Arial" w:eastAsia="Arial" w:hAnsi="Arial"/>
          <w:b/>
          <w:bCs/>
          <w:i w:val="false"/>
          <w:iCs w:val="false"/>
          <w:sz w:val="22"/>
          <w:szCs w:val="22"/>
        </w:rPr>
        <w:t xml:space="preserve">B6 (pyridoxine/PLP)</w:t>
      </w:r>
      <w:r>
        <w:rPr>
          <w:rFonts w:ascii="Arial" w:cs="Arial" w:eastAsia="Arial" w:hAnsi="Arial"/>
          <w:b w:val="false"/>
          <w:bCs w:val="false"/>
          <w:i w:val="false"/>
          <w:iCs w:val="false"/>
          <w:sz w:val="22"/>
          <w:szCs w:val="22"/>
        </w:rPr>
        <w:t xml:space="preserve">: transamination, heme synthesis, neurotransmitters. Deficiency produces sideroblastic anemia (ring sideroblasts on marrow biopsy) and neuropathy. Isoniazid is the classic drug cause.</w:t>
      </w:r>
    </w:p>
    <w:p>
      <w:pPr>
        <w:pStyle w:val="ListParagraph"/>
        <w:numPr>
          <w:ilvl w:val="0"/>
          <w:numId w:val="1"/>
        </w:numPr>
        <w:spacing w:after="80"/>
      </w:pPr>
      <w:r>
        <w:rPr>
          <w:rFonts w:ascii="Arial" w:cs="Arial" w:eastAsia="Arial" w:hAnsi="Arial"/>
          <w:b/>
          <w:bCs/>
          <w:i w:val="false"/>
          <w:iCs w:val="false"/>
          <w:sz w:val="22"/>
          <w:szCs w:val="22"/>
        </w:rPr>
        <w:t xml:space="preserve">B7 (biotin)</w:t>
      </w:r>
      <w:r>
        <w:rPr>
          <w:rFonts w:ascii="Arial" w:cs="Arial" w:eastAsia="Arial" w:hAnsi="Arial"/>
          <w:b w:val="false"/>
          <w:bCs w:val="false"/>
          <w:i w:val="false"/>
          <w:iCs w:val="false"/>
          <w:sz w:val="22"/>
          <w:szCs w:val="22"/>
        </w:rPr>
        <w:t xml:space="preserve">: carboxylation reactions. Deficiency produces alopecia, dermatitis, and neurologic symptoms. Raw egg whites (avidin) bind biotin; cooking destroys avidin.</w:t>
      </w:r>
    </w:p>
    <w:p>
      <w:pPr>
        <w:pStyle w:val="ListParagraph"/>
        <w:numPr>
          <w:ilvl w:val="0"/>
          <w:numId w:val="1"/>
        </w:numPr>
        <w:spacing w:after="80"/>
      </w:pPr>
      <w:r>
        <w:rPr>
          <w:rFonts w:ascii="Arial" w:cs="Arial" w:eastAsia="Arial" w:hAnsi="Arial"/>
          <w:b/>
          <w:bCs/>
          <w:i w:val="false"/>
          <w:iCs w:val="false"/>
          <w:sz w:val="22"/>
          <w:szCs w:val="22"/>
        </w:rPr>
        <w:t xml:space="preserve">B9 (folate/THF)</w:t>
      </w:r>
      <w:r>
        <w:rPr>
          <w:rFonts w:ascii="Arial" w:cs="Arial" w:eastAsia="Arial" w:hAnsi="Arial"/>
          <w:b w:val="false"/>
          <w:bCs w:val="false"/>
          <w:i w:val="false"/>
          <w:iCs w:val="false"/>
          <w:sz w:val="22"/>
          <w:szCs w:val="22"/>
        </w:rPr>
        <w:t xml:space="preserve">: one-carbon transfer and DNA synthesis. Deficiency produces megaloblastic anemia </w:t>
      </w:r>
      <w:r>
        <w:rPr>
          <w:rFonts w:ascii="Arial" w:cs="Arial" w:eastAsia="Arial" w:hAnsi="Arial"/>
          <w:b/>
          <w:bCs/>
          <w:i w:val="false"/>
          <w:iCs w:val="false"/>
          <w:sz w:val="22"/>
          <w:szCs w:val="22"/>
        </w:rPr>
        <w:t xml:space="preserve">without</w:t>
      </w:r>
      <w:r>
        <w:rPr>
          <w:rFonts w:ascii="Arial" w:cs="Arial" w:eastAsia="Arial" w:hAnsi="Arial"/>
          <w:b w:val="false"/>
          <w:bCs w:val="false"/>
          <w:i w:val="false"/>
          <w:iCs w:val="false"/>
          <w:sz w:val="22"/>
          <w:szCs w:val="22"/>
        </w:rPr>
        <w:t xml:space="preserve"> neurologic deficits, plus neural tube defects. Supplement 400 mcg/day periconceptionally. Leucovorin rescues methotrexate toxicity.</w:t>
      </w:r>
    </w:p>
    <w:p>
      <w:pPr>
        <w:pStyle w:val="ListParagraph"/>
        <w:numPr>
          <w:ilvl w:val="0"/>
          <w:numId w:val="1"/>
        </w:numPr>
        <w:spacing w:after="80"/>
      </w:pPr>
      <w:r>
        <w:rPr>
          <w:rFonts w:ascii="Arial" w:cs="Arial" w:eastAsia="Arial" w:hAnsi="Arial"/>
          <w:b/>
          <w:bCs/>
          <w:i w:val="false"/>
          <w:iCs w:val="false"/>
          <w:sz w:val="22"/>
          <w:szCs w:val="22"/>
        </w:rPr>
        <w:t xml:space="preserve">B12 (cobalamin)</w:t>
      </w:r>
      <w:r>
        <w:rPr>
          <w:rFonts w:ascii="Arial" w:cs="Arial" w:eastAsia="Arial" w:hAnsi="Arial"/>
          <w:b w:val="false"/>
          <w:bCs w:val="false"/>
          <w:i w:val="false"/>
          <w:iCs w:val="false"/>
          <w:sz w:val="22"/>
          <w:szCs w:val="22"/>
        </w:rPr>
        <w:t xml:space="preserve">: absorbed via intrinsic factor in the terminal ileum. Deficiency produces megaloblastic anemia </w:t>
      </w:r>
      <w:r>
        <w:rPr>
          <w:rFonts w:ascii="Arial" w:cs="Arial" w:eastAsia="Arial" w:hAnsi="Arial"/>
          <w:b/>
          <w:bCs/>
          <w:i w:val="false"/>
          <w:iCs w:val="false"/>
          <w:sz w:val="22"/>
          <w:szCs w:val="22"/>
        </w:rPr>
        <w:t xml:space="preserve">plus</w:t>
      </w:r>
      <w:r>
        <w:rPr>
          <w:rFonts w:ascii="Arial" w:cs="Arial" w:eastAsia="Arial" w:hAnsi="Arial"/>
          <w:b w:val="false"/>
          <w:bCs w:val="false"/>
          <w:i w:val="false"/>
          <w:iCs w:val="false"/>
          <w:sz w:val="22"/>
          <w:szCs w:val="22"/>
        </w:rPr>
        <w:t xml:space="preserve"> subacute combined degeneration. MMA is elevated (distinguishing it from folate deficiency). Folate corrects anemia but not neuropathy, so always replace B12.</w:t>
      </w:r>
    </w:p>
    <w:p>
      <w:pPr>
        <w:pStyle w:val="ListParagraph"/>
        <w:numPr>
          <w:ilvl w:val="0"/>
          <w:numId w:val="1"/>
        </w:numPr>
        <w:spacing w:after="80"/>
      </w:pPr>
      <w:r>
        <w:rPr>
          <w:rFonts w:ascii="Arial" w:cs="Arial" w:eastAsia="Arial" w:hAnsi="Arial"/>
          <w:b/>
          <w:bCs/>
          <w:i w:val="false"/>
          <w:iCs w:val="false"/>
          <w:sz w:val="22"/>
          <w:szCs w:val="22"/>
        </w:rPr>
        <w:t xml:space="preserve">Vitamin C (ascorbic acid)</w:t>
      </w:r>
      <w:r>
        <w:rPr>
          <w:rFonts w:ascii="Arial" w:cs="Arial" w:eastAsia="Arial" w:hAnsi="Arial"/>
          <w:b w:val="false"/>
          <w:bCs w:val="false"/>
          <w:i w:val="false"/>
          <w:iCs w:val="false"/>
          <w:sz w:val="22"/>
          <w:szCs w:val="22"/>
        </w:rPr>
        <w:t xml:space="preserve">: collagen hydroxylation, Fe³⁺-to-Fe²⁺ conversion, antioxidant. Deficiency produces scurvy: perifollicular hemorrhages, corkscrew hairs, gingival bleeding.</w:t>
      </w:r>
    </w:p>
    <w:p>
      <w:pPr>
        <w:pStyle w:val="ListParagraph"/>
        <w:numPr>
          <w:ilvl w:val="0"/>
          <w:numId w:val="1"/>
        </w:numPr>
        <w:spacing w:after="80"/>
      </w:pPr>
      <w:r>
        <w:rPr>
          <w:rFonts w:ascii="Arial" w:cs="Arial" w:eastAsia="Arial" w:hAnsi="Arial"/>
          <w:b w:val="false"/>
          <w:bCs w:val="false"/>
          <w:i w:val="false"/>
          <w:iCs w:val="false"/>
          <w:sz w:val="22"/>
          <w:szCs w:val="22"/>
        </w:rPr>
        <w:t xml:space="preserve">Elevated homocysteine reflects deficiency of B6, B9, or B12. Elevated MMA is specific for B12 deficiency. Use MMA to distinguish B12 from folate deficiency.</w:t>
      </w:r>
    </w:p>
    <w:p>
      <w:pPr>
        <w:pStyle w:val="Heading1"/>
        <w:spacing w:after="120" w:before="240"/>
      </w:pPr>
      <w:r>
        <w:rPr>
          <w:rFonts w:ascii="Arial" w:cs="Arial" w:eastAsia="Arial" w:hAnsi="Arial"/>
          <w:b/>
          <w:bCs/>
          <w:color w:val="1F4E79"/>
          <w:sz w:val="30"/>
          <w:szCs w:val="30"/>
        </w:rPr>
        <w:t xml:space="preserve">Teaching Cases</w:t>
      </w:r>
    </w:p>
    <w:p>
      <w:pPr>
        <w:pStyle w:val="Heading3"/>
        <w:spacing w:after="100" w:before="200"/>
      </w:pPr>
      <w:r>
        <w:rPr>
          <w:rFonts w:ascii="Arial" w:cs="Arial" w:eastAsia="Arial" w:hAnsi="Arial"/>
          <w:b/>
          <w:bCs/>
          <w:color w:val="404040"/>
          <w:sz w:val="24"/>
          <w:szCs w:val="24"/>
        </w:rPr>
        <w:t xml:space="preserve">Case 1: Wernicke Encephalopathy</w:t>
      </w:r>
    </w:p>
    <w:p>
      <w:pPr>
        <w:spacing w:after="160"/>
      </w:pPr>
      <w:r>
        <w:rPr>
          <w:rFonts w:ascii="Arial" w:cs="Arial" w:eastAsia="Arial" w:hAnsi="Arial"/>
          <w:b w:val="false"/>
          <w:bCs w:val="false"/>
          <w:i w:val="false"/>
          <w:iCs w:val="false"/>
          <w:sz w:val="22"/>
          <w:szCs w:val="22"/>
        </w:rPr>
        <w:t xml:space="preserve">A 48-year-old man with chronic alcohol use disorder is brought to the emergency department with acute confusion and inability to walk. Examination shows horizontal nystagmus, bilateral lateral gaze palsy, and truncal ataxia. Diagnosis: </w:t>
      </w:r>
      <w:r>
        <w:rPr>
          <w:rFonts w:ascii="Arial" w:cs="Arial" w:eastAsia="Arial" w:hAnsi="Arial"/>
          <w:b/>
          <w:bCs/>
          <w:i w:val="false"/>
          <w:iCs w:val="false"/>
          <w:sz w:val="22"/>
          <w:szCs w:val="22"/>
        </w:rPr>
        <w:t xml:space="preserve">Wernicke encephalopathy</w:t>
      </w:r>
      <w:r>
        <w:rPr>
          <w:rFonts w:ascii="Arial" w:cs="Arial" w:eastAsia="Arial" w:hAnsi="Arial"/>
          <w:b w:val="false"/>
          <w:bCs w:val="false"/>
          <w:i w:val="false"/>
          <w:iCs w:val="false"/>
          <w:sz w:val="22"/>
          <w:szCs w:val="22"/>
        </w:rPr>
        <w:t xml:space="preserve"> from thiamine deficiency; IV thiamine is given before any dextrose. </w:t>
      </w:r>
      <w:r>
        <w:rPr>
          <w:rFonts w:ascii="Arial" w:cs="Arial" w:eastAsia="Arial" w:hAnsi="Arial"/>
          <w:b/>
          <w:bCs/>
          <w:i w:val="false"/>
          <w:iCs w:val="false"/>
          <w:sz w:val="22"/>
          <w:szCs w:val="22"/>
        </w:rPr>
        <w:t xml:space="preserve">Key teaching:</w:t>
      </w:r>
      <w:r>
        <w:rPr>
          <w:rFonts w:ascii="Arial" w:cs="Arial" w:eastAsia="Arial" w:hAnsi="Arial"/>
          <w:b w:val="false"/>
          <w:bCs w:val="false"/>
          <w:i w:val="false"/>
          <w:iCs w:val="false"/>
          <w:sz w:val="22"/>
          <w:szCs w:val="22"/>
        </w:rPr>
        <w:t xml:space="preserve"> the classic triad is complete in fewer than 20% of cases, so treat empirically when deficiency is suspected.</w:t>
      </w:r>
    </w:p>
    <w:p>
      <w:pPr>
        <w:pStyle w:val="Heading3"/>
        <w:spacing w:after="100" w:before="200"/>
      </w:pPr>
      <w:r>
        <w:rPr>
          <w:rFonts w:ascii="Arial" w:cs="Arial" w:eastAsia="Arial" w:hAnsi="Arial"/>
          <w:b/>
          <w:bCs/>
          <w:color w:val="404040"/>
          <w:sz w:val="24"/>
          <w:szCs w:val="24"/>
        </w:rPr>
        <w:t xml:space="preserve">Case 2: Pellagra in Hartnup Disease</w:t>
      </w:r>
    </w:p>
    <w:p>
      <w:pPr>
        <w:spacing w:after="160"/>
      </w:pPr>
      <w:r>
        <w:rPr>
          <w:rFonts w:ascii="Arial" w:cs="Arial" w:eastAsia="Arial" w:hAnsi="Arial"/>
          <w:b w:val="false"/>
          <w:bCs w:val="false"/>
          <w:i w:val="false"/>
          <w:iCs w:val="false"/>
          <w:sz w:val="22"/>
          <w:szCs w:val="22"/>
        </w:rPr>
        <w:t xml:space="preserve">A 4-year-old girl presents with episodic watery diarrhea, a scaly photosensitive rash, and intermittent ataxia. Laboratory studies confirm impaired intestinal absorption of neutral amino acids including tryptophan. Diagnosis: </w:t>
      </w:r>
      <w:r>
        <w:rPr>
          <w:rFonts w:ascii="Arial" w:cs="Arial" w:eastAsia="Arial" w:hAnsi="Arial"/>
          <w:b/>
          <w:bCs/>
          <w:i w:val="false"/>
          <w:iCs w:val="false"/>
          <w:sz w:val="22"/>
          <w:szCs w:val="22"/>
        </w:rPr>
        <w:t xml:space="preserve">Hartnup disease</w:t>
      </w:r>
      <w:r>
        <w:rPr>
          <w:rFonts w:ascii="Arial" w:cs="Arial" w:eastAsia="Arial" w:hAnsi="Arial"/>
          <w:b w:val="false"/>
          <w:bCs w:val="false"/>
          <w:i w:val="false"/>
          <w:iCs w:val="false"/>
          <w:sz w:val="22"/>
          <w:szCs w:val="22"/>
        </w:rPr>
        <w:t xml:space="preserve">, in which tryptophan malabsorption depletes the precursor pool for niacin synthesis, producing pellagra. </w:t>
      </w:r>
      <w:r>
        <w:rPr>
          <w:rFonts w:ascii="Arial" w:cs="Arial" w:eastAsia="Arial" w:hAnsi="Arial"/>
          <w:b/>
          <w:bCs/>
          <w:i w:val="false"/>
          <w:iCs w:val="false"/>
          <w:sz w:val="22"/>
          <w:szCs w:val="22"/>
        </w:rPr>
        <w:t xml:space="preserve">Key teaching:</w:t>
      </w:r>
      <w:r>
        <w:rPr>
          <w:rFonts w:ascii="Arial" w:cs="Arial" w:eastAsia="Arial" w:hAnsi="Arial"/>
          <w:b w:val="false"/>
          <w:bCs w:val="false"/>
          <w:i w:val="false"/>
          <w:iCs w:val="false"/>
          <w:sz w:val="22"/>
          <w:szCs w:val="22"/>
        </w:rPr>
        <w:t xml:space="preserve"> any condition limiting tryptophan availability can cause pellagra even without a niacin-deficient diet.</w:t>
      </w:r>
    </w:p>
    <w:p>
      <w:pPr>
        <w:pStyle w:val="Heading3"/>
        <w:spacing w:after="100" w:before="200"/>
      </w:pPr>
      <w:r>
        <w:rPr>
          <w:rFonts w:ascii="Arial" w:cs="Arial" w:eastAsia="Arial" w:hAnsi="Arial"/>
          <w:b/>
          <w:bCs/>
          <w:color w:val="404040"/>
          <w:sz w:val="24"/>
          <w:szCs w:val="24"/>
        </w:rPr>
        <w:t xml:space="preserve">Case 3: B12 Deficiency After Bariatric Surgery</w:t>
      </w:r>
    </w:p>
    <w:p>
      <w:pPr>
        <w:spacing w:after="160"/>
      </w:pPr>
      <w:r>
        <w:rPr>
          <w:rFonts w:ascii="Arial" w:cs="Arial" w:eastAsia="Arial" w:hAnsi="Arial"/>
          <w:b w:val="false"/>
          <w:bCs w:val="false"/>
          <w:i w:val="false"/>
          <w:iCs w:val="false"/>
          <w:sz w:val="22"/>
          <w:szCs w:val="22"/>
        </w:rPr>
        <w:t xml:space="preserve">A 54-year-old woman, 2 years after Roux-en-Y gastric bypass, presents with bilateral foot numbness, decreased vibration sense, hemoglobin 9.4 g/dL, MCV 105 fL, and hypersegmented neutrophils. Serum B12 is low; MMA and homocysteine are elevated. Diagnosis: </w:t>
      </w:r>
      <w:r>
        <w:rPr>
          <w:rFonts w:ascii="Arial" w:cs="Arial" w:eastAsia="Arial" w:hAnsi="Arial"/>
          <w:b/>
          <w:bCs/>
          <w:i w:val="false"/>
          <w:iCs w:val="false"/>
          <w:sz w:val="22"/>
          <w:szCs w:val="22"/>
        </w:rPr>
        <w:t xml:space="preserve">vitamin B12 deficiency</w:t>
      </w:r>
      <w:r>
        <w:rPr>
          <w:rFonts w:ascii="Arial" w:cs="Arial" w:eastAsia="Arial" w:hAnsi="Arial"/>
          <w:b w:val="false"/>
          <w:bCs w:val="false"/>
          <w:i w:val="false"/>
          <w:iCs w:val="false"/>
          <w:sz w:val="22"/>
          <w:szCs w:val="22"/>
        </w:rPr>
        <w:t xml:space="preserve"> from reduced gastric acid and bypass of proximal absorptive sites. </w:t>
      </w:r>
      <w:r>
        <w:rPr>
          <w:rFonts w:ascii="Arial" w:cs="Arial" w:eastAsia="Arial" w:hAnsi="Arial"/>
          <w:b/>
          <w:bCs/>
          <w:i w:val="false"/>
          <w:iCs w:val="false"/>
          <w:sz w:val="22"/>
          <w:szCs w:val="22"/>
        </w:rPr>
        <w:t xml:space="preserve">Key teaching:</w:t>
      </w:r>
      <w:r>
        <w:rPr>
          <w:rFonts w:ascii="Arial" w:cs="Arial" w:eastAsia="Arial" w:hAnsi="Arial"/>
          <w:b w:val="false"/>
          <w:bCs w:val="false"/>
          <w:i w:val="false"/>
          <w:iCs w:val="false"/>
          <w:sz w:val="22"/>
          <w:szCs w:val="22"/>
        </w:rPr>
        <w:t xml:space="preserve"> elevated MMA confirms B12 (not folate) deficiency; folate alone corrects anemia but allows neuropathy to progress.</w:t>
      </w:r>
    </w:p>
    <w:p>
      <w:pPr>
        <w:pStyle w:val="Heading1"/>
        <w:spacing w:after="120" w:before="240"/>
      </w:pPr>
      <w:r>
        <w:rPr>
          <w:rFonts w:ascii="Arial" w:cs="Arial" w:eastAsia="Arial" w:hAnsi="Arial"/>
          <w:b/>
          <w:bCs/>
          <w:color w:val="1F4E79"/>
          <w:sz w:val="30"/>
          <w:szCs w:val="30"/>
        </w:rPr>
        <w:t xml:space="preserve">References</w:t>
      </w:r>
    </w:p>
    <w:p>
      <w:pPr>
        <w:spacing w:after="0"/>
      </w:pPr>
      <w:hyperlink w:history="1" r:id="rIdexewk1_gajijqnbvltj8o">
        <w:r>
          <w:rPr>
            <w:rStyle w:val="Hyperlink"/>
            <w:rFonts w:ascii="Arial" w:cs="Arial" w:eastAsia="Arial" w:hAnsi="Arial"/>
            <w:color w:val="0563C1"/>
            <w:sz w:val="22"/>
            <w:szCs w:val="22"/>
            <w:u w:val="single"/>
          </w:rPr>
          <w:t xml:space="preserve">Biochemistry, Water-Soluble Vitamins: StatPearls</w:t>
        </w:r>
      </w:hyperlink>
    </w:p>
    <w:p>
      <w:pPr>
        <w:spacing w:after="0"/>
      </w:pPr>
      <w:hyperlink w:history="1" r:id="rIdystlaiijcjl72vvaqxt2-">
        <w:r>
          <w:rPr>
            <w:rStyle w:val="Hyperlink"/>
            <w:rFonts w:ascii="Arial" w:cs="Arial" w:eastAsia="Arial" w:hAnsi="Arial"/>
            <w:color w:val="0563C1"/>
            <w:sz w:val="22"/>
            <w:szCs w:val="22"/>
            <w:u w:val="single"/>
          </w:rPr>
          <w:t xml:space="preserve">Schostak T, San Millan I, Jani A, Johnson RJ. Thiamine deficiency: a commonly unrecognised but easily treatable condition. Postgrad Med J. 2023;99(1174):844-848. doi:10.1136/pmj-2022-141972.</w:t>
        </w:r>
      </w:hyperlink>
    </w:p>
    <w:p>
      <w:pPr>
        <w:spacing w:after="0"/>
      </w:pPr>
      <w:hyperlink w:history="1" r:id="rId1ung1my9ephbrrslq0qa-">
        <w:r>
          <w:rPr>
            <w:rStyle w:val="Hyperlink"/>
            <w:rFonts w:ascii="Arial" w:cs="Arial" w:eastAsia="Arial" w:hAnsi="Arial"/>
            <w:color w:val="0563C1"/>
            <w:sz w:val="22"/>
            <w:szCs w:val="22"/>
            <w:u w:val="single"/>
          </w:rPr>
          <w:t xml:space="preserve">Hanna M, Jaqua E, Nguyen V, Clay J. B Vitamins: Functions and Uses in Medicine. Perm J. 2022;26(2):89-97. doi:10.7812/TPP/21.204.</w:t>
        </w:r>
      </w:hyperlink>
    </w:p>
    <w:p>
      <w:pPr>
        <w:spacing w:after="0"/>
      </w:pPr>
      <w:hyperlink w:history="1" r:id="rIdzr_6rcamd8udjf15ll2wz">
        <w:r>
          <w:rPr>
            <w:rStyle w:val="Hyperlink"/>
            <w:rFonts w:ascii="Arial" w:cs="Arial" w:eastAsia="Arial" w:hAnsi="Arial"/>
            <w:color w:val="0563C1"/>
            <w:sz w:val="22"/>
            <w:szCs w:val="22"/>
            <w:u w:val="single"/>
          </w:rPr>
          <w:t xml:space="preserve">Pelling MM, Fong M, Nand P. Severe Vitamin B12 Deficiency Presenting as Pancytopenia, Hemolytic Anemia, and Paresthesia. Cureus. 2022;14(9):e29225. doi:10.7759/cureus.29225.</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TrueLearn | Biochemistry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TrueLearn Medical Library | Water-Soluble Vitamins (B1, B2, B3, B5, B6, B7, B9, B12,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xewk1_gajijqnbvltj8o" Type="http://schemas.openxmlformats.org/officeDocument/2006/relationships/hyperlink" Target="https://www.ncbi.nlm.nih.gov/books/NBK493187/" TargetMode="External"/><Relationship Id="rIdystlaiijcjl72vvaqxt2-" Type="http://schemas.openxmlformats.org/officeDocument/2006/relationships/hyperlink" Target="https://pmc.ncbi.nlm.nih.gov/articles/PMC10398819/" TargetMode="External"/><Relationship Id="rId1ung1my9ephbrrslq0qa-" Type="http://schemas.openxmlformats.org/officeDocument/2006/relationships/hyperlink" Target="https://pubmed.ncbi.nlm.nih.gov/35933667/" TargetMode="External"/><Relationship Id="rIdzr_6rcamd8udjf15ll2wz" Type="http://schemas.openxmlformats.org/officeDocument/2006/relationships/hyperlink" Target="https://pmc.ncbi.nlm.nih.gov/articles/PMC9573183/"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2026-09-09T20:19:15.935Z</dcterms:created>
  <dcterms:modified xsi:type="dcterms:W3CDTF">2026-09-09T20:19:15.935Z</dcterms:modified>
</cp:coreProperties>
</file>

<file path=docProps/custom.xml><?xml version="1.0" encoding="utf-8"?>
<Properties xmlns="http://schemas.openxmlformats.org/officeDocument/2006/custom-properties" xmlns:vt="http://schemas.openxmlformats.org/officeDocument/2006/docPropsVTypes"/>
</file>