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ADB72" w14:textId="3625F3AE" w:rsidR="008366AA" w:rsidRPr="00403D99" w:rsidRDefault="008366AA" w:rsidP="008366AA">
      <w:pPr>
        <w:pStyle w:val="Title"/>
        <w:rPr>
          <w:b/>
        </w:rPr>
      </w:pPr>
      <w:r w:rsidRPr="008366AA">
        <w:rPr>
          <w:b/>
        </w:rPr>
        <w:t>A PHASE 2</w:t>
      </w:r>
      <w:r w:rsidR="004D1A4A">
        <w:rPr>
          <w:b/>
        </w:rPr>
        <w:t>a</w:t>
      </w:r>
      <w:r w:rsidRPr="008366AA">
        <w:rPr>
          <w:b/>
        </w:rPr>
        <w:t>, RANDOMIZED, DOUBLE-BLIND, PLACEBO-CONTROLLED</w:t>
      </w:r>
      <w:r w:rsidR="004D1A4A">
        <w:rPr>
          <w:b/>
        </w:rPr>
        <w:t xml:space="preserve">, </w:t>
      </w:r>
      <w:r w:rsidRPr="008366AA">
        <w:rPr>
          <w:b/>
        </w:rPr>
        <w:t>CLINICAL TRIAL TO EVALUATE THE SAFETY</w:t>
      </w:r>
      <w:r w:rsidR="004D1A4A">
        <w:rPr>
          <w:b/>
        </w:rPr>
        <w:t xml:space="preserve"> AND </w:t>
      </w:r>
      <w:r w:rsidRPr="008366AA">
        <w:rPr>
          <w:b/>
        </w:rPr>
        <w:t xml:space="preserve">IMMUNOGENICITY OF THE ID93 + GLA-SE VACCINE IN HIV UNINFECTED ADULT TB </w:t>
      </w:r>
      <w:r w:rsidRPr="00403D99">
        <w:rPr>
          <w:b/>
        </w:rPr>
        <w:t>PATIENTS AFTER TREATMENT COMPLETION</w:t>
      </w:r>
      <w:r w:rsidR="004D1A4A">
        <w:rPr>
          <w:b/>
        </w:rPr>
        <w:t xml:space="preserve"> </w:t>
      </w:r>
    </w:p>
    <w:p w14:paraId="3131648E" w14:textId="77777777" w:rsidR="008366AA" w:rsidRPr="00403D99" w:rsidRDefault="008366AA">
      <w:pPr>
        <w:pStyle w:val="Title"/>
        <w:rPr>
          <w:b/>
        </w:rPr>
      </w:pPr>
    </w:p>
    <w:p w14:paraId="4EEB61A5" w14:textId="77777777" w:rsidR="00F43682" w:rsidRPr="00403D99" w:rsidRDefault="00F43682">
      <w:pPr>
        <w:pStyle w:val="Title"/>
        <w:rPr>
          <w:b/>
        </w:rPr>
      </w:pPr>
      <w:r w:rsidRPr="00403D99">
        <w:rPr>
          <w:b/>
        </w:rPr>
        <w:t>Protocol Number:</w:t>
      </w:r>
      <w:r w:rsidR="008366AA" w:rsidRPr="00403D99">
        <w:rPr>
          <w:rFonts w:ascii="Times New Roman" w:hAnsi="Times New Roman"/>
          <w:b/>
        </w:rPr>
        <w:t xml:space="preserve"> </w:t>
      </w:r>
      <w:r w:rsidR="008366AA" w:rsidRPr="00403D99">
        <w:rPr>
          <w:b/>
        </w:rPr>
        <w:t>IDRI-TBVPX-203</w:t>
      </w:r>
    </w:p>
    <w:p w14:paraId="4535BBCE" w14:textId="77777777" w:rsidR="00BA6AF5" w:rsidRDefault="00F43682" w:rsidP="00016C26">
      <w:pPr>
        <w:pStyle w:val="Title"/>
        <w:rPr>
          <w:b/>
        </w:rPr>
      </w:pPr>
      <w:r w:rsidRPr="00403D99">
        <w:rPr>
          <w:b/>
        </w:rPr>
        <w:t xml:space="preserve">Sponsor: </w:t>
      </w:r>
      <w:r w:rsidR="008366AA" w:rsidRPr="00403D99">
        <w:rPr>
          <w:b/>
        </w:rPr>
        <w:t xml:space="preserve">Infectious Disease Research Institute (IDRI) </w:t>
      </w:r>
    </w:p>
    <w:p w14:paraId="34CD3C1A" w14:textId="39729DB6" w:rsidR="00016C26" w:rsidRPr="00016C26" w:rsidRDefault="00654E5F" w:rsidP="00016C26">
      <w:pPr>
        <w:pStyle w:val="Title"/>
        <w:rPr>
          <w:b/>
          <w:bCs/>
        </w:rPr>
      </w:pPr>
      <w:r>
        <w:rPr>
          <w:bCs/>
        </w:rPr>
        <w:t>1616 Eastlake Avenue East, Suite 400</w:t>
      </w:r>
      <w:r w:rsidR="00016C26" w:rsidRPr="00016C26">
        <w:rPr>
          <w:bCs/>
        </w:rPr>
        <w:br/>
        <w:t>Seattle, WA 98102</w:t>
      </w:r>
      <w:r>
        <w:rPr>
          <w:bCs/>
        </w:rPr>
        <w:t xml:space="preserve">  USA</w:t>
      </w:r>
      <w:r w:rsidR="00016C26" w:rsidRPr="00016C26">
        <w:rPr>
          <w:bCs/>
        </w:rPr>
        <w:br/>
        <w:t>Tel:</w:t>
      </w:r>
      <w:r>
        <w:t xml:space="preserve"> 206-381-0883</w:t>
      </w:r>
      <w:r w:rsidR="00016C26" w:rsidRPr="00016C26">
        <w:br/>
      </w:r>
      <w:r w:rsidR="00016C26" w:rsidRPr="00016C26">
        <w:rPr>
          <w:bCs/>
        </w:rPr>
        <w:t>Fax: 206-858-6098</w:t>
      </w:r>
    </w:p>
    <w:p w14:paraId="370DCA6A" w14:textId="2FA7008F" w:rsidR="008366AA" w:rsidRPr="00403D99" w:rsidRDefault="008366AA">
      <w:pPr>
        <w:pStyle w:val="Title"/>
        <w:rPr>
          <w:b/>
        </w:rPr>
      </w:pPr>
    </w:p>
    <w:p w14:paraId="271B0553" w14:textId="4F90D63E" w:rsidR="00F43682" w:rsidRPr="00403D99" w:rsidRDefault="0038687D">
      <w:pPr>
        <w:pStyle w:val="Title"/>
        <w:rPr>
          <w:b/>
        </w:rPr>
      </w:pPr>
      <w:r>
        <w:rPr>
          <w:b/>
        </w:rPr>
        <w:t xml:space="preserve">U.S. FDA </w:t>
      </w:r>
      <w:r w:rsidR="008366AA" w:rsidRPr="00403D99">
        <w:rPr>
          <w:b/>
        </w:rPr>
        <w:t>IND Number:</w:t>
      </w:r>
      <w:r w:rsidR="00D371AD">
        <w:rPr>
          <w:b/>
        </w:rPr>
        <w:t xml:space="preserve"> </w:t>
      </w:r>
      <w:r w:rsidR="008366AA" w:rsidRPr="00403D99">
        <w:rPr>
          <w:b/>
          <w:bCs/>
        </w:rPr>
        <w:t>BB-IN</w:t>
      </w:r>
      <w:r w:rsidR="008366AA" w:rsidRPr="00522676">
        <w:rPr>
          <w:b/>
          <w:bCs/>
        </w:rPr>
        <w:t xml:space="preserve">D </w:t>
      </w:r>
      <w:r w:rsidR="008366AA" w:rsidRPr="00522676">
        <w:rPr>
          <w:b/>
        </w:rPr>
        <w:t>#</w:t>
      </w:r>
      <w:r w:rsidR="008366AA" w:rsidRPr="00522676">
        <w:rPr>
          <w:b/>
          <w:bCs/>
        </w:rPr>
        <w:t>15101</w:t>
      </w:r>
    </w:p>
    <w:p w14:paraId="52A7F933" w14:textId="77777777" w:rsidR="00403D99" w:rsidRDefault="00403D99">
      <w:pPr>
        <w:pStyle w:val="Title"/>
        <w:rPr>
          <w:b/>
        </w:rPr>
      </w:pPr>
    </w:p>
    <w:p w14:paraId="0D2116E2" w14:textId="77777777" w:rsidR="00194FDC" w:rsidRPr="00403D99" w:rsidRDefault="00194FDC">
      <w:pPr>
        <w:pStyle w:val="Title"/>
        <w:rPr>
          <w:b/>
        </w:rPr>
      </w:pPr>
    </w:p>
    <w:p w14:paraId="110FEE46" w14:textId="11723D4F" w:rsidR="00F43682" w:rsidRDefault="00486B09">
      <w:pPr>
        <w:pStyle w:val="Title"/>
        <w:rPr>
          <w:b/>
        </w:rPr>
      </w:pPr>
      <w:r>
        <w:rPr>
          <w:b/>
        </w:rPr>
        <w:t xml:space="preserve">National </w:t>
      </w:r>
      <w:r w:rsidR="00F43682" w:rsidRPr="00403D99">
        <w:rPr>
          <w:b/>
        </w:rPr>
        <w:t>Principal Investigator:</w:t>
      </w:r>
      <w:r w:rsidR="0067221B">
        <w:rPr>
          <w:b/>
        </w:rPr>
        <w:t xml:space="preserve"> Mark Hatherill, MD</w:t>
      </w:r>
    </w:p>
    <w:p w14:paraId="2074E71E" w14:textId="77777777" w:rsidR="0067221B" w:rsidRDefault="0067221B">
      <w:pPr>
        <w:pStyle w:val="Title"/>
        <w:rPr>
          <w:b/>
        </w:rPr>
      </w:pPr>
    </w:p>
    <w:p w14:paraId="49778F94" w14:textId="77777777" w:rsidR="00194FDC" w:rsidRDefault="00194FDC">
      <w:pPr>
        <w:pStyle w:val="Title"/>
        <w:rPr>
          <w:b/>
        </w:rPr>
      </w:pPr>
    </w:p>
    <w:p w14:paraId="3FD31EA6" w14:textId="7C49F95E" w:rsidR="00403D99" w:rsidRDefault="00D371AD">
      <w:pPr>
        <w:pStyle w:val="Title"/>
        <w:rPr>
          <w:i/>
        </w:rPr>
      </w:pPr>
      <w:r>
        <w:rPr>
          <w:b/>
        </w:rPr>
        <w:t xml:space="preserve">Protocol </w:t>
      </w:r>
      <w:r w:rsidR="00F43682">
        <w:rPr>
          <w:b/>
        </w:rPr>
        <w:t xml:space="preserve">Version </w:t>
      </w:r>
      <w:r w:rsidR="00F43682" w:rsidRPr="00403D99">
        <w:rPr>
          <w:b/>
        </w:rPr>
        <w:t xml:space="preserve">Number: </w:t>
      </w:r>
      <w:r w:rsidR="00463AB6">
        <w:rPr>
          <w:b/>
        </w:rPr>
        <w:t>1.</w:t>
      </w:r>
      <w:r w:rsidR="001C7F42">
        <w:rPr>
          <w:b/>
        </w:rPr>
        <w:t>3</w:t>
      </w:r>
    </w:p>
    <w:p w14:paraId="214B9B5A" w14:textId="43155894" w:rsidR="00F43682" w:rsidRDefault="00F43682">
      <w:pPr>
        <w:pStyle w:val="Title"/>
        <w:rPr>
          <w:i/>
        </w:rPr>
      </w:pPr>
      <w:r>
        <w:rPr>
          <w:b/>
        </w:rPr>
        <w:t>Da</w:t>
      </w:r>
      <w:r w:rsidR="00E21053">
        <w:rPr>
          <w:b/>
        </w:rPr>
        <w:t>te</w:t>
      </w:r>
      <w:r w:rsidR="00403D99">
        <w:rPr>
          <w:b/>
        </w:rPr>
        <w:t xml:space="preserve">: </w:t>
      </w:r>
      <w:r w:rsidR="00996CEE">
        <w:rPr>
          <w:b/>
        </w:rPr>
        <w:t>14</w:t>
      </w:r>
      <w:r w:rsidR="001C7F42">
        <w:rPr>
          <w:b/>
        </w:rPr>
        <w:t xml:space="preserve"> January</w:t>
      </w:r>
      <w:r w:rsidR="00A36C33">
        <w:rPr>
          <w:b/>
        </w:rPr>
        <w:t xml:space="preserve"> </w:t>
      </w:r>
      <w:r w:rsidR="00996CEE">
        <w:rPr>
          <w:b/>
        </w:rPr>
        <w:t>2016</w:t>
      </w:r>
      <w:r>
        <w:br/>
      </w:r>
    </w:p>
    <w:p w14:paraId="77372EDB" w14:textId="77777777" w:rsidR="008B6426" w:rsidRDefault="008B6426">
      <w:pPr>
        <w:pStyle w:val="Title"/>
        <w:rPr>
          <w:i/>
        </w:rPr>
      </w:pPr>
    </w:p>
    <w:p w14:paraId="71C12E15" w14:textId="77777777" w:rsidR="00F43682" w:rsidRDefault="00F43682"/>
    <w:p w14:paraId="20BC25DA" w14:textId="77777777" w:rsidR="000717B2" w:rsidRDefault="00F43682">
      <w:pPr>
        <w:pStyle w:val="SchemaTitle"/>
      </w:pPr>
      <w:bookmarkStart w:id="0" w:name="_Toc58818890"/>
      <w:bookmarkStart w:id="1" w:name="_Toc60193103"/>
      <w:bookmarkStart w:id="2" w:name="_Toc60195133"/>
      <w:bookmarkStart w:id="3" w:name="_Toc60200981"/>
      <w:r>
        <w:br w:type="page"/>
      </w:r>
    </w:p>
    <w:p w14:paraId="15E5A679" w14:textId="502743DC" w:rsidR="00F43682" w:rsidRDefault="000717B2" w:rsidP="0059250A">
      <w:pPr>
        <w:pStyle w:val="SchemaTitle"/>
        <w:jc w:val="left"/>
      </w:pPr>
      <w:bookmarkStart w:id="4" w:name="_Toc35168723"/>
      <w:bookmarkStart w:id="5" w:name="_Toc389129934"/>
      <w:bookmarkEnd w:id="0"/>
      <w:bookmarkEnd w:id="1"/>
      <w:bookmarkEnd w:id="2"/>
      <w:bookmarkEnd w:id="3"/>
      <w:r>
        <w:lastRenderedPageBreak/>
        <w:t xml:space="preserve">STATEMENT OF COMPLIANCE </w:t>
      </w:r>
      <w:r w:rsidR="00033A57">
        <w:t xml:space="preserve">and </w:t>
      </w:r>
      <w:r w:rsidR="00F43682">
        <w:t>Signature Page</w:t>
      </w:r>
      <w:bookmarkEnd w:id="4"/>
      <w:bookmarkEnd w:id="5"/>
    </w:p>
    <w:p w14:paraId="69F2EF59" w14:textId="77777777" w:rsidR="00033A57" w:rsidRPr="00033A57" w:rsidRDefault="00033A57" w:rsidP="00033A57">
      <w:pPr>
        <w:pStyle w:val="BodyText"/>
        <w:rPr>
          <w:b/>
        </w:rPr>
      </w:pPr>
      <w:r w:rsidRPr="00033A57">
        <w:rPr>
          <w:b/>
        </w:rPr>
        <w:t>Principal Investigator Agreement</w:t>
      </w:r>
    </w:p>
    <w:p w14:paraId="27D5257D" w14:textId="77777777" w:rsidR="00033A57" w:rsidRDefault="00033A57" w:rsidP="00033A57">
      <w:pPr>
        <w:pStyle w:val="BodyText"/>
      </w:pPr>
      <w:r>
        <w:t>Protocol Number: IDRI-TBVPX-203</w:t>
      </w:r>
    </w:p>
    <w:p w14:paraId="370C056D" w14:textId="77777777" w:rsidR="00033A57" w:rsidRDefault="00033A57" w:rsidP="00033A57">
      <w:pPr>
        <w:pStyle w:val="BodyText"/>
      </w:pPr>
      <w:r>
        <w:t>I, the undersigned, have reviewed this protocol, including all attached information.</w:t>
      </w:r>
    </w:p>
    <w:p w14:paraId="205BE488" w14:textId="01BB9B37" w:rsidR="00F43682" w:rsidRDefault="00033A57">
      <w:pPr>
        <w:pStyle w:val="BodyText"/>
      </w:pPr>
      <w:r>
        <w:t xml:space="preserve">I agree to conduct this clinical study in accordance with </w:t>
      </w:r>
      <w:r w:rsidR="00042945" w:rsidRPr="00042945">
        <w:t xml:space="preserve">the ethical principles set forth </w:t>
      </w:r>
      <w:r w:rsidR="00042945">
        <w:t>in the Declaration of Helsinki,</w:t>
      </w:r>
      <w:r>
        <w:t xml:space="preserve"> the E6 Guidance of the International Conference on Harmonization of Technical Requirements for Registration of Pharmaceuticals for Human Use (ICH) “Good Clinical Practice: Consolidated Guidance”, and the U.S. Code of Federal Regulations governing the protection of human subjects (21 CFR 50), Institutional Review Boards (21 CFR 56)</w:t>
      </w:r>
      <w:r w:rsidR="00042945">
        <w:t>,</w:t>
      </w:r>
      <w:r>
        <w:t xml:space="preserve"> the obligations of clinical investigators (21 CFR 312)</w:t>
      </w:r>
      <w:r w:rsidR="00042945">
        <w:t xml:space="preserve">, </w:t>
      </w:r>
      <w:r w:rsidR="00042945" w:rsidRPr="00042945">
        <w:t>Guidelines for Good Practice in the Conduct of Clinical Trials in Human Participants in South Africa, and local regulatory requirements.</w:t>
      </w:r>
      <w:r>
        <w:t xml:space="preserve"> Furthermore, I agree to maintain all study documentation for the time specified in </w:t>
      </w:r>
      <w:r w:rsidR="00725327">
        <w:t>S</w:t>
      </w:r>
      <w:r>
        <w:t xml:space="preserve">ection </w:t>
      </w:r>
      <w:r w:rsidR="0040275E" w:rsidRPr="0040275E">
        <w:rPr>
          <w:color w:val="0000FF"/>
        </w:rPr>
        <w:fldChar w:fldCharType="begin"/>
      </w:r>
      <w:r w:rsidR="0040275E" w:rsidRPr="0040275E">
        <w:rPr>
          <w:color w:val="0000FF"/>
        </w:rPr>
        <w:instrText xml:space="preserve"> REF  _Ref389057370 \h \r  \* MERGEFORMAT </w:instrText>
      </w:r>
      <w:r w:rsidR="0040275E" w:rsidRPr="0040275E">
        <w:rPr>
          <w:color w:val="0000FF"/>
        </w:rPr>
      </w:r>
      <w:r w:rsidR="0040275E" w:rsidRPr="0040275E">
        <w:rPr>
          <w:color w:val="0000FF"/>
        </w:rPr>
        <w:fldChar w:fldCharType="separate"/>
      </w:r>
      <w:r w:rsidR="00024E24">
        <w:rPr>
          <w:color w:val="0000FF"/>
        </w:rPr>
        <w:t>15.2</w:t>
      </w:r>
      <w:r w:rsidR="0040275E" w:rsidRPr="0040275E">
        <w:rPr>
          <w:color w:val="0000FF"/>
        </w:rPr>
        <w:fldChar w:fldCharType="end"/>
      </w:r>
      <w:r w:rsidR="00D73656">
        <w:t>.</w:t>
      </w:r>
    </w:p>
    <w:p w14:paraId="79C97185" w14:textId="77777777" w:rsidR="009840D2" w:rsidRPr="00194FDC" w:rsidRDefault="009840D2">
      <w:pPr>
        <w:pStyle w:val="BodyText"/>
        <w:rPr>
          <w:b/>
        </w:rPr>
      </w:pPr>
    </w:p>
    <w:tbl>
      <w:tblPr>
        <w:tblW w:w="0" w:type="auto"/>
        <w:tblLook w:val="0000" w:firstRow="0" w:lastRow="0" w:firstColumn="0" w:lastColumn="0" w:noHBand="0" w:noVBand="0"/>
      </w:tblPr>
      <w:tblGrid>
        <w:gridCol w:w="1618"/>
        <w:gridCol w:w="4887"/>
        <w:gridCol w:w="884"/>
        <w:gridCol w:w="1971"/>
      </w:tblGrid>
      <w:tr w:rsidR="00347B69" w:rsidRPr="00042945" w14:paraId="37EF4F2F" w14:textId="77777777" w:rsidTr="00347B69">
        <w:trPr>
          <w:cantSplit/>
        </w:trPr>
        <w:tc>
          <w:tcPr>
            <w:tcW w:w="9576" w:type="dxa"/>
            <w:gridSpan w:val="4"/>
          </w:tcPr>
          <w:p w14:paraId="779F54CB" w14:textId="3E3F0B0C" w:rsidR="00347B69" w:rsidRPr="00042945" w:rsidRDefault="00347B69" w:rsidP="00347B69">
            <w:pPr>
              <w:rPr>
                <w:rFonts w:cs="Arial"/>
                <w:b/>
                <w:sz w:val="20"/>
              </w:rPr>
            </w:pPr>
            <w:r w:rsidRPr="00042945">
              <w:rPr>
                <w:rFonts w:cs="Arial"/>
                <w:b/>
                <w:sz w:val="20"/>
              </w:rPr>
              <w:t>Site Principal Investigator:</w:t>
            </w:r>
          </w:p>
          <w:p w14:paraId="3684F305" w14:textId="77777777" w:rsidR="00347B69" w:rsidRPr="00042945" w:rsidRDefault="00347B69" w:rsidP="00347B69">
            <w:pPr>
              <w:rPr>
                <w:rFonts w:cs="Arial"/>
                <w:b/>
                <w:sz w:val="20"/>
              </w:rPr>
            </w:pPr>
          </w:p>
          <w:p w14:paraId="256BE9A6" w14:textId="77777777" w:rsidR="00347B69" w:rsidRPr="00042945" w:rsidRDefault="00347B69" w:rsidP="00347B69">
            <w:pPr>
              <w:rPr>
                <w:rFonts w:cs="Arial"/>
                <w:b/>
                <w:sz w:val="20"/>
              </w:rPr>
            </w:pPr>
          </w:p>
        </w:tc>
      </w:tr>
      <w:tr w:rsidR="00347B69" w:rsidRPr="00042945" w14:paraId="42E96B0F" w14:textId="77777777" w:rsidTr="00D73656">
        <w:tc>
          <w:tcPr>
            <w:tcW w:w="1638" w:type="dxa"/>
          </w:tcPr>
          <w:p w14:paraId="72BD9BA8" w14:textId="77777777" w:rsidR="00347B69" w:rsidRPr="00042945" w:rsidRDefault="00347B69" w:rsidP="00347B69">
            <w:pPr>
              <w:rPr>
                <w:rFonts w:cs="Arial"/>
                <w:sz w:val="20"/>
              </w:rPr>
            </w:pPr>
            <w:r w:rsidRPr="00042945">
              <w:rPr>
                <w:rFonts w:cs="Arial"/>
                <w:sz w:val="20"/>
              </w:rPr>
              <w:t>Signed:</w:t>
            </w:r>
          </w:p>
        </w:tc>
        <w:tc>
          <w:tcPr>
            <w:tcW w:w="5025" w:type="dxa"/>
            <w:tcBorders>
              <w:bottom w:val="single" w:sz="4" w:space="0" w:color="auto"/>
            </w:tcBorders>
          </w:tcPr>
          <w:p w14:paraId="6F097736" w14:textId="77777777" w:rsidR="00347B69" w:rsidRPr="00042945" w:rsidRDefault="00347B69" w:rsidP="00347B69">
            <w:pPr>
              <w:rPr>
                <w:rFonts w:cs="Arial"/>
                <w:sz w:val="20"/>
              </w:rPr>
            </w:pPr>
          </w:p>
        </w:tc>
        <w:tc>
          <w:tcPr>
            <w:tcW w:w="890" w:type="dxa"/>
          </w:tcPr>
          <w:p w14:paraId="592F4422" w14:textId="77777777" w:rsidR="00347B69" w:rsidRPr="00042945" w:rsidRDefault="00347B69" w:rsidP="00347B69">
            <w:pPr>
              <w:rPr>
                <w:rFonts w:cs="Arial"/>
                <w:sz w:val="20"/>
              </w:rPr>
            </w:pPr>
            <w:r w:rsidRPr="00042945">
              <w:rPr>
                <w:rFonts w:cs="Arial"/>
                <w:sz w:val="20"/>
              </w:rPr>
              <w:t>Date:</w:t>
            </w:r>
          </w:p>
        </w:tc>
        <w:tc>
          <w:tcPr>
            <w:tcW w:w="2023" w:type="dxa"/>
            <w:tcBorders>
              <w:bottom w:val="single" w:sz="4" w:space="0" w:color="auto"/>
            </w:tcBorders>
          </w:tcPr>
          <w:p w14:paraId="0555AD63" w14:textId="77777777" w:rsidR="00347B69" w:rsidRPr="00042945" w:rsidRDefault="00347B69" w:rsidP="00347B69">
            <w:pPr>
              <w:rPr>
                <w:rFonts w:cs="Arial"/>
                <w:sz w:val="20"/>
              </w:rPr>
            </w:pPr>
          </w:p>
        </w:tc>
      </w:tr>
      <w:tr w:rsidR="00347B69" w:rsidRPr="00042945" w14:paraId="6600CDD5" w14:textId="77777777" w:rsidTr="00D73656">
        <w:tc>
          <w:tcPr>
            <w:tcW w:w="1638" w:type="dxa"/>
          </w:tcPr>
          <w:p w14:paraId="0FBCEBDA" w14:textId="77777777" w:rsidR="00347B69" w:rsidRPr="00042945" w:rsidRDefault="00347B69" w:rsidP="00347B69">
            <w:pPr>
              <w:rPr>
                <w:rFonts w:cs="Arial"/>
                <w:sz w:val="20"/>
              </w:rPr>
            </w:pPr>
          </w:p>
        </w:tc>
        <w:tc>
          <w:tcPr>
            <w:tcW w:w="5025" w:type="dxa"/>
            <w:tcBorders>
              <w:top w:val="single" w:sz="4" w:space="0" w:color="auto"/>
            </w:tcBorders>
          </w:tcPr>
          <w:p w14:paraId="5DB0D605" w14:textId="77777777" w:rsidR="00347B69" w:rsidRPr="00042945" w:rsidRDefault="00347B69" w:rsidP="00347B69">
            <w:pPr>
              <w:rPr>
                <w:rFonts w:cs="Arial"/>
                <w:i/>
                <w:iCs/>
                <w:sz w:val="20"/>
              </w:rPr>
            </w:pPr>
          </w:p>
          <w:p w14:paraId="4059E363" w14:textId="77777777" w:rsidR="00347B69" w:rsidRPr="00042945" w:rsidRDefault="00347B69" w:rsidP="00D73656">
            <w:pPr>
              <w:rPr>
                <w:rFonts w:cs="Arial"/>
                <w:sz w:val="20"/>
              </w:rPr>
            </w:pPr>
          </w:p>
        </w:tc>
        <w:tc>
          <w:tcPr>
            <w:tcW w:w="890" w:type="dxa"/>
          </w:tcPr>
          <w:p w14:paraId="537521DC" w14:textId="77777777" w:rsidR="00347B69" w:rsidRPr="00042945" w:rsidRDefault="00347B69" w:rsidP="00347B69">
            <w:pPr>
              <w:rPr>
                <w:rFonts w:cs="Arial"/>
                <w:sz w:val="20"/>
              </w:rPr>
            </w:pPr>
          </w:p>
        </w:tc>
        <w:tc>
          <w:tcPr>
            <w:tcW w:w="2023" w:type="dxa"/>
            <w:tcBorders>
              <w:top w:val="single" w:sz="4" w:space="0" w:color="auto"/>
            </w:tcBorders>
          </w:tcPr>
          <w:p w14:paraId="4FA0C70B" w14:textId="77777777" w:rsidR="00347B69" w:rsidRPr="00042945" w:rsidRDefault="00347B69" w:rsidP="00347B69">
            <w:pPr>
              <w:rPr>
                <w:rFonts w:cs="Arial"/>
                <w:sz w:val="20"/>
              </w:rPr>
            </w:pPr>
          </w:p>
        </w:tc>
      </w:tr>
      <w:tr w:rsidR="00347B69" w:rsidRPr="00042945" w14:paraId="0CFA6230" w14:textId="77777777" w:rsidTr="00D73656">
        <w:tc>
          <w:tcPr>
            <w:tcW w:w="1638" w:type="dxa"/>
          </w:tcPr>
          <w:p w14:paraId="647B5961" w14:textId="4F87C036" w:rsidR="00347B69" w:rsidRPr="00042945" w:rsidRDefault="00D73656" w:rsidP="00347B69">
            <w:pPr>
              <w:rPr>
                <w:rFonts w:cs="Arial"/>
                <w:sz w:val="20"/>
              </w:rPr>
            </w:pPr>
            <w:r>
              <w:rPr>
                <w:rFonts w:cs="Arial"/>
                <w:sz w:val="20"/>
              </w:rPr>
              <w:t>Printed Name</w:t>
            </w:r>
            <w:r w:rsidR="00347B69" w:rsidRPr="00042945">
              <w:rPr>
                <w:rFonts w:cs="Arial"/>
                <w:sz w:val="20"/>
              </w:rPr>
              <w:t>:</w:t>
            </w:r>
          </w:p>
        </w:tc>
        <w:tc>
          <w:tcPr>
            <w:tcW w:w="5025" w:type="dxa"/>
            <w:tcBorders>
              <w:bottom w:val="single" w:sz="4" w:space="0" w:color="auto"/>
            </w:tcBorders>
          </w:tcPr>
          <w:p w14:paraId="6B20BD52" w14:textId="77777777" w:rsidR="00347B69" w:rsidRPr="00042945" w:rsidRDefault="00347B69" w:rsidP="00347B69">
            <w:pPr>
              <w:rPr>
                <w:rFonts w:cs="Arial"/>
                <w:sz w:val="20"/>
              </w:rPr>
            </w:pPr>
          </w:p>
        </w:tc>
        <w:tc>
          <w:tcPr>
            <w:tcW w:w="890" w:type="dxa"/>
          </w:tcPr>
          <w:p w14:paraId="620BDFE2" w14:textId="25E5AC5D" w:rsidR="00347B69" w:rsidRPr="00042945" w:rsidRDefault="00347B69" w:rsidP="00347B69">
            <w:pPr>
              <w:rPr>
                <w:rFonts w:cs="Arial"/>
                <w:sz w:val="20"/>
              </w:rPr>
            </w:pPr>
          </w:p>
        </w:tc>
        <w:tc>
          <w:tcPr>
            <w:tcW w:w="2023" w:type="dxa"/>
          </w:tcPr>
          <w:p w14:paraId="7C98CCEC" w14:textId="77777777" w:rsidR="00347B69" w:rsidRPr="00042945" w:rsidRDefault="00347B69" w:rsidP="00347B69">
            <w:pPr>
              <w:rPr>
                <w:rFonts w:cs="Arial"/>
                <w:sz w:val="20"/>
              </w:rPr>
            </w:pPr>
          </w:p>
        </w:tc>
      </w:tr>
      <w:tr w:rsidR="00347B69" w:rsidRPr="00042945" w14:paraId="2BB42903" w14:textId="77777777" w:rsidTr="00D73656">
        <w:tc>
          <w:tcPr>
            <w:tcW w:w="1638" w:type="dxa"/>
          </w:tcPr>
          <w:p w14:paraId="7C9586DA" w14:textId="77777777" w:rsidR="00347B69" w:rsidRPr="00042945" w:rsidRDefault="00347B69" w:rsidP="00347B69">
            <w:pPr>
              <w:rPr>
                <w:rFonts w:cs="Arial"/>
                <w:sz w:val="20"/>
              </w:rPr>
            </w:pPr>
          </w:p>
        </w:tc>
        <w:tc>
          <w:tcPr>
            <w:tcW w:w="5025" w:type="dxa"/>
            <w:tcBorders>
              <w:top w:val="single" w:sz="4" w:space="0" w:color="auto"/>
            </w:tcBorders>
          </w:tcPr>
          <w:p w14:paraId="0F635AF9" w14:textId="77777777" w:rsidR="00347B69" w:rsidRPr="00042945" w:rsidRDefault="00347B69" w:rsidP="00347B69">
            <w:pPr>
              <w:rPr>
                <w:rFonts w:cs="Arial"/>
                <w:i/>
                <w:iCs/>
                <w:sz w:val="20"/>
              </w:rPr>
            </w:pPr>
          </w:p>
          <w:p w14:paraId="00B6BBAB" w14:textId="77777777" w:rsidR="00347B69" w:rsidRPr="00042945" w:rsidRDefault="00347B69" w:rsidP="00D73656">
            <w:pPr>
              <w:rPr>
                <w:rFonts w:cs="Arial"/>
                <w:sz w:val="20"/>
              </w:rPr>
            </w:pPr>
          </w:p>
        </w:tc>
        <w:tc>
          <w:tcPr>
            <w:tcW w:w="890" w:type="dxa"/>
          </w:tcPr>
          <w:p w14:paraId="7D4A3ED9" w14:textId="77777777" w:rsidR="00347B69" w:rsidRPr="00042945" w:rsidRDefault="00347B69" w:rsidP="00347B69">
            <w:pPr>
              <w:rPr>
                <w:rFonts w:cs="Arial"/>
                <w:sz w:val="20"/>
              </w:rPr>
            </w:pPr>
          </w:p>
        </w:tc>
        <w:tc>
          <w:tcPr>
            <w:tcW w:w="2023" w:type="dxa"/>
          </w:tcPr>
          <w:p w14:paraId="2459FFB9" w14:textId="77777777" w:rsidR="00347B69" w:rsidRPr="00042945" w:rsidRDefault="00347B69" w:rsidP="00347B69">
            <w:pPr>
              <w:rPr>
                <w:rFonts w:cs="Arial"/>
                <w:sz w:val="20"/>
              </w:rPr>
            </w:pPr>
          </w:p>
        </w:tc>
      </w:tr>
    </w:tbl>
    <w:p w14:paraId="79897EBA" w14:textId="32A70CFB" w:rsidR="00F43682" w:rsidRPr="0040275E" w:rsidRDefault="00F43682" w:rsidP="0040275E">
      <w:pPr>
        <w:pStyle w:val="Heading1"/>
        <w:pageBreakBefore w:val="0"/>
        <w:numPr>
          <w:ilvl w:val="0"/>
          <w:numId w:val="0"/>
        </w:numPr>
        <w:spacing w:before="240" w:after="240"/>
        <w:jc w:val="center"/>
        <w:rPr>
          <w:sz w:val="24"/>
          <w:szCs w:val="24"/>
        </w:rPr>
      </w:pPr>
      <w:r>
        <w:br w:type="page"/>
      </w:r>
      <w:bookmarkStart w:id="6" w:name="_Toc389129935"/>
      <w:bookmarkStart w:id="7" w:name="_Toc440906235"/>
      <w:r w:rsidR="0040275E" w:rsidRPr="0040275E">
        <w:rPr>
          <w:caps w:val="0"/>
          <w:sz w:val="24"/>
          <w:szCs w:val="24"/>
        </w:rPr>
        <w:lastRenderedPageBreak/>
        <w:t>TABLE OF CONTENTS</w:t>
      </w:r>
      <w:bookmarkEnd w:id="6"/>
      <w:bookmarkEnd w:id="7"/>
    </w:p>
    <w:p w14:paraId="1FCFAB52" w14:textId="1235836B" w:rsidR="006A49A8" w:rsidRDefault="0040275E">
      <w:pPr>
        <w:pStyle w:val="TOC1"/>
        <w:rPr>
          <w:rFonts w:asciiTheme="minorHAnsi" w:eastAsiaTheme="minorEastAsia" w:hAnsiTheme="minorHAnsi" w:cstheme="minorBidi"/>
          <w:szCs w:val="22"/>
        </w:rPr>
      </w:pPr>
      <w:r>
        <w:fldChar w:fldCharType="begin"/>
      </w:r>
      <w:r>
        <w:instrText xml:space="preserve"> TOC \o "1-3" \h \z \u </w:instrText>
      </w:r>
      <w:r>
        <w:fldChar w:fldCharType="separate"/>
      </w:r>
      <w:hyperlink w:anchor="_Toc440906235" w:history="1">
        <w:r w:rsidR="006A49A8" w:rsidRPr="00712F19">
          <w:rPr>
            <w:rStyle w:val="Hyperlink"/>
          </w:rPr>
          <w:t>TABLE OF CONTENTS</w:t>
        </w:r>
        <w:r w:rsidR="006A49A8">
          <w:rPr>
            <w:webHidden/>
          </w:rPr>
          <w:tab/>
        </w:r>
        <w:r w:rsidR="006A49A8">
          <w:rPr>
            <w:webHidden/>
          </w:rPr>
          <w:fldChar w:fldCharType="begin"/>
        </w:r>
        <w:r w:rsidR="006A49A8">
          <w:rPr>
            <w:webHidden/>
          </w:rPr>
          <w:instrText xml:space="preserve"> PAGEREF _Toc440906235 \h </w:instrText>
        </w:r>
        <w:r w:rsidR="006A49A8">
          <w:rPr>
            <w:webHidden/>
          </w:rPr>
        </w:r>
        <w:r w:rsidR="006A49A8">
          <w:rPr>
            <w:webHidden/>
          </w:rPr>
          <w:fldChar w:fldCharType="separate"/>
        </w:r>
        <w:r w:rsidR="00024E24">
          <w:rPr>
            <w:webHidden/>
          </w:rPr>
          <w:t>3</w:t>
        </w:r>
        <w:r w:rsidR="006A49A8">
          <w:rPr>
            <w:webHidden/>
          </w:rPr>
          <w:fldChar w:fldCharType="end"/>
        </w:r>
      </w:hyperlink>
    </w:p>
    <w:p w14:paraId="7CEC3C08" w14:textId="471881DE" w:rsidR="006A49A8" w:rsidRDefault="00024E24">
      <w:pPr>
        <w:pStyle w:val="TOC1"/>
        <w:rPr>
          <w:rFonts w:asciiTheme="minorHAnsi" w:eastAsiaTheme="minorEastAsia" w:hAnsiTheme="minorHAnsi" w:cstheme="minorBidi"/>
          <w:szCs w:val="22"/>
        </w:rPr>
      </w:pPr>
      <w:hyperlink w:anchor="_Toc440906236" w:history="1">
        <w:r w:rsidR="006A49A8" w:rsidRPr="00712F19">
          <w:rPr>
            <w:rStyle w:val="Hyperlink"/>
          </w:rPr>
          <w:t>LIST OF TABLES</w:t>
        </w:r>
        <w:r w:rsidR="006A49A8">
          <w:rPr>
            <w:webHidden/>
          </w:rPr>
          <w:tab/>
        </w:r>
        <w:r w:rsidR="006A49A8">
          <w:rPr>
            <w:webHidden/>
          </w:rPr>
          <w:fldChar w:fldCharType="begin"/>
        </w:r>
        <w:r w:rsidR="006A49A8">
          <w:rPr>
            <w:webHidden/>
          </w:rPr>
          <w:instrText xml:space="preserve"> PAGEREF _Toc440906236 \h </w:instrText>
        </w:r>
        <w:r w:rsidR="006A49A8">
          <w:rPr>
            <w:webHidden/>
          </w:rPr>
        </w:r>
        <w:r w:rsidR="006A49A8">
          <w:rPr>
            <w:webHidden/>
          </w:rPr>
          <w:fldChar w:fldCharType="separate"/>
        </w:r>
        <w:r>
          <w:rPr>
            <w:webHidden/>
          </w:rPr>
          <w:t>6</w:t>
        </w:r>
        <w:r w:rsidR="006A49A8">
          <w:rPr>
            <w:webHidden/>
          </w:rPr>
          <w:fldChar w:fldCharType="end"/>
        </w:r>
      </w:hyperlink>
    </w:p>
    <w:p w14:paraId="0DC7F78B" w14:textId="7EABBB1A" w:rsidR="006A49A8" w:rsidRDefault="00024E24">
      <w:pPr>
        <w:pStyle w:val="TOC1"/>
        <w:rPr>
          <w:rFonts w:asciiTheme="minorHAnsi" w:eastAsiaTheme="minorEastAsia" w:hAnsiTheme="minorHAnsi" w:cstheme="minorBidi"/>
          <w:szCs w:val="22"/>
        </w:rPr>
      </w:pPr>
      <w:hyperlink w:anchor="_Toc440906237" w:history="1">
        <w:r w:rsidR="006A49A8" w:rsidRPr="00712F19">
          <w:rPr>
            <w:rStyle w:val="Hyperlink"/>
          </w:rPr>
          <w:t>LIST OF ABBREVIATIONS</w:t>
        </w:r>
        <w:r w:rsidR="006A49A8">
          <w:rPr>
            <w:webHidden/>
          </w:rPr>
          <w:tab/>
        </w:r>
        <w:r w:rsidR="006A49A8">
          <w:rPr>
            <w:webHidden/>
          </w:rPr>
          <w:fldChar w:fldCharType="begin"/>
        </w:r>
        <w:r w:rsidR="006A49A8">
          <w:rPr>
            <w:webHidden/>
          </w:rPr>
          <w:instrText xml:space="preserve"> PAGEREF _Toc440906237 \h </w:instrText>
        </w:r>
        <w:r w:rsidR="006A49A8">
          <w:rPr>
            <w:webHidden/>
          </w:rPr>
        </w:r>
        <w:r w:rsidR="006A49A8">
          <w:rPr>
            <w:webHidden/>
          </w:rPr>
          <w:fldChar w:fldCharType="separate"/>
        </w:r>
        <w:r>
          <w:rPr>
            <w:webHidden/>
          </w:rPr>
          <w:t>6</w:t>
        </w:r>
        <w:r w:rsidR="006A49A8">
          <w:rPr>
            <w:webHidden/>
          </w:rPr>
          <w:fldChar w:fldCharType="end"/>
        </w:r>
      </w:hyperlink>
    </w:p>
    <w:p w14:paraId="4B7053E8" w14:textId="32D8B0C0" w:rsidR="006A49A8" w:rsidRDefault="00024E24">
      <w:pPr>
        <w:pStyle w:val="TOC1"/>
        <w:rPr>
          <w:rFonts w:asciiTheme="minorHAnsi" w:eastAsiaTheme="minorEastAsia" w:hAnsiTheme="minorHAnsi" w:cstheme="minorBidi"/>
          <w:szCs w:val="22"/>
        </w:rPr>
      </w:pPr>
      <w:hyperlink w:anchor="_Toc440906238" w:history="1">
        <w:r w:rsidR="006A49A8" w:rsidRPr="00712F19">
          <w:rPr>
            <w:rStyle w:val="Hyperlink"/>
          </w:rPr>
          <w:t>PROTOCOL SUMMARY</w:t>
        </w:r>
        <w:r w:rsidR="006A49A8">
          <w:rPr>
            <w:webHidden/>
          </w:rPr>
          <w:tab/>
        </w:r>
        <w:r w:rsidR="006A49A8">
          <w:rPr>
            <w:webHidden/>
          </w:rPr>
          <w:fldChar w:fldCharType="begin"/>
        </w:r>
        <w:r w:rsidR="006A49A8">
          <w:rPr>
            <w:webHidden/>
          </w:rPr>
          <w:instrText xml:space="preserve"> PAGEREF _Toc440906238 \h </w:instrText>
        </w:r>
        <w:r w:rsidR="006A49A8">
          <w:rPr>
            <w:webHidden/>
          </w:rPr>
        </w:r>
        <w:r w:rsidR="006A49A8">
          <w:rPr>
            <w:webHidden/>
          </w:rPr>
          <w:fldChar w:fldCharType="separate"/>
        </w:r>
        <w:r>
          <w:rPr>
            <w:webHidden/>
          </w:rPr>
          <w:t>9</w:t>
        </w:r>
        <w:r w:rsidR="006A49A8">
          <w:rPr>
            <w:webHidden/>
          </w:rPr>
          <w:fldChar w:fldCharType="end"/>
        </w:r>
      </w:hyperlink>
    </w:p>
    <w:p w14:paraId="2F4FBEE7" w14:textId="587938DE" w:rsidR="006A49A8" w:rsidRDefault="00024E24">
      <w:pPr>
        <w:pStyle w:val="TOC1"/>
        <w:rPr>
          <w:rFonts w:asciiTheme="minorHAnsi" w:eastAsiaTheme="minorEastAsia" w:hAnsiTheme="minorHAnsi" w:cstheme="minorBidi"/>
          <w:szCs w:val="22"/>
        </w:rPr>
      </w:pPr>
      <w:hyperlink w:anchor="_Toc440906239" w:history="1">
        <w:r w:rsidR="006A49A8" w:rsidRPr="00712F19">
          <w:rPr>
            <w:rStyle w:val="Hyperlink"/>
          </w:rPr>
          <w:t>1</w:t>
        </w:r>
        <w:r w:rsidR="006A49A8">
          <w:rPr>
            <w:rFonts w:asciiTheme="minorHAnsi" w:eastAsiaTheme="minorEastAsia" w:hAnsiTheme="minorHAnsi" w:cstheme="minorBidi"/>
            <w:szCs w:val="22"/>
          </w:rPr>
          <w:tab/>
        </w:r>
        <w:r w:rsidR="006A49A8" w:rsidRPr="00712F19">
          <w:rPr>
            <w:rStyle w:val="Hyperlink"/>
          </w:rPr>
          <w:t>Key Roles</w:t>
        </w:r>
        <w:r w:rsidR="006A49A8">
          <w:rPr>
            <w:webHidden/>
          </w:rPr>
          <w:tab/>
        </w:r>
        <w:r w:rsidR="006A49A8">
          <w:rPr>
            <w:webHidden/>
          </w:rPr>
          <w:fldChar w:fldCharType="begin"/>
        </w:r>
        <w:r w:rsidR="006A49A8">
          <w:rPr>
            <w:webHidden/>
          </w:rPr>
          <w:instrText xml:space="preserve"> PAGEREF _Toc440906239 \h </w:instrText>
        </w:r>
        <w:r w:rsidR="006A49A8">
          <w:rPr>
            <w:webHidden/>
          </w:rPr>
        </w:r>
        <w:r w:rsidR="006A49A8">
          <w:rPr>
            <w:webHidden/>
          </w:rPr>
          <w:fldChar w:fldCharType="separate"/>
        </w:r>
        <w:r>
          <w:rPr>
            <w:webHidden/>
          </w:rPr>
          <w:t>11</w:t>
        </w:r>
        <w:r w:rsidR="006A49A8">
          <w:rPr>
            <w:webHidden/>
          </w:rPr>
          <w:fldChar w:fldCharType="end"/>
        </w:r>
      </w:hyperlink>
    </w:p>
    <w:p w14:paraId="215B72AB" w14:textId="147FA10E" w:rsidR="006A49A8" w:rsidRDefault="00024E24">
      <w:pPr>
        <w:pStyle w:val="TOC1"/>
        <w:rPr>
          <w:rFonts w:asciiTheme="minorHAnsi" w:eastAsiaTheme="minorEastAsia" w:hAnsiTheme="minorHAnsi" w:cstheme="minorBidi"/>
          <w:szCs w:val="22"/>
        </w:rPr>
      </w:pPr>
      <w:hyperlink w:anchor="_Toc440906240" w:history="1">
        <w:r w:rsidR="006A49A8" w:rsidRPr="00712F19">
          <w:rPr>
            <w:rStyle w:val="Hyperlink"/>
          </w:rPr>
          <w:t>2</w:t>
        </w:r>
        <w:r w:rsidR="006A49A8">
          <w:rPr>
            <w:rFonts w:asciiTheme="minorHAnsi" w:eastAsiaTheme="minorEastAsia" w:hAnsiTheme="minorHAnsi" w:cstheme="minorBidi"/>
            <w:szCs w:val="22"/>
          </w:rPr>
          <w:tab/>
        </w:r>
        <w:r w:rsidR="006A49A8" w:rsidRPr="00712F19">
          <w:rPr>
            <w:rStyle w:val="Hyperlink"/>
          </w:rPr>
          <w:t>Background Information and Scientific Rationale</w:t>
        </w:r>
        <w:r w:rsidR="006A49A8">
          <w:rPr>
            <w:webHidden/>
          </w:rPr>
          <w:tab/>
        </w:r>
        <w:r w:rsidR="006A49A8">
          <w:rPr>
            <w:webHidden/>
          </w:rPr>
          <w:fldChar w:fldCharType="begin"/>
        </w:r>
        <w:r w:rsidR="006A49A8">
          <w:rPr>
            <w:webHidden/>
          </w:rPr>
          <w:instrText xml:space="preserve"> PAGEREF _Toc440906240 \h </w:instrText>
        </w:r>
        <w:r w:rsidR="006A49A8">
          <w:rPr>
            <w:webHidden/>
          </w:rPr>
        </w:r>
        <w:r w:rsidR="006A49A8">
          <w:rPr>
            <w:webHidden/>
          </w:rPr>
          <w:fldChar w:fldCharType="separate"/>
        </w:r>
        <w:r>
          <w:rPr>
            <w:webHidden/>
          </w:rPr>
          <w:t>12</w:t>
        </w:r>
        <w:r w:rsidR="006A49A8">
          <w:rPr>
            <w:webHidden/>
          </w:rPr>
          <w:fldChar w:fldCharType="end"/>
        </w:r>
      </w:hyperlink>
    </w:p>
    <w:p w14:paraId="4C4AE04A" w14:textId="134D05F2" w:rsidR="006A49A8" w:rsidRDefault="00024E24">
      <w:pPr>
        <w:pStyle w:val="TOC2"/>
        <w:rPr>
          <w:rFonts w:asciiTheme="minorHAnsi" w:eastAsiaTheme="minorEastAsia" w:hAnsiTheme="minorHAnsi" w:cstheme="minorBidi"/>
          <w:szCs w:val="22"/>
        </w:rPr>
      </w:pPr>
      <w:hyperlink w:anchor="_Toc440906241" w:history="1">
        <w:r w:rsidR="006A49A8" w:rsidRPr="00712F19">
          <w:rPr>
            <w:rStyle w:val="Hyperlink"/>
          </w:rPr>
          <w:t>2.1</w:t>
        </w:r>
        <w:r w:rsidR="006A49A8">
          <w:rPr>
            <w:rFonts w:asciiTheme="minorHAnsi" w:eastAsiaTheme="minorEastAsia" w:hAnsiTheme="minorHAnsi" w:cstheme="minorBidi"/>
            <w:szCs w:val="22"/>
          </w:rPr>
          <w:tab/>
        </w:r>
        <w:r w:rsidR="006A49A8" w:rsidRPr="00712F19">
          <w:rPr>
            <w:rStyle w:val="Hyperlink"/>
          </w:rPr>
          <w:t>Background Information</w:t>
        </w:r>
        <w:r w:rsidR="006A49A8">
          <w:rPr>
            <w:webHidden/>
          </w:rPr>
          <w:tab/>
        </w:r>
        <w:r w:rsidR="006A49A8">
          <w:rPr>
            <w:webHidden/>
          </w:rPr>
          <w:fldChar w:fldCharType="begin"/>
        </w:r>
        <w:r w:rsidR="006A49A8">
          <w:rPr>
            <w:webHidden/>
          </w:rPr>
          <w:instrText xml:space="preserve"> PAGEREF _Toc440906241 \h </w:instrText>
        </w:r>
        <w:r w:rsidR="006A49A8">
          <w:rPr>
            <w:webHidden/>
          </w:rPr>
        </w:r>
        <w:r w:rsidR="006A49A8">
          <w:rPr>
            <w:webHidden/>
          </w:rPr>
          <w:fldChar w:fldCharType="separate"/>
        </w:r>
        <w:r>
          <w:rPr>
            <w:webHidden/>
          </w:rPr>
          <w:t>12</w:t>
        </w:r>
        <w:r w:rsidR="006A49A8">
          <w:rPr>
            <w:webHidden/>
          </w:rPr>
          <w:fldChar w:fldCharType="end"/>
        </w:r>
      </w:hyperlink>
    </w:p>
    <w:p w14:paraId="6F8B4C60" w14:textId="7E944330" w:rsidR="006A49A8" w:rsidRDefault="00024E24">
      <w:pPr>
        <w:pStyle w:val="TOC3"/>
        <w:rPr>
          <w:rFonts w:asciiTheme="minorHAnsi" w:eastAsiaTheme="minorEastAsia" w:hAnsiTheme="minorHAnsi" w:cstheme="minorBidi"/>
          <w:szCs w:val="22"/>
        </w:rPr>
      </w:pPr>
      <w:hyperlink w:anchor="_Toc440906242" w:history="1">
        <w:r w:rsidR="006A49A8" w:rsidRPr="00712F19">
          <w:rPr>
            <w:rStyle w:val="Hyperlink"/>
          </w:rPr>
          <w:t>2.1.1</w:t>
        </w:r>
        <w:r w:rsidR="006A49A8">
          <w:rPr>
            <w:rFonts w:asciiTheme="minorHAnsi" w:eastAsiaTheme="minorEastAsia" w:hAnsiTheme="minorHAnsi" w:cstheme="minorBidi"/>
            <w:szCs w:val="22"/>
          </w:rPr>
          <w:tab/>
        </w:r>
        <w:r w:rsidR="006A49A8" w:rsidRPr="00712F19">
          <w:rPr>
            <w:rStyle w:val="Hyperlink"/>
          </w:rPr>
          <w:t>Preclinical Data for ID93 + GLA-SE</w:t>
        </w:r>
        <w:r w:rsidR="006A49A8">
          <w:rPr>
            <w:webHidden/>
          </w:rPr>
          <w:tab/>
        </w:r>
        <w:r w:rsidR="006A49A8">
          <w:rPr>
            <w:webHidden/>
          </w:rPr>
          <w:fldChar w:fldCharType="begin"/>
        </w:r>
        <w:r w:rsidR="006A49A8">
          <w:rPr>
            <w:webHidden/>
          </w:rPr>
          <w:instrText xml:space="preserve"> PAGEREF _Toc440906242 \h </w:instrText>
        </w:r>
        <w:r w:rsidR="006A49A8">
          <w:rPr>
            <w:webHidden/>
          </w:rPr>
        </w:r>
        <w:r w:rsidR="006A49A8">
          <w:rPr>
            <w:webHidden/>
          </w:rPr>
          <w:fldChar w:fldCharType="separate"/>
        </w:r>
        <w:r>
          <w:rPr>
            <w:webHidden/>
          </w:rPr>
          <w:t>12</w:t>
        </w:r>
        <w:r w:rsidR="006A49A8">
          <w:rPr>
            <w:webHidden/>
          </w:rPr>
          <w:fldChar w:fldCharType="end"/>
        </w:r>
      </w:hyperlink>
    </w:p>
    <w:p w14:paraId="4DFDE261" w14:textId="455050F2" w:rsidR="006A49A8" w:rsidRDefault="00024E24">
      <w:pPr>
        <w:pStyle w:val="TOC3"/>
        <w:rPr>
          <w:rFonts w:asciiTheme="minorHAnsi" w:eastAsiaTheme="minorEastAsia" w:hAnsiTheme="minorHAnsi" w:cstheme="minorBidi"/>
          <w:szCs w:val="22"/>
        </w:rPr>
      </w:pPr>
      <w:hyperlink w:anchor="_Toc440906243" w:history="1">
        <w:r w:rsidR="006A49A8" w:rsidRPr="00712F19">
          <w:rPr>
            <w:rStyle w:val="Hyperlink"/>
          </w:rPr>
          <w:t>2.1.2</w:t>
        </w:r>
        <w:r w:rsidR="006A49A8">
          <w:rPr>
            <w:rFonts w:asciiTheme="minorHAnsi" w:eastAsiaTheme="minorEastAsia" w:hAnsiTheme="minorHAnsi" w:cstheme="minorBidi"/>
            <w:szCs w:val="22"/>
          </w:rPr>
          <w:tab/>
        </w:r>
        <w:r w:rsidR="006A49A8" w:rsidRPr="00712F19">
          <w:rPr>
            <w:rStyle w:val="Hyperlink"/>
          </w:rPr>
          <w:t>Clinical Data for ID93 + GLA-SE</w:t>
        </w:r>
        <w:r w:rsidR="006A49A8">
          <w:rPr>
            <w:webHidden/>
          </w:rPr>
          <w:tab/>
        </w:r>
        <w:r w:rsidR="006A49A8">
          <w:rPr>
            <w:webHidden/>
          </w:rPr>
          <w:fldChar w:fldCharType="begin"/>
        </w:r>
        <w:r w:rsidR="006A49A8">
          <w:rPr>
            <w:webHidden/>
          </w:rPr>
          <w:instrText xml:space="preserve"> PAGEREF _Toc440906243 \h </w:instrText>
        </w:r>
        <w:r w:rsidR="006A49A8">
          <w:rPr>
            <w:webHidden/>
          </w:rPr>
        </w:r>
        <w:r w:rsidR="006A49A8">
          <w:rPr>
            <w:webHidden/>
          </w:rPr>
          <w:fldChar w:fldCharType="separate"/>
        </w:r>
        <w:r>
          <w:rPr>
            <w:webHidden/>
          </w:rPr>
          <w:t>14</w:t>
        </w:r>
        <w:r w:rsidR="006A49A8">
          <w:rPr>
            <w:webHidden/>
          </w:rPr>
          <w:fldChar w:fldCharType="end"/>
        </w:r>
      </w:hyperlink>
    </w:p>
    <w:p w14:paraId="1FE28579" w14:textId="2E73AB05" w:rsidR="006A49A8" w:rsidRDefault="00024E24">
      <w:pPr>
        <w:pStyle w:val="TOC2"/>
        <w:rPr>
          <w:rFonts w:asciiTheme="minorHAnsi" w:eastAsiaTheme="minorEastAsia" w:hAnsiTheme="minorHAnsi" w:cstheme="minorBidi"/>
          <w:szCs w:val="22"/>
        </w:rPr>
      </w:pPr>
      <w:hyperlink w:anchor="_Toc440906244" w:history="1">
        <w:r w:rsidR="006A49A8" w:rsidRPr="00712F19">
          <w:rPr>
            <w:rStyle w:val="Hyperlink"/>
          </w:rPr>
          <w:t>2.2</w:t>
        </w:r>
        <w:r w:rsidR="006A49A8">
          <w:rPr>
            <w:rFonts w:asciiTheme="minorHAnsi" w:eastAsiaTheme="minorEastAsia" w:hAnsiTheme="minorHAnsi" w:cstheme="minorBidi"/>
            <w:szCs w:val="22"/>
          </w:rPr>
          <w:tab/>
        </w:r>
        <w:r w:rsidR="006A49A8" w:rsidRPr="00712F19">
          <w:rPr>
            <w:rStyle w:val="Hyperlink"/>
          </w:rPr>
          <w:t>Rationale</w:t>
        </w:r>
        <w:r w:rsidR="006A49A8">
          <w:rPr>
            <w:webHidden/>
          </w:rPr>
          <w:tab/>
        </w:r>
        <w:r w:rsidR="006A49A8">
          <w:rPr>
            <w:webHidden/>
          </w:rPr>
          <w:fldChar w:fldCharType="begin"/>
        </w:r>
        <w:r w:rsidR="006A49A8">
          <w:rPr>
            <w:webHidden/>
          </w:rPr>
          <w:instrText xml:space="preserve"> PAGEREF _Toc440906244 \h </w:instrText>
        </w:r>
        <w:r w:rsidR="006A49A8">
          <w:rPr>
            <w:webHidden/>
          </w:rPr>
        </w:r>
        <w:r w:rsidR="006A49A8">
          <w:rPr>
            <w:webHidden/>
          </w:rPr>
          <w:fldChar w:fldCharType="separate"/>
        </w:r>
        <w:r>
          <w:rPr>
            <w:webHidden/>
          </w:rPr>
          <w:t>19</w:t>
        </w:r>
        <w:r w:rsidR="006A49A8">
          <w:rPr>
            <w:webHidden/>
          </w:rPr>
          <w:fldChar w:fldCharType="end"/>
        </w:r>
      </w:hyperlink>
    </w:p>
    <w:p w14:paraId="50272B74" w14:textId="62566AD2" w:rsidR="006A49A8" w:rsidRDefault="00024E24">
      <w:pPr>
        <w:pStyle w:val="TOC2"/>
        <w:rPr>
          <w:rFonts w:asciiTheme="minorHAnsi" w:eastAsiaTheme="minorEastAsia" w:hAnsiTheme="minorHAnsi" w:cstheme="minorBidi"/>
          <w:szCs w:val="22"/>
        </w:rPr>
      </w:pPr>
      <w:hyperlink w:anchor="_Toc440906245" w:history="1">
        <w:r w:rsidR="006A49A8" w:rsidRPr="00712F19">
          <w:rPr>
            <w:rStyle w:val="Hyperlink"/>
          </w:rPr>
          <w:t>2.3</w:t>
        </w:r>
        <w:r w:rsidR="006A49A8">
          <w:rPr>
            <w:rFonts w:asciiTheme="minorHAnsi" w:eastAsiaTheme="minorEastAsia" w:hAnsiTheme="minorHAnsi" w:cstheme="minorBidi"/>
            <w:szCs w:val="22"/>
          </w:rPr>
          <w:tab/>
        </w:r>
        <w:r w:rsidR="006A49A8" w:rsidRPr="00712F19">
          <w:rPr>
            <w:rStyle w:val="Hyperlink"/>
          </w:rPr>
          <w:t>Potential Risks and Benefits</w:t>
        </w:r>
        <w:r w:rsidR="006A49A8">
          <w:rPr>
            <w:webHidden/>
          </w:rPr>
          <w:tab/>
        </w:r>
        <w:r w:rsidR="006A49A8">
          <w:rPr>
            <w:webHidden/>
          </w:rPr>
          <w:fldChar w:fldCharType="begin"/>
        </w:r>
        <w:r w:rsidR="006A49A8">
          <w:rPr>
            <w:webHidden/>
          </w:rPr>
          <w:instrText xml:space="preserve"> PAGEREF _Toc440906245 \h </w:instrText>
        </w:r>
        <w:r w:rsidR="006A49A8">
          <w:rPr>
            <w:webHidden/>
          </w:rPr>
        </w:r>
        <w:r w:rsidR="006A49A8">
          <w:rPr>
            <w:webHidden/>
          </w:rPr>
          <w:fldChar w:fldCharType="separate"/>
        </w:r>
        <w:r>
          <w:rPr>
            <w:webHidden/>
          </w:rPr>
          <w:t>21</w:t>
        </w:r>
        <w:r w:rsidR="006A49A8">
          <w:rPr>
            <w:webHidden/>
          </w:rPr>
          <w:fldChar w:fldCharType="end"/>
        </w:r>
      </w:hyperlink>
    </w:p>
    <w:p w14:paraId="09BAD956" w14:textId="280DD52B" w:rsidR="006A49A8" w:rsidRDefault="00024E24">
      <w:pPr>
        <w:pStyle w:val="TOC3"/>
        <w:rPr>
          <w:rFonts w:asciiTheme="minorHAnsi" w:eastAsiaTheme="minorEastAsia" w:hAnsiTheme="minorHAnsi" w:cstheme="minorBidi"/>
          <w:szCs w:val="22"/>
        </w:rPr>
      </w:pPr>
      <w:hyperlink w:anchor="_Toc440906246" w:history="1">
        <w:r w:rsidR="006A49A8" w:rsidRPr="00712F19">
          <w:rPr>
            <w:rStyle w:val="Hyperlink"/>
          </w:rPr>
          <w:t>2.3.1</w:t>
        </w:r>
        <w:r w:rsidR="006A49A8">
          <w:rPr>
            <w:rFonts w:asciiTheme="minorHAnsi" w:eastAsiaTheme="minorEastAsia" w:hAnsiTheme="minorHAnsi" w:cstheme="minorBidi"/>
            <w:szCs w:val="22"/>
          </w:rPr>
          <w:tab/>
        </w:r>
        <w:r w:rsidR="006A49A8" w:rsidRPr="00712F19">
          <w:rPr>
            <w:rStyle w:val="Hyperlink"/>
          </w:rPr>
          <w:t>Potential Risks</w:t>
        </w:r>
        <w:r w:rsidR="006A49A8">
          <w:rPr>
            <w:webHidden/>
          </w:rPr>
          <w:tab/>
        </w:r>
        <w:r w:rsidR="006A49A8">
          <w:rPr>
            <w:webHidden/>
          </w:rPr>
          <w:fldChar w:fldCharType="begin"/>
        </w:r>
        <w:r w:rsidR="006A49A8">
          <w:rPr>
            <w:webHidden/>
          </w:rPr>
          <w:instrText xml:space="preserve"> PAGEREF _Toc440906246 \h </w:instrText>
        </w:r>
        <w:r w:rsidR="006A49A8">
          <w:rPr>
            <w:webHidden/>
          </w:rPr>
        </w:r>
        <w:r w:rsidR="006A49A8">
          <w:rPr>
            <w:webHidden/>
          </w:rPr>
          <w:fldChar w:fldCharType="separate"/>
        </w:r>
        <w:r>
          <w:rPr>
            <w:webHidden/>
          </w:rPr>
          <w:t>21</w:t>
        </w:r>
        <w:r w:rsidR="006A49A8">
          <w:rPr>
            <w:webHidden/>
          </w:rPr>
          <w:fldChar w:fldCharType="end"/>
        </w:r>
      </w:hyperlink>
    </w:p>
    <w:p w14:paraId="603063B3" w14:textId="603AF53D" w:rsidR="006A49A8" w:rsidRDefault="00024E24">
      <w:pPr>
        <w:pStyle w:val="TOC3"/>
        <w:rPr>
          <w:rFonts w:asciiTheme="minorHAnsi" w:eastAsiaTheme="minorEastAsia" w:hAnsiTheme="minorHAnsi" w:cstheme="minorBidi"/>
          <w:szCs w:val="22"/>
        </w:rPr>
      </w:pPr>
      <w:hyperlink w:anchor="_Toc440906247" w:history="1">
        <w:r w:rsidR="006A49A8" w:rsidRPr="00712F19">
          <w:rPr>
            <w:rStyle w:val="Hyperlink"/>
          </w:rPr>
          <w:t>2.3.2</w:t>
        </w:r>
        <w:r w:rsidR="006A49A8">
          <w:rPr>
            <w:rFonts w:asciiTheme="minorHAnsi" w:eastAsiaTheme="minorEastAsia" w:hAnsiTheme="minorHAnsi" w:cstheme="minorBidi"/>
            <w:szCs w:val="22"/>
          </w:rPr>
          <w:tab/>
        </w:r>
        <w:r w:rsidR="006A49A8" w:rsidRPr="00712F19">
          <w:rPr>
            <w:rStyle w:val="Hyperlink"/>
          </w:rPr>
          <w:t>Known Potential Benefits</w:t>
        </w:r>
        <w:r w:rsidR="006A49A8">
          <w:rPr>
            <w:webHidden/>
          </w:rPr>
          <w:tab/>
        </w:r>
        <w:r w:rsidR="006A49A8">
          <w:rPr>
            <w:webHidden/>
          </w:rPr>
          <w:fldChar w:fldCharType="begin"/>
        </w:r>
        <w:r w:rsidR="006A49A8">
          <w:rPr>
            <w:webHidden/>
          </w:rPr>
          <w:instrText xml:space="preserve"> PAGEREF _Toc440906247 \h </w:instrText>
        </w:r>
        <w:r w:rsidR="006A49A8">
          <w:rPr>
            <w:webHidden/>
          </w:rPr>
        </w:r>
        <w:r w:rsidR="006A49A8">
          <w:rPr>
            <w:webHidden/>
          </w:rPr>
          <w:fldChar w:fldCharType="separate"/>
        </w:r>
        <w:r>
          <w:rPr>
            <w:webHidden/>
          </w:rPr>
          <w:t>22</w:t>
        </w:r>
        <w:r w:rsidR="006A49A8">
          <w:rPr>
            <w:webHidden/>
          </w:rPr>
          <w:fldChar w:fldCharType="end"/>
        </w:r>
      </w:hyperlink>
    </w:p>
    <w:p w14:paraId="3B6DB15B" w14:textId="18D1F32E" w:rsidR="006A49A8" w:rsidRDefault="00024E24">
      <w:pPr>
        <w:pStyle w:val="TOC3"/>
        <w:rPr>
          <w:rFonts w:asciiTheme="minorHAnsi" w:eastAsiaTheme="minorEastAsia" w:hAnsiTheme="minorHAnsi" w:cstheme="minorBidi"/>
          <w:szCs w:val="22"/>
        </w:rPr>
      </w:pPr>
      <w:hyperlink w:anchor="_Toc440906248" w:history="1">
        <w:r w:rsidR="006A49A8" w:rsidRPr="00712F19">
          <w:rPr>
            <w:rStyle w:val="Hyperlink"/>
          </w:rPr>
          <w:t>2.3.3</w:t>
        </w:r>
        <w:r w:rsidR="006A49A8">
          <w:rPr>
            <w:rFonts w:asciiTheme="minorHAnsi" w:eastAsiaTheme="minorEastAsia" w:hAnsiTheme="minorHAnsi" w:cstheme="minorBidi"/>
            <w:szCs w:val="22"/>
          </w:rPr>
          <w:tab/>
        </w:r>
        <w:r w:rsidR="006A49A8" w:rsidRPr="00712F19">
          <w:rPr>
            <w:rStyle w:val="Hyperlink"/>
          </w:rPr>
          <w:t>Route of Administration, Dose, and Dose Regimen</w:t>
        </w:r>
        <w:r w:rsidR="006A49A8">
          <w:rPr>
            <w:webHidden/>
          </w:rPr>
          <w:tab/>
        </w:r>
        <w:r w:rsidR="006A49A8">
          <w:rPr>
            <w:webHidden/>
          </w:rPr>
          <w:fldChar w:fldCharType="begin"/>
        </w:r>
        <w:r w:rsidR="006A49A8">
          <w:rPr>
            <w:webHidden/>
          </w:rPr>
          <w:instrText xml:space="preserve"> PAGEREF _Toc440906248 \h </w:instrText>
        </w:r>
        <w:r w:rsidR="006A49A8">
          <w:rPr>
            <w:webHidden/>
          </w:rPr>
        </w:r>
        <w:r w:rsidR="006A49A8">
          <w:rPr>
            <w:webHidden/>
          </w:rPr>
          <w:fldChar w:fldCharType="separate"/>
        </w:r>
        <w:r>
          <w:rPr>
            <w:webHidden/>
          </w:rPr>
          <w:t>22</w:t>
        </w:r>
        <w:r w:rsidR="006A49A8">
          <w:rPr>
            <w:webHidden/>
          </w:rPr>
          <w:fldChar w:fldCharType="end"/>
        </w:r>
      </w:hyperlink>
    </w:p>
    <w:p w14:paraId="7A39B60A" w14:textId="24F55B1E" w:rsidR="006A49A8" w:rsidRDefault="00024E24">
      <w:pPr>
        <w:pStyle w:val="TOC1"/>
        <w:rPr>
          <w:rFonts w:asciiTheme="minorHAnsi" w:eastAsiaTheme="minorEastAsia" w:hAnsiTheme="minorHAnsi" w:cstheme="minorBidi"/>
          <w:szCs w:val="22"/>
        </w:rPr>
      </w:pPr>
      <w:hyperlink w:anchor="_Toc440906249" w:history="1">
        <w:r w:rsidR="006A49A8" w:rsidRPr="00712F19">
          <w:rPr>
            <w:rStyle w:val="Hyperlink"/>
          </w:rPr>
          <w:t>3</w:t>
        </w:r>
        <w:r w:rsidR="006A49A8">
          <w:rPr>
            <w:rFonts w:asciiTheme="minorHAnsi" w:eastAsiaTheme="minorEastAsia" w:hAnsiTheme="minorHAnsi" w:cstheme="minorBidi"/>
            <w:szCs w:val="22"/>
          </w:rPr>
          <w:tab/>
        </w:r>
        <w:r w:rsidR="006A49A8" w:rsidRPr="00712F19">
          <w:rPr>
            <w:rStyle w:val="Hyperlink"/>
          </w:rPr>
          <w:t>Objectives</w:t>
        </w:r>
        <w:r w:rsidR="006A49A8">
          <w:rPr>
            <w:webHidden/>
          </w:rPr>
          <w:tab/>
        </w:r>
        <w:r w:rsidR="006A49A8">
          <w:rPr>
            <w:webHidden/>
          </w:rPr>
          <w:fldChar w:fldCharType="begin"/>
        </w:r>
        <w:r w:rsidR="006A49A8">
          <w:rPr>
            <w:webHidden/>
          </w:rPr>
          <w:instrText xml:space="preserve"> PAGEREF _Toc440906249 \h </w:instrText>
        </w:r>
        <w:r w:rsidR="006A49A8">
          <w:rPr>
            <w:webHidden/>
          </w:rPr>
        </w:r>
        <w:r w:rsidR="006A49A8">
          <w:rPr>
            <w:webHidden/>
          </w:rPr>
          <w:fldChar w:fldCharType="separate"/>
        </w:r>
        <w:r>
          <w:rPr>
            <w:webHidden/>
          </w:rPr>
          <w:t>23</w:t>
        </w:r>
        <w:r w:rsidR="006A49A8">
          <w:rPr>
            <w:webHidden/>
          </w:rPr>
          <w:fldChar w:fldCharType="end"/>
        </w:r>
      </w:hyperlink>
    </w:p>
    <w:p w14:paraId="13099080" w14:textId="1087B8C7" w:rsidR="006A49A8" w:rsidRDefault="00024E24">
      <w:pPr>
        <w:pStyle w:val="TOC2"/>
        <w:rPr>
          <w:rFonts w:asciiTheme="minorHAnsi" w:eastAsiaTheme="minorEastAsia" w:hAnsiTheme="minorHAnsi" w:cstheme="minorBidi"/>
          <w:szCs w:val="22"/>
        </w:rPr>
      </w:pPr>
      <w:hyperlink w:anchor="_Toc440906250" w:history="1">
        <w:r w:rsidR="006A49A8" w:rsidRPr="00712F19">
          <w:rPr>
            <w:rStyle w:val="Hyperlink"/>
          </w:rPr>
          <w:t>3.1</w:t>
        </w:r>
        <w:r w:rsidR="006A49A8">
          <w:rPr>
            <w:rFonts w:asciiTheme="minorHAnsi" w:eastAsiaTheme="minorEastAsia" w:hAnsiTheme="minorHAnsi" w:cstheme="minorBidi"/>
            <w:szCs w:val="22"/>
          </w:rPr>
          <w:tab/>
        </w:r>
        <w:r w:rsidR="006A49A8" w:rsidRPr="00712F19">
          <w:rPr>
            <w:rStyle w:val="Hyperlink"/>
          </w:rPr>
          <w:t>Study Objectives</w:t>
        </w:r>
        <w:r w:rsidR="006A49A8">
          <w:rPr>
            <w:webHidden/>
          </w:rPr>
          <w:tab/>
        </w:r>
        <w:r w:rsidR="006A49A8">
          <w:rPr>
            <w:webHidden/>
          </w:rPr>
          <w:fldChar w:fldCharType="begin"/>
        </w:r>
        <w:r w:rsidR="006A49A8">
          <w:rPr>
            <w:webHidden/>
          </w:rPr>
          <w:instrText xml:space="preserve"> PAGEREF _Toc440906250 \h </w:instrText>
        </w:r>
        <w:r w:rsidR="006A49A8">
          <w:rPr>
            <w:webHidden/>
          </w:rPr>
        </w:r>
        <w:r w:rsidR="006A49A8">
          <w:rPr>
            <w:webHidden/>
          </w:rPr>
          <w:fldChar w:fldCharType="separate"/>
        </w:r>
        <w:r>
          <w:rPr>
            <w:webHidden/>
          </w:rPr>
          <w:t>23</w:t>
        </w:r>
        <w:r w:rsidR="006A49A8">
          <w:rPr>
            <w:webHidden/>
          </w:rPr>
          <w:fldChar w:fldCharType="end"/>
        </w:r>
      </w:hyperlink>
    </w:p>
    <w:p w14:paraId="70F94382" w14:textId="3DCAEB5C" w:rsidR="006A49A8" w:rsidRDefault="00024E24">
      <w:pPr>
        <w:pStyle w:val="TOC2"/>
        <w:rPr>
          <w:rFonts w:asciiTheme="minorHAnsi" w:eastAsiaTheme="minorEastAsia" w:hAnsiTheme="minorHAnsi" w:cstheme="minorBidi"/>
          <w:szCs w:val="22"/>
        </w:rPr>
      </w:pPr>
      <w:hyperlink w:anchor="_Toc440906251" w:history="1">
        <w:r w:rsidR="006A49A8" w:rsidRPr="00712F19">
          <w:rPr>
            <w:rStyle w:val="Hyperlink"/>
          </w:rPr>
          <w:t>3.2</w:t>
        </w:r>
        <w:r w:rsidR="006A49A8">
          <w:rPr>
            <w:rFonts w:asciiTheme="minorHAnsi" w:eastAsiaTheme="minorEastAsia" w:hAnsiTheme="minorHAnsi" w:cstheme="minorBidi"/>
            <w:szCs w:val="22"/>
          </w:rPr>
          <w:tab/>
        </w:r>
        <w:r w:rsidR="006A49A8" w:rsidRPr="00712F19">
          <w:rPr>
            <w:rStyle w:val="Hyperlink"/>
          </w:rPr>
          <w:t>Study Outcome Measures</w:t>
        </w:r>
        <w:r w:rsidR="006A49A8">
          <w:rPr>
            <w:webHidden/>
          </w:rPr>
          <w:tab/>
        </w:r>
        <w:r w:rsidR="006A49A8">
          <w:rPr>
            <w:webHidden/>
          </w:rPr>
          <w:fldChar w:fldCharType="begin"/>
        </w:r>
        <w:r w:rsidR="006A49A8">
          <w:rPr>
            <w:webHidden/>
          </w:rPr>
          <w:instrText xml:space="preserve"> PAGEREF _Toc440906251 \h </w:instrText>
        </w:r>
        <w:r w:rsidR="006A49A8">
          <w:rPr>
            <w:webHidden/>
          </w:rPr>
        </w:r>
        <w:r w:rsidR="006A49A8">
          <w:rPr>
            <w:webHidden/>
          </w:rPr>
          <w:fldChar w:fldCharType="separate"/>
        </w:r>
        <w:r>
          <w:rPr>
            <w:webHidden/>
          </w:rPr>
          <w:t>23</w:t>
        </w:r>
        <w:r w:rsidR="006A49A8">
          <w:rPr>
            <w:webHidden/>
          </w:rPr>
          <w:fldChar w:fldCharType="end"/>
        </w:r>
      </w:hyperlink>
    </w:p>
    <w:p w14:paraId="259FB73B" w14:textId="12150703" w:rsidR="006A49A8" w:rsidRDefault="00024E24">
      <w:pPr>
        <w:pStyle w:val="TOC3"/>
        <w:rPr>
          <w:rFonts w:asciiTheme="minorHAnsi" w:eastAsiaTheme="minorEastAsia" w:hAnsiTheme="minorHAnsi" w:cstheme="minorBidi"/>
          <w:szCs w:val="22"/>
        </w:rPr>
      </w:pPr>
      <w:hyperlink w:anchor="_Toc440906252" w:history="1">
        <w:r w:rsidR="006A49A8" w:rsidRPr="00712F19">
          <w:rPr>
            <w:rStyle w:val="Hyperlink"/>
          </w:rPr>
          <w:t>3.2.1</w:t>
        </w:r>
        <w:r w:rsidR="006A49A8">
          <w:rPr>
            <w:rFonts w:asciiTheme="minorHAnsi" w:eastAsiaTheme="minorEastAsia" w:hAnsiTheme="minorHAnsi" w:cstheme="minorBidi"/>
            <w:szCs w:val="22"/>
          </w:rPr>
          <w:tab/>
        </w:r>
        <w:r w:rsidR="006A49A8" w:rsidRPr="00712F19">
          <w:rPr>
            <w:rStyle w:val="Hyperlink"/>
          </w:rPr>
          <w:t>Primary Outcome Measures</w:t>
        </w:r>
        <w:r w:rsidR="006A49A8">
          <w:rPr>
            <w:webHidden/>
          </w:rPr>
          <w:tab/>
        </w:r>
        <w:r w:rsidR="006A49A8">
          <w:rPr>
            <w:webHidden/>
          </w:rPr>
          <w:fldChar w:fldCharType="begin"/>
        </w:r>
        <w:r w:rsidR="006A49A8">
          <w:rPr>
            <w:webHidden/>
          </w:rPr>
          <w:instrText xml:space="preserve"> PAGEREF _Toc440906252 \h </w:instrText>
        </w:r>
        <w:r w:rsidR="006A49A8">
          <w:rPr>
            <w:webHidden/>
          </w:rPr>
        </w:r>
        <w:r w:rsidR="006A49A8">
          <w:rPr>
            <w:webHidden/>
          </w:rPr>
          <w:fldChar w:fldCharType="separate"/>
        </w:r>
        <w:r>
          <w:rPr>
            <w:webHidden/>
          </w:rPr>
          <w:t>23</w:t>
        </w:r>
        <w:r w:rsidR="006A49A8">
          <w:rPr>
            <w:webHidden/>
          </w:rPr>
          <w:fldChar w:fldCharType="end"/>
        </w:r>
      </w:hyperlink>
    </w:p>
    <w:p w14:paraId="7B452693" w14:textId="5742F66E" w:rsidR="006A49A8" w:rsidRDefault="00024E24">
      <w:pPr>
        <w:pStyle w:val="TOC3"/>
        <w:rPr>
          <w:rFonts w:asciiTheme="minorHAnsi" w:eastAsiaTheme="minorEastAsia" w:hAnsiTheme="minorHAnsi" w:cstheme="minorBidi"/>
          <w:szCs w:val="22"/>
        </w:rPr>
      </w:pPr>
      <w:hyperlink w:anchor="_Toc440906253" w:history="1">
        <w:r w:rsidR="006A49A8" w:rsidRPr="00712F19">
          <w:rPr>
            <w:rStyle w:val="Hyperlink"/>
          </w:rPr>
          <w:t>3.2.2</w:t>
        </w:r>
        <w:r w:rsidR="006A49A8">
          <w:rPr>
            <w:rFonts w:asciiTheme="minorHAnsi" w:eastAsiaTheme="minorEastAsia" w:hAnsiTheme="minorHAnsi" w:cstheme="minorBidi"/>
            <w:szCs w:val="22"/>
          </w:rPr>
          <w:tab/>
        </w:r>
        <w:r w:rsidR="006A49A8" w:rsidRPr="00712F19">
          <w:rPr>
            <w:rStyle w:val="Hyperlink"/>
          </w:rPr>
          <w:t>Secondary Outcome Measures</w:t>
        </w:r>
        <w:r w:rsidR="006A49A8">
          <w:rPr>
            <w:webHidden/>
          </w:rPr>
          <w:tab/>
        </w:r>
        <w:r w:rsidR="006A49A8">
          <w:rPr>
            <w:webHidden/>
          </w:rPr>
          <w:fldChar w:fldCharType="begin"/>
        </w:r>
        <w:r w:rsidR="006A49A8">
          <w:rPr>
            <w:webHidden/>
          </w:rPr>
          <w:instrText xml:space="preserve"> PAGEREF _Toc440906253 \h </w:instrText>
        </w:r>
        <w:r w:rsidR="006A49A8">
          <w:rPr>
            <w:webHidden/>
          </w:rPr>
        </w:r>
        <w:r w:rsidR="006A49A8">
          <w:rPr>
            <w:webHidden/>
          </w:rPr>
          <w:fldChar w:fldCharType="separate"/>
        </w:r>
        <w:r>
          <w:rPr>
            <w:webHidden/>
          </w:rPr>
          <w:t>24</w:t>
        </w:r>
        <w:r w:rsidR="006A49A8">
          <w:rPr>
            <w:webHidden/>
          </w:rPr>
          <w:fldChar w:fldCharType="end"/>
        </w:r>
      </w:hyperlink>
    </w:p>
    <w:p w14:paraId="26E5D4EF" w14:textId="4C8B922E" w:rsidR="006A49A8" w:rsidRDefault="00024E24">
      <w:pPr>
        <w:pStyle w:val="TOC1"/>
        <w:rPr>
          <w:rFonts w:asciiTheme="minorHAnsi" w:eastAsiaTheme="minorEastAsia" w:hAnsiTheme="minorHAnsi" w:cstheme="minorBidi"/>
          <w:szCs w:val="22"/>
        </w:rPr>
      </w:pPr>
      <w:hyperlink w:anchor="_Toc440906254" w:history="1">
        <w:r w:rsidR="006A49A8" w:rsidRPr="00712F19">
          <w:rPr>
            <w:rStyle w:val="Hyperlink"/>
          </w:rPr>
          <w:t>4</w:t>
        </w:r>
        <w:r w:rsidR="006A49A8">
          <w:rPr>
            <w:rFonts w:asciiTheme="minorHAnsi" w:eastAsiaTheme="minorEastAsia" w:hAnsiTheme="minorHAnsi" w:cstheme="minorBidi"/>
            <w:szCs w:val="22"/>
          </w:rPr>
          <w:tab/>
        </w:r>
        <w:r w:rsidR="006A49A8" w:rsidRPr="00712F19">
          <w:rPr>
            <w:rStyle w:val="Hyperlink"/>
          </w:rPr>
          <w:t>Study Design</w:t>
        </w:r>
        <w:r w:rsidR="006A49A8">
          <w:rPr>
            <w:webHidden/>
          </w:rPr>
          <w:tab/>
        </w:r>
        <w:r w:rsidR="006A49A8">
          <w:rPr>
            <w:webHidden/>
          </w:rPr>
          <w:fldChar w:fldCharType="begin"/>
        </w:r>
        <w:r w:rsidR="006A49A8">
          <w:rPr>
            <w:webHidden/>
          </w:rPr>
          <w:instrText xml:space="preserve"> PAGEREF _Toc440906254 \h </w:instrText>
        </w:r>
        <w:r w:rsidR="006A49A8">
          <w:rPr>
            <w:webHidden/>
          </w:rPr>
        </w:r>
        <w:r w:rsidR="006A49A8">
          <w:rPr>
            <w:webHidden/>
          </w:rPr>
          <w:fldChar w:fldCharType="separate"/>
        </w:r>
        <w:r>
          <w:rPr>
            <w:webHidden/>
          </w:rPr>
          <w:t>25</w:t>
        </w:r>
        <w:r w:rsidR="006A49A8">
          <w:rPr>
            <w:webHidden/>
          </w:rPr>
          <w:fldChar w:fldCharType="end"/>
        </w:r>
      </w:hyperlink>
    </w:p>
    <w:p w14:paraId="5A268E25" w14:textId="710164FB" w:rsidR="006A49A8" w:rsidRDefault="00024E24">
      <w:pPr>
        <w:pStyle w:val="TOC2"/>
        <w:rPr>
          <w:rFonts w:asciiTheme="minorHAnsi" w:eastAsiaTheme="minorEastAsia" w:hAnsiTheme="minorHAnsi" w:cstheme="minorBidi"/>
          <w:szCs w:val="22"/>
        </w:rPr>
      </w:pPr>
      <w:hyperlink w:anchor="_Toc440906255" w:history="1">
        <w:r w:rsidR="006A49A8" w:rsidRPr="00712F19">
          <w:rPr>
            <w:rStyle w:val="Hyperlink"/>
          </w:rPr>
          <w:t>4.1</w:t>
        </w:r>
        <w:r w:rsidR="006A49A8">
          <w:rPr>
            <w:rFonts w:asciiTheme="minorHAnsi" w:eastAsiaTheme="minorEastAsia" w:hAnsiTheme="minorHAnsi" w:cstheme="minorBidi"/>
            <w:szCs w:val="22"/>
          </w:rPr>
          <w:tab/>
        </w:r>
        <w:r w:rsidR="006A49A8" w:rsidRPr="00712F19">
          <w:rPr>
            <w:rStyle w:val="Hyperlink"/>
          </w:rPr>
          <w:t>Study Phases</w:t>
        </w:r>
        <w:r w:rsidR="006A49A8">
          <w:rPr>
            <w:webHidden/>
          </w:rPr>
          <w:tab/>
        </w:r>
        <w:r w:rsidR="006A49A8">
          <w:rPr>
            <w:webHidden/>
          </w:rPr>
          <w:fldChar w:fldCharType="begin"/>
        </w:r>
        <w:r w:rsidR="006A49A8">
          <w:rPr>
            <w:webHidden/>
          </w:rPr>
          <w:instrText xml:space="preserve"> PAGEREF _Toc440906255 \h </w:instrText>
        </w:r>
        <w:r w:rsidR="006A49A8">
          <w:rPr>
            <w:webHidden/>
          </w:rPr>
        </w:r>
        <w:r w:rsidR="006A49A8">
          <w:rPr>
            <w:webHidden/>
          </w:rPr>
          <w:fldChar w:fldCharType="separate"/>
        </w:r>
        <w:r>
          <w:rPr>
            <w:webHidden/>
          </w:rPr>
          <w:t>25</w:t>
        </w:r>
        <w:r w:rsidR="006A49A8">
          <w:rPr>
            <w:webHidden/>
          </w:rPr>
          <w:fldChar w:fldCharType="end"/>
        </w:r>
      </w:hyperlink>
    </w:p>
    <w:p w14:paraId="1427F98F" w14:textId="5914DE9D" w:rsidR="006A49A8" w:rsidRDefault="00024E24">
      <w:pPr>
        <w:pStyle w:val="TOC2"/>
        <w:rPr>
          <w:rFonts w:asciiTheme="minorHAnsi" w:eastAsiaTheme="minorEastAsia" w:hAnsiTheme="minorHAnsi" w:cstheme="minorBidi"/>
          <w:szCs w:val="22"/>
        </w:rPr>
      </w:pPr>
      <w:hyperlink w:anchor="_Toc440906256" w:history="1">
        <w:r w:rsidR="006A49A8" w:rsidRPr="00712F19">
          <w:rPr>
            <w:rStyle w:val="Hyperlink"/>
          </w:rPr>
          <w:t>4.2</w:t>
        </w:r>
        <w:r w:rsidR="006A49A8">
          <w:rPr>
            <w:rFonts w:asciiTheme="minorHAnsi" w:eastAsiaTheme="minorEastAsia" w:hAnsiTheme="minorHAnsi" w:cstheme="minorBidi"/>
            <w:szCs w:val="22"/>
          </w:rPr>
          <w:tab/>
        </w:r>
        <w:r w:rsidR="006A49A8" w:rsidRPr="00712F19">
          <w:rPr>
            <w:rStyle w:val="Hyperlink"/>
          </w:rPr>
          <w:t>Evaluation of Safety Outcomes</w:t>
        </w:r>
        <w:r w:rsidR="006A49A8">
          <w:rPr>
            <w:webHidden/>
          </w:rPr>
          <w:tab/>
        </w:r>
        <w:r w:rsidR="006A49A8">
          <w:rPr>
            <w:webHidden/>
          </w:rPr>
          <w:fldChar w:fldCharType="begin"/>
        </w:r>
        <w:r w:rsidR="006A49A8">
          <w:rPr>
            <w:webHidden/>
          </w:rPr>
          <w:instrText xml:space="preserve"> PAGEREF _Toc440906256 \h </w:instrText>
        </w:r>
        <w:r w:rsidR="006A49A8">
          <w:rPr>
            <w:webHidden/>
          </w:rPr>
        </w:r>
        <w:r w:rsidR="006A49A8">
          <w:rPr>
            <w:webHidden/>
          </w:rPr>
          <w:fldChar w:fldCharType="separate"/>
        </w:r>
        <w:r>
          <w:rPr>
            <w:webHidden/>
          </w:rPr>
          <w:t>27</w:t>
        </w:r>
        <w:r w:rsidR="006A49A8">
          <w:rPr>
            <w:webHidden/>
          </w:rPr>
          <w:fldChar w:fldCharType="end"/>
        </w:r>
      </w:hyperlink>
    </w:p>
    <w:p w14:paraId="5C9DADCD" w14:textId="58C832BA" w:rsidR="006A49A8" w:rsidRDefault="00024E24">
      <w:pPr>
        <w:pStyle w:val="TOC2"/>
        <w:rPr>
          <w:rFonts w:asciiTheme="minorHAnsi" w:eastAsiaTheme="minorEastAsia" w:hAnsiTheme="minorHAnsi" w:cstheme="minorBidi"/>
          <w:szCs w:val="22"/>
        </w:rPr>
      </w:pPr>
      <w:hyperlink w:anchor="_Toc440906257" w:history="1">
        <w:r w:rsidR="006A49A8" w:rsidRPr="00712F19">
          <w:rPr>
            <w:rStyle w:val="Hyperlink"/>
          </w:rPr>
          <w:t>4.3</w:t>
        </w:r>
        <w:r w:rsidR="006A49A8">
          <w:rPr>
            <w:rFonts w:asciiTheme="minorHAnsi" w:eastAsiaTheme="minorEastAsia" w:hAnsiTheme="minorHAnsi" w:cstheme="minorBidi"/>
            <w:szCs w:val="22"/>
          </w:rPr>
          <w:tab/>
        </w:r>
        <w:r w:rsidR="006A49A8" w:rsidRPr="00712F19">
          <w:rPr>
            <w:rStyle w:val="Hyperlink"/>
          </w:rPr>
          <w:t>Evaluation of Immunogenicity Outcomes</w:t>
        </w:r>
        <w:r w:rsidR="006A49A8">
          <w:rPr>
            <w:webHidden/>
          </w:rPr>
          <w:tab/>
        </w:r>
        <w:r w:rsidR="006A49A8">
          <w:rPr>
            <w:webHidden/>
          </w:rPr>
          <w:fldChar w:fldCharType="begin"/>
        </w:r>
        <w:r w:rsidR="006A49A8">
          <w:rPr>
            <w:webHidden/>
          </w:rPr>
          <w:instrText xml:space="preserve"> PAGEREF _Toc440906257 \h </w:instrText>
        </w:r>
        <w:r w:rsidR="006A49A8">
          <w:rPr>
            <w:webHidden/>
          </w:rPr>
        </w:r>
        <w:r w:rsidR="006A49A8">
          <w:rPr>
            <w:webHidden/>
          </w:rPr>
          <w:fldChar w:fldCharType="separate"/>
        </w:r>
        <w:r>
          <w:rPr>
            <w:webHidden/>
          </w:rPr>
          <w:t>27</w:t>
        </w:r>
        <w:r w:rsidR="006A49A8">
          <w:rPr>
            <w:webHidden/>
          </w:rPr>
          <w:fldChar w:fldCharType="end"/>
        </w:r>
      </w:hyperlink>
    </w:p>
    <w:p w14:paraId="28217CEC" w14:textId="56AD4B57" w:rsidR="006A49A8" w:rsidRDefault="00024E24">
      <w:pPr>
        <w:pStyle w:val="TOC2"/>
        <w:rPr>
          <w:rFonts w:asciiTheme="minorHAnsi" w:eastAsiaTheme="minorEastAsia" w:hAnsiTheme="minorHAnsi" w:cstheme="minorBidi"/>
          <w:szCs w:val="22"/>
        </w:rPr>
      </w:pPr>
      <w:hyperlink w:anchor="_Toc440906258" w:history="1">
        <w:r w:rsidR="006A49A8" w:rsidRPr="00712F19">
          <w:rPr>
            <w:rStyle w:val="Hyperlink"/>
          </w:rPr>
          <w:t>4.4</w:t>
        </w:r>
        <w:r w:rsidR="006A49A8">
          <w:rPr>
            <w:rFonts w:asciiTheme="minorHAnsi" w:eastAsiaTheme="minorEastAsia" w:hAnsiTheme="minorHAnsi" w:cstheme="minorBidi"/>
            <w:szCs w:val="22"/>
          </w:rPr>
          <w:tab/>
        </w:r>
        <w:r w:rsidR="006A49A8" w:rsidRPr="00712F19">
          <w:rPr>
            <w:rStyle w:val="Hyperlink"/>
          </w:rPr>
          <w:t>Evaluation of TB Disease Recurrence</w:t>
        </w:r>
        <w:r w:rsidR="006A49A8">
          <w:rPr>
            <w:webHidden/>
          </w:rPr>
          <w:tab/>
        </w:r>
        <w:r w:rsidR="006A49A8">
          <w:rPr>
            <w:webHidden/>
          </w:rPr>
          <w:fldChar w:fldCharType="begin"/>
        </w:r>
        <w:r w:rsidR="006A49A8">
          <w:rPr>
            <w:webHidden/>
          </w:rPr>
          <w:instrText xml:space="preserve"> PAGEREF _Toc440906258 \h </w:instrText>
        </w:r>
        <w:r w:rsidR="006A49A8">
          <w:rPr>
            <w:webHidden/>
          </w:rPr>
        </w:r>
        <w:r w:rsidR="006A49A8">
          <w:rPr>
            <w:webHidden/>
          </w:rPr>
          <w:fldChar w:fldCharType="separate"/>
        </w:r>
        <w:r>
          <w:rPr>
            <w:webHidden/>
          </w:rPr>
          <w:t>28</w:t>
        </w:r>
        <w:r w:rsidR="006A49A8">
          <w:rPr>
            <w:webHidden/>
          </w:rPr>
          <w:fldChar w:fldCharType="end"/>
        </w:r>
      </w:hyperlink>
    </w:p>
    <w:p w14:paraId="27C22F58" w14:textId="3DA66C99" w:rsidR="006A49A8" w:rsidRDefault="00024E24">
      <w:pPr>
        <w:pStyle w:val="TOC1"/>
        <w:rPr>
          <w:rFonts w:asciiTheme="minorHAnsi" w:eastAsiaTheme="minorEastAsia" w:hAnsiTheme="minorHAnsi" w:cstheme="minorBidi"/>
          <w:szCs w:val="22"/>
        </w:rPr>
      </w:pPr>
      <w:hyperlink w:anchor="_Toc440906259" w:history="1">
        <w:r w:rsidR="006A49A8" w:rsidRPr="00712F19">
          <w:rPr>
            <w:rStyle w:val="Hyperlink"/>
          </w:rPr>
          <w:t>5</w:t>
        </w:r>
        <w:r w:rsidR="006A49A8">
          <w:rPr>
            <w:rFonts w:asciiTheme="minorHAnsi" w:eastAsiaTheme="minorEastAsia" w:hAnsiTheme="minorHAnsi" w:cstheme="minorBidi"/>
            <w:szCs w:val="22"/>
          </w:rPr>
          <w:tab/>
        </w:r>
        <w:r w:rsidR="006A49A8" w:rsidRPr="00712F19">
          <w:rPr>
            <w:rStyle w:val="Hyperlink"/>
          </w:rPr>
          <w:t>Study Enrollment and Withdrawal</w:t>
        </w:r>
        <w:r w:rsidR="006A49A8">
          <w:rPr>
            <w:webHidden/>
          </w:rPr>
          <w:tab/>
        </w:r>
        <w:r w:rsidR="006A49A8">
          <w:rPr>
            <w:webHidden/>
          </w:rPr>
          <w:fldChar w:fldCharType="begin"/>
        </w:r>
        <w:r w:rsidR="006A49A8">
          <w:rPr>
            <w:webHidden/>
          </w:rPr>
          <w:instrText xml:space="preserve"> PAGEREF _Toc440906259 \h </w:instrText>
        </w:r>
        <w:r w:rsidR="006A49A8">
          <w:rPr>
            <w:webHidden/>
          </w:rPr>
        </w:r>
        <w:r w:rsidR="006A49A8">
          <w:rPr>
            <w:webHidden/>
          </w:rPr>
          <w:fldChar w:fldCharType="separate"/>
        </w:r>
        <w:r>
          <w:rPr>
            <w:webHidden/>
          </w:rPr>
          <w:t>29</w:t>
        </w:r>
        <w:r w:rsidR="006A49A8">
          <w:rPr>
            <w:webHidden/>
          </w:rPr>
          <w:fldChar w:fldCharType="end"/>
        </w:r>
      </w:hyperlink>
    </w:p>
    <w:p w14:paraId="5F9F12FE" w14:textId="1D7515C8" w:rsidR="006A49A8" w:rsidRDefault="00024E24">
      <w:pPr>
        <w:pStyle w:val="TOC2"/>
        <w:rPr>
          <w:rFonts w:asciiTheme="minorHAnsi" w:eastAsiaTheme="minorEastAsia" w:hAnsiTheme="minorHAnsi" w:cstheme="minorBidi"/>
          <w:szCs w:val="22"/>
        </w:rPr>
      </w:pPr>
      <w:hyperlink w:anchor="_Toc440906260" w:history="1">
        <w:r w:rsidR="006A49A8" w:rsidRPr="00712F19">
          <w:rPr>
            <w:rStyle w:val="Hyperlink"/>
          </w:rPr>
          <w:t>5.1</w:t>
        </w:r>
        <w:r w:rsidR="006A49A8">
          <w:rPr>
            <w:rFonts w:asciiTheme="minorHAnsi" w:eastAsiaTheme="minorEastAsia" w:hAnsiTheme="minorHAnsi" w:cstheme="minorBidi"/>
            <w:szCs w:val="22"/>
          </w:rPr>
          <w:tab/>
        </w:r>
        <w:r w:rsidR="006A49A8" w:rsidRPr="00712F19">
          <w:rPr>
            <w:rStyle w:val="Hyperlink"/>
          </w:rPr>
          <w:t>Subject Inclusion Criteria</w:t>
        </w:r>
        <w:r w:rsidR="006A49A8">
          <w:rPr>
            <w:webHidden/>
          </w:rPr>
          <w:tab/>
        </w:r>
        <w:r w:rsidR="006A49A8">
          <w:rPr>
            <w:webHidden/>
          </w:rPr>
          <w:fldChar w:fldCharType="begin"/>
        </w:r>
        <w:r w:rsidR="006A49A8">
          <w:rPr>
            <w:webHidden/>
          </w:rPr>
          <w:instrText xml:space="preserve"> PAGEREF _Toc440906260 \h </w:instrText>
        </w:r>
        <w:r w:rsidR="006A49A8">
          <w:rPr>
            <w:webHidden/>
          </w:rPr>
        </w:r>
        <w:r w:rsidR="006A49A8">
          <w:rPr>
            <w:webHidden/>
          </w:rPr>
          <w:fldChar w:fldCharType="separate"/>
        </w:r>
        <w:r>
          <w:rPr>
            <w:webHidden/>
          </w:rPr>
          <w:t>29</w:t>
        </w:r>
        <w:r w:rsidR="006A49A8">
          <w:rPr>
            <w:webHidden/>
          </w:rPr>
          <w:fldChar w:fldCharType="end"/>
        </w:r>
      </w:hyperlink>
    </w:p>
    <w:p w14:paraId="74A873CF" w14:textId="10264DE0" w:rsidR="006A49A8" w:rsidRDefault="00024E24">
      <w:pPr>
        <w:pStyle w:val="TOC2"/>
        <w:rPr>
          <w:rFonts w:asciiTheme="minorHAnsi" w:eastAsiaTheme="minorEastAsia" w:hAnsiTheme="minorHAnsi" w:cstheme="minorBidi"/>
          <w:szCs w:val="22"/>
        </w:rPr>
      </w:pPr>
      <w:hyperlink w:anchor="_Toc440906261" w:history="1">
        <w:r w:rsidR="006A49A8" w:rsidRPr="00712F19">
          <w:rPr>
            <w:rStyle w:val="Hyperlink"/>
          </w:rPr>
          <w:t>5.2</w:t>
        </w:r>
        <w:r w:rsidR="006A49A8">
          <w:rPr>
            <w:rFonts w:asciiTheme="minorHAnsi" w:eastAsiaTheme="minorEastAsia" w:hAnsiTheme="minorHAnsi" w:cstheme="minorBidi"/>
            <w:szCs w:val="22"/>
          </w:rPr>
          <w:tab/>
        </w:r>
        <w:r w:rsidR="006A49A8" w:rsidRPr="00712F19">
          <w:rPr>
            <w:rStyle w:val="Hyperlink"/>
          </w:rPr>
          <w:t>Subject Exclusion Criteria</w:t>
        </w:r>
        <w:r w:rsidR="006A49A8">
          <w:rPr>
            <w:webHidden/>
          </w:rPr>
          <w:tab/>
        </w:r>
        <w:r w:rsidR="006A49A8">
          <w:rPr>
            <w:webHidden/>
          </w:rPr>
          <w:fldChar w:fldCharType="begin"/>
        </w:r>
        <w:r w:rsidR="006A49A8">
          <w:rPr>
            <w:webHidden/>
          </w:rPr>
          <w:instrText xml:space="preserve"> PAGEREF _Toc440906261 \h </w:instrText>
        </w:r>
        <w:r w:rsidR="006A49A8">
          <w:rPr>
            <w:webHidden/>
          </w:rPr>
        </w:r>
        <w:r w:rsidR="006A49A8">
          <w:rPr>
            <w:webHidden/>
          </w:rPr>
          <w:fldChar w:fldCharType="separate"/>
        </w:r>
        <w:r>
          <w:rPr>
            <w:webHidden/>
          </w:rPr>
          <w:t>30</w:t>
        </w:r>
        <w:r w:rsidR="006A49A8">
          <w:rPr>
            <w:webHidden/>
          </w:rPr>
          <w:fldChar w:fldCharType="end"/>
        </w:r>
      </w:hyperlink>
    </w:p>
    <w:p w14:paraId="7D6FCEB9" w14:textId="4011109A" w:rsidR="006A49A8" w:rsidRDefault="00024E24">
      <w:pPr>
        <w:pStyle w:val="TOC2"/>
        <w:rPr>
          <w:rFonts w:asciiTheme="minorHAnsi" w:eastAsiaTheme="minorEastAsia" w:hAnsiTheme="minorHAnsi" w:cstheme="minorBidi"/>
          <w:szCs w:val="22"/>
        </w:rPr>
      </w:pPr>
      <w:hyperlink w:anchor="_Toc440906262" w:history="1">
        <w:r w:rsidR="006A49A8" w:rsidRPr="00712F19">
          <w:rPr>
            <w:rStyle w:val="Hyperlink"/>
          </w:rPr>
          <w:t>5.3</w:t>
        </w:r>
        <w:r w:rsidR="006A49A8">
          <w:rPr>
            <w:rFonts w:asciiTheme="minorHAnsi" w:eastAsiaTheme="minorEastAsia" w:hAnsiTheme="minorHAnsi" w:cstheme="minorBidi"/>
            <w:szCs w:val="22"/>
          </w:rPr>
          <w:tab/>
        </w:r>
        <w:r w:rsidR="006A49A8" w:rsidRPr="00712F19">
          <w:rPr>
            <w:rStyle w:val="Hyperlink"/>
          </w:rPr>
          <w:t>Treatment Assignment Procedures</w:t>
        </w:r>
        <w:r w:rsidR="006A49A8">
          <w:rPr>
            <w:webHidden/>
          </w:rPr>
          <w:tab/>
        </w:r>
        <w:r w:rsidR="006A49A8">
          <w:rPr>
            <w:webHidden/>
          </w:rPr>
          <w:fldChar w:fldCharType="begin"/>
        </w:r>
        <w:r w:rsidR="006A49A8">
          <w:rPr>
            <w:webHidden/>
          </w:rPr>
          <w:instrText xml:space="preserve"> PAGEREF _Toc440906262 \h </w:instrText>
        </w:r>
        <w:r w:rsidR="006A49A8">
          <w:rPr>
            <w:webHidden/>
          </w:rPr>
        </w:r>
        <w:r w:rsidR="006A49A8">
          <w:rPr>
            <w:webHidden/>
          </w:rPr>
          <w:fldChar w:fldCharType="separate"/>
        </w:r>
        <w:r>
          <w:rPr>
            <w:webHidden/>
          </w:rPr>
          <w:t>31</w:t>
        </w:r>
        <w:r w:rsidR="006A49A8">
          <w:rPr>
            <w:webHidden/>
          </w:rPr>
          <w:fldChar w:fldCharType="end"/>
        </w:r>
      </w:hyperlink>
    </w:p>
    <w:p w14:paraId="455A7915" w14:textId="220EC008" w:rsidR="006A49A8" w:rsidRDefault="00024E24">
      <w:pPr>
        <w:pStyle w:val="TOC3"/>
        <w:rPr>
          <w:rFonts w:asciiTheme="minorHAnsi" w:eastAsiaTheme="minorEastAsia" w:hAnsiTheme="minorHAnsi" w:cstheme="minorBidi"/>
          <w:szCs w:val="22"/>
        </w:rPr>
      </w:pPr>
      <w:hyperlink w:anchor="_Toc440906263" w:history="1">
        <w:r w:rsidR="006A49A8" w:rsidRPr="00712F19">
          <w:rPr>
            <w:rStyle w:val="Hyperlink"/>
          </w:rPr>
          <w:t>5.3.1</w:t>
        </w:r>
        <w:r w:rsidR="006A49A8">
          <w:rPr>
            <w:rFonts w:asciiTheme="minorHAnsi" w:eastAsiaTheme="minorEastAsia" w:hAnsiTheme="minorHAnsi" w:cstheme="minorBidi"/>
            <w:szCs w:val="22"/>
          </w:rPr>
          <w:tab/>
        </w:r>
        <w:r w:rsidR="006A49A8" w:rsidRPr="00712F19">
          <w:rPr>
            <w:rStyle w:val="Hyperlink"/>
          </w:rPr>
          <w:t>Randomization Procedures</w:t>
        </w:r>
        <w:r w:rsidR="006A49A8">
          <w:rPr>
            <w:webHidden/>
          </w:rPr>
          <w:tab/>
        </w:r>
        <w:r w:rsidR="006A49A8">
          <w:rPr>
            <w:webHidden/>
          </w:rPr>
          <w:fldChar w:fldCharType="begin"/>
        </w:r>
        <w:r w:rsidR="006A49A8">
          <w:rPr>
            <w:webHidden/>
          </w:rPr>
          <w:instrText xml:space="preserve"> PAGEREF _Toc440906263 \h </w:instrText>
        </w:r>
        <w:r w:rsidR="006A49A8">
          <w:rPr>
            <w:webHidden/>
          </w:rPr>
        </w:r>
        <w:r w:rsidR="006A49A8">
          <w:rPr>
            <w:webHidden/>
          </w:rPr>
          <w:fldChar w:fldCharType="separate"/>
        </w:r>
        <w:r>
          <w:rPr>
            <w:webHidden/>
          </w:rPr>
          <w:t>31</w:t>
        </w:r>
        <w:r w:rsidR="006A49A8">
          <w:rPr>
            <w:webHidden/>
          </w:rPr>
          <w:fldChar w:fldCharType="end"/>
        </w:r>
      </w:hyperlink>
    </w:p>
    <w:p w14:paraId="3AE3E76E" w14:textId="62139E97" w:rsidR="006A49A8" w:rsidRDefault="00024E24">
      <w:pPr>
        <w:pStyle w:val="TOC3"/>
        <w:rPr>
          <w:rFonts w:asciiTheme="minorHAnsi" w:eastAsiaTheme="minorEastAsia" w:hAnsiTheme="minorHAnsi" w:cstheme="minorBidi"/>
          <w:szCs w:val="22"/>
        </w:rPr>
      </w:pPr>
      <w:hyperlink w:anchor="_Toc440906264" w:history="1">
        <w:r w:rsidR="006A49A8" w:rsidRPr="00712F19">
          <w:rPr>
            <w:rStyle w:val="Hyperlink"/>
          </w:rPr>
          <w:t>5.3.2</w:t>
        </w:r>
        <w:r w:rsidR="006A49A8">
          <w:rPr>
            <w:rFonts w:asciiTheme="minorHAnsi" w:eastAsiaTheme="minorEastAsia" w:hAnsiTheme="minorHAnsi" w:cstheme="minorBidi"/>
            <w:szCs w:val="22"/>
          </w:rPr>
          <w:tab/>
        </w:r>
        <w:r w:rsidR="006A49A8" w:rsidRPr="00712F19">
          <w:rPr>
            <w:rStyle w:val="Hyperlink"/>
          </w:rPr>
          <w:t>Masking Procedures</w:t>
        </w:r>
        <w:r w:rsidR="006A49A8">
          <w:rPr>
            <w:webHidden/>
          </w:rPr>
          <w:tab/>
        </w:r>
        <w:r w:rsidR="006A49A8">
          <w:rPr>
            <w:webHidden/>
          </w:rPr>
          <w:fldChar w:fldCharType="begin"/>
        </w:r>
        <w:r w:rsidR="006A49A8">
          <w:rPr>
            <w:webHidden/>
          </w:rPr>
          <w:instrText xml:space="preserve"> PAGEREF _Toc440906264 \h </w:instrText>
        </w:r>
        <w:r w:rsidR="006A49A8">
          <w:rPr>
            <w:webHidden/>
          </w:rPr>
        </w:r>
        <w:r w:rsidR="006A49A8">
          <w:rPr>
            <w:webHidden/>
          </w:rPr>
          <w:fldChar w:fldCharType="separate"/>
        </w:r>
        <w:r>
          <w:rPr>
            <w:webHidden/>
          </w:rPr>
          <w:t>32</w:t>
        </w:r>
        <w:r w:rsidR="006A49A8">
          <w:rPr>
            <w:webHidden/>
          </w:rPr>
          <w:fldChar w:fldCharType="end"/>
        </w:r>
      </w:hyperlink>
    </w:p>
    <w:p w14:paraId="543247C4" w14:textId="1AF475AC" w:rsidR="006A49A8" w:rsidRDefault="00024E24">
      <w:pPr>
        <w:pStyle w:val="TOC3"/>
        <w:rPr>
          <w:rFonts w:asciiTheme="minorHAnsi" w:eastAsiaTheme="minorEastAsia" w:hAnsiTheme="minorHAnsi" w:cstheme="minorBidi"/>
          <w:szCs w:val="22"/>
        </w:rPr>
      </w:pPr>
      <w:hyperlink w:anchor="_Toc440906265" w:history="1">
        <w:r w:rsidR="006A49A8" w:rsidRPr="00712F19">
          <w:rPr>
            <w:rStyle w:val="Hyperlink"/>
          </w:rPr>
          <w:t>5.3.3</w:t>
        </w:r>
        <w:r w:rsidR="006A49A8">
          <w:rPr>
            <w:rFonts w:asciiTheme="minorHAnsi" w:eastAsiaTheme="minorEastAsia" w:hAnsiTheme="minorHAnsi" w:cstheme="minorBidi"/>
            <w:szCs w:val="22"/>
          </w:rPr>
          <w:tab/>
        </w:r>
        <w:r w:rsidR="006A49A8" w:rsidRPr="00712F19">
          <w:rPr>
            <w:rStyle w:val="Hyperlink"/>
          </w:rPr>
          <w:t>Reasons for Withdrawal</w:t>
        </w:r>
        <w:r w:rsidR="006A49A8">
          <w:rPr>
            <w:webHidden/>
          </w:rPr>
          <w:tab/>
        </w:r>
        <w:r w:rsidR="006A49A8">
          <w:rPr>
            <w:webHidden/>
          </w:rPr>
          <w:fldChar w:fldCharType="begin"/>
        </w:r>
        <w:r w:rsidR="006A49A8">
          <w:rPr>
            <w:webHidden/>
          </w:rPr>
          <w:instrText xml:space="preserve"> PAGEREF _Toc440906265 \h </w:instrText>
        </w:r>
        <w:r w:rsidR="006A49A8">
          <w:rPr>
            <w:webHidden/>
          </w:rPr>
        </w:r>
        <w:r w:rsidR="006A49A8">
          <w:rPr>
            <w:webHidden/>
          </w:rPr>
          <w:fldChar w:fldCharType="separate"/>
        </w:r>
        <w:r>
          <w:rPr>
            <w:webHidden/>
          </w:rPr>
          <w:t>33</w:t>
        </w:r>
        <w:r w:rsidR="006A49A8">
          <w:rPr>
            <w:webHidden/>
          </w:rPr>
          <w:fldChar w:fldCharType="end"/>
        </w:r>
      </w:hyperlink>
    </w:p>
    <w:p w14:paraId="27F81E1E" w14:textId="21FEACAA" w:rsidR="006A49A8" w:rsidRDefault="00024E24">
      <w:pPr>
        <w:pStyle w:val="TOC3"/>
        <w:rPr>
          <w:rFonts w:asciiTheme="minorHAnsi" w:eastAsiaTheme="minorEastAsia" w:hAnsiTheme="minorHAnsi" w:cstheme="minorBidi"/>
          <w:szCs w:val="22"/>
        </w:rPr>
      </w:pPr>
      <w:hyperlink w:anchor="_Toc440906266" w:history="1">
        <w:r w:rsidR="006A49A8" w:rsidRPr="00712F19">
          <w:rPr>
            <w:rStyle w:val="Hyperlink"/>
          </w:rPr>
          <w:t>5.3.4</w:t>
        </w:r>
        <w:r w:rsidR="006A49A8">
          <w:rPr>
            <w:rFonts w:asciiTheme="minorHAnsi" w:eastAsiaTheme="minorEastAsia" w:hAnsiTheme="minorHAnsi" w:cstheme="minorBidi"/>
            <w:szCs w:val="22"/>
          </w:rPr>
          <w:tab/>
        </w:r>
        <w:r w:rsidR="006A49A8" w:rsidRPr="00712F19">
          <w:rPr>
            <w:rStyle w:val="Hyperlink"/>
          </w:rPr>
          <w:t>Handling of Withdrawals</w:t>
        </w:r>
        <w:r w:rsidR="006A49A8">
          <w:rPr>
            <w:webHidden/>
          </w:rPr>
          <w:tab/>
        </w:r>
        <w:r w:rsidR="006A49A8">
          <w:rPr>
            <w:webHidden/>
          </w:rPr>
          <w:fldChar w:fldCharType="begin"/>
        </w:r>
        <w:r w:rsidR="006A49A8">
          <w:rPr>
            <w:webHidden/>
          </w:rPr>
          <w:instrText xml:space="preserve"> PAGEREF _Toc440906266 \h </w:instrText>
        </w:r>
        <w:r w:rsidR="006A49A8">
          <w:rPr>
            <w:webHidden/>
          </w:rPr>
        </w:r>
        <w:r w:rsidR="006A49A8">
          <w:rPr>
            <w:webHidden/>
          </w:rPr>
          <w:fldChar w:fldCharType="separate"/>
        </w:r>
        <w:r>
          <w:rPr>
            <w:webHidden/>
          </w:rPr>
          <w:t>33</w:t>
        </w:r>
        <w:r w:rsidR="006A49A8">
          <w:rPr>
            <w:webHidden/>
          </w:rPr>
          <w:fldChar w:fldCharType="end"/>
        </w:r>
      </w:hyperlink>
    </w:p>
    <w:p w14:paraId="74A83EA9" w14:textId="2F593487" w:rsidR="006A49A8" w:rsidRDefault="00024E24">
      <w:pPr>
        <w:pStyle w:val="TOC3"/>
        <w:rPr>
          <w:rFonts w:asciiTheme="minorHAnsi" w:eastAsiaTheme="minorEastAsia" w:hAnsiTheme="minorHAnsi" w:cstheme="minorBidi"/>
          <w:szCs w:val="22"/>
        </w:rPr>
      </w:pPr>
      <w:hyperlink w:anchor="_Toc440906267" w:history="1">
        <w:r w:rsidR="006A49A8" w:rsidRPr="00712F19">
          <w:rPr>
            <w:rStyle w:val="Hyperlink"/>
          </w:rPr>
          <w:t>5.3.5</w:t>
        </w:r>
        <w:r w:rsidR="006A49A8">
          <w:rPr>
            <w:rFonts w:asciiTheme="minorHAnsi" w:eastAsiaTheme="minorEastAsia" w:hAnsiTheme="minorHAnsi" w:cstheme="minorBidi"/>
            <w:szCs w:val="22"/>
          </w:rPr>
          <w:tab/>
        </w:r>
        <w:r w:rsidR="006A49A8" w:rsidRPr="00712F19">
          <w:rPr>
            <w:rStyle w:val="Hyperlink"/>
          </w:rPr>
          <w:t>Subject Replacement</w:t>
        </w:r>
        <w:r w:rsidR="006A49A8">
          <w:rPr>
            <w:webHidden/>
          </w:rPr>
          <w:tab/>
        </w:r>
        <w:r w:rsidR="006A49A8">
          <w:rPr>
            <w:webHidden/>
          </w:rPr>
          <w:fldChar w:fldCharType="begin"/>
        </w:r>
        <w:r w:rsidR="006A49A8">
          <w:rPr>
            <w:webHidden/>
          </w:rPr>
          <w:instrText xml:space="preserve"> PAGEREF _Toc440906267 \h </w:instrText>
        </w:r>
        <w:r w:rsidR="006A49A8">
          <w:rPr>
            <w:webHidden/>
          </w:rPr>
        </w:r>
        <w:r w:rsidR="006A49A8">
          <w:rPr>
            <w:webHidden/>
          </w:rPr>
          <w:fldChar w:fldCharType="separate"/>
        </w:r>
        <w:r>
          <w:rPr>
            <w:webHidden/>
          </w:rPr>
          <w:t>33</w:t>
        </w:r>
        <w:r w:rsidR="006A49A8">
          <w:rPr>
            <w:webHidden/>
          </w:rPr>
          <w:fldChar w:fldCharType="end"/>
        </w:r>
      </w:hyperlink>
    </w:p>
    <w:p w14:paraId="7578CA75" w14:textId="3076CBDB" w:rsidR="006A49A8" w:rsidRDefault="00024E24">
      <w:pPr>
        <w:pStyle w:val="TOC3"/>
        <w:rPr>
          <w:rFonts w:asciiTheme="minorHAnsi" w:eastAsiaTheme="minorEastAsia" w:hAnsiTheme="minorHAnsi" w:cstheme="minorBidi"/>
          <w:szCs w:val="22"/>
        </w:rPr>
      </w:pPr>
      <w:hyperlink w:anchor="_Toc440906268" w:history="1">
        <w:r w:rsidR="006A49A8" w:rsidRPr="00712F19">
          <w:rPr>
            <w:rStyle w:val="Hyperlink"/>
          </w:rPr>
          <w:t>5.3.6</w:t>
        </w:r>
        <w:r w:rsidR="006A49A8">
          <w:rPr>
            <w:rFonts w:asciiTheme="minorHAnsi" w:eastAsiaTheme="minorEastAsia" w:hAnsiTheme="minorHAnsi" w:cstheme="minorBidi"/>
            <w:szCs w:val="22"/>
          </w:rPr>
          <w:tab/>
        </w:r>
        <w:r w:rsidR="006A49A8" w:rsidRPr="00712F19">
          <w:rPr>
            <w:rStyle w:val="Hyperlink"/>
          </w:rPr>
          <w:t>Termination of Study</w:t>
        </w:r>
        <w:r w:rsidR="006A49A8">
          <w:rPr>
            <w:webHidden/>
          </w:rPr>
          <w:tab/>
        </w:r>
        <w:r w:rsidR="006A49A8">
          <w:rPr>
            <w:webHidden/>
          </w:rPr>
          <w:fldChar w:fldCharType="begin"/>
        </w:r>
        <w:r w:rsidR="006A49A8">
          <w:rPr>
            <w:webHidden/>
          </w:rPr>
          <w:instrText xml:space="preserve"> PAGEREF _Toc440906268 \h </w:instrText>
        </w:r>
        <w:r w:rsidR="006A49A8">
          <w:rPr>
            <w:webHidden/>
          </w:rPr>
        </w:r>
        <w:r w:rsidR="006A49A8">
          <w:rPr>
            <w:webHidden/>
          </w:rPr>
          <w:fldChar w:fldCharType="separate"/>
        </w:r>
        <w:r>
          <w:rPr>
            <w:webHidden/>
          </w:rPr>
          <w:t>33</w:t>
        </w:r>
        <w:r w:rsidR="006A49A8">
          <w:rPr>
            <w:webHidden/>
          </w:rPr>
          <w:fldChar w:fldCharType="end"/>
        </w:r>
      </w:hyperlink>
    </w:p>
    <w:p w14:paraId="35FBEE74" w14:textId="77FD3F70" w:rsidR="006A49A8" w:rsidRDefault="00024E24">
      <w:pPr>
        <w:pStyle w:val="TOC1"/>
        <w:rPr>
          <w:rFonts w:asciiTheme="minorHAnsi" w:eastAsiaTheme="minorEastAsia" w:hAnsiTheme="minorHAnsi" w:cstheme="minorBidi"/>
          <w:szCs w:val="22"/>
        </w:rPr>
      </w:pPr>
      <w:hyperlink w:anchor="_Toc440906269" w:history="1">
        <w:r w:rsidR="006A49A8" w:rsidRPr="00712F19">
          <w:rPr>
            <w:rStyle w:val="Hyperlink"/>
          </w:rPr>
          <w:t>6</w:t>
        </w:r>
        <w:r w:rsidR="006A49A8">
          <w:rPr>
            <w:rFonts w:asciiTheme="minorHAnsi" w:eastAsiaTheme="minorEastAsia" w:hAnsiTheme="minorHAnsi" w:cstheme="minorBidi"/>
            <w:szCs w:val="22"/>
          </w:rPr>
          <w:tab/>
        </w:r>
        <w:r w:rsidR="006A49A8" w:rsidRPr="00712F19">
          <w:rPr>
            <w:rStyle w:val="Hyperlink"/>
          </w:rPr>
          <w:t>Study Intervention/Investigational Product</w:t>
        </w:r>
        <w:r w:rsidR="006A49A8">
          <w:rPr>
            <w:webHidden/>
          </w:rPr>
          <w:tab/>
        </w:r>
        <w:r w:rsidR="006A49A8">
          <w:rPr>
            <w:webHidden/>
          </w:rPr>
          <w:fldChar w:fldCharType="begin"/>
        </w:r>
        <w:r w:rsidR="006A49A8">
          <w:rPr>
            <w:webHidden/>
          </w:rPr>
          <w:instrText xml:space="preserve"> PAGEREF _Toc440906269 \h </w:instrText>
        </w:r>
        <w:r w:rsidR="006A49A8">
          <w:rPr>
            <w:webHidden/>
          </w:rPr>
        </w:r>
        <w:r w:rsidR="006A49A8">
          <w:rPr>
            <w:webHidden/>
          </w:rPr>
          <w:fldChar w:fldCharType="separate"/>
        </w:r>
        <w:r>
          <w:rPr>
            <w:webHidden/>
          </w:rPr>
          <w:t>35</w:t>
        </w:r>
        <w:r w:rsidR="006A49A8">
          <w:rPr>
            <w:webHidden/>
          </w:rPr>
          <w:fldChar w:fldCharType="end"/>
        </w:r>
      </w:hyperlink>
    </w:p>
    <w:p w14:paraId="1CF7AD09" w14:textId="10716B56" w:rsidR="006A49A8" w:rsidRDefault="00024E24">
      <w:pPr>
        <w:pStyle w:val="TOC2"/>
        <w:rPr>
          <w:rFonts w:asciiTheme="minorHAnsi" w:eastAsiaTheme="minorEastAsia" w:hAnsiTheme="minorHAnsi" w:cstheme="minorBidi"/>
          <w:szCs w:val="22"/>
        </w:rPr>
      </w:pPr>
      <w:hyperlink w:anchor="_Toc440906270" w:history="1">
        <w:r w:rsidR="006A49A8" w:rsidRPr="00712F19">
          <w:rPr>
            <w:rStyle w:val="Hyperlink"/>
          </w:rPr>
          <w:t>6.1</w:t>
        </w:r>
        <w:r w:rsidR="006A49A8">
          <w:rPr>
            <w:rFonts w:asciiTheme="minorHAnsi" w:eastAsiaTheme="minorEastAsia" w:hAnsiTheme="minorHAnsi" w:cstheme="minorBidi"/>
            <w:szCs w:val="22"/>
          </w:rPr>
          <w:tab/>
        </w:r>
        <w:r w:rsidR="006A49A8" w:rsidRPr="00712F19">
          <w:rPr>
            <w:rStyle w:val="Hyperlink"/>
          </w:rPr>
          <w:t>Study Product Description</w:t>
        </w:r>
        <w:r w:rsidR="006A49A8">
          <w:rPr>
            <w:webHidden/>
          </w:rPr>
          <w:tab/>
        </w:r>
        <w:r w:rsidR="006A49A8">
          <w:rPr>
            <w:webHidden/>
          </w:rPr>
          <w:fldChar w:fldCharType="begin"/>
        </w:r>
        <w:r w:rsidR="006A49A8">
          <w:rPr>
            <w:webHidden/>
          </w:rPr>
          <w:instrText xml:space="preserve"> PAGEREF _Toc440906270 \h </w:instrText>
        </w:r>
        <w:r w:rsidR="006A49A8">
          <w:rPr>
            <w:webHidden/>
          </w:rPr>
        </w:r>
        <w:r w:rsidR="006A49A8">
          <w:rPr>
            <w:webHidden/>
          </w:rPr>
          <w:fldChar w:fldCharType="separate"/>
        </w:r>
        <w:r>
          <w:rPr>
            <w:webHidden/>
          </w:rPr>
          <w:t>35</w:t>
        </w:r>
        <w:r w:rsidR="006A49A8">
          <w:rPr>
            <w:webHidden/>
          </w:rPr>
          <w:fldChar w:fldCharType="end"/>
        </w:r>
      </w:hyperlink>
    </w:p>
    <w:p w14:paraId="64B60464" w14:textId="3CFCE066" w:rsidR="006A49A8" w:rsidRDefault="00024E24">
      <w:pPr>
        <w:pStyle w:val="TOC3"/>
        <w:rPr>
          <w:rFonts w:asciiTheme="minorHAnsi" w:eastAsiaTheme="minorEastAsia" w:hAnsiTheme="minorHAnsi" w:cstheme="minorBidi"/>
          <w:szCs w:val="22"/>
        </w:rPr>
      </w:pPr>
      <w:hyperlink w:anchor="_Toc440906271" w:history="1">
        <w:r w:rsidR="006A49A8" w:rsidRPr="00712F19">
          <w:rPr>
            <w:rStyle w:val="Hyperlink"/>
          </w:rPr>
          <w:t>6.1.1</w:t>
        </w:r>
        <w:r w:rsidR="006A49A8">
          <w:rPr>
            <w:rFonts w:asciiTheme="minorHAnsi" w:eastAsiaTheme="minorEastAsia" w:hAnsiTheme="minorHAnsi" w:cstheme="minorBidi"/>
            <w:szCs w:val="22"/>
          </w:rPr>
          <w:tab/>
        </w:r>
        <w:r w:rsidR="006A49A8" w:rsidRPr="00712F19">
          <w:rPr>
            <w:rStyle w:val="Hyperlink"/>
          </w:rPr>
          <w:t>Acquisition</w:t>
        </w:r>
        <w:r w:rsidR="006A49A8">
          <w:rPr>
            <w:webHidden/>
          </w:rPr>
          <w:tab/>
        </w:r>
        <w:r w:rsidR="006A49A8">
          <w:rPr>
            <w:webHidden/>
          </w:rPr>
          <w:fldChar w:fldCharType="begin"/>
        </w:r>
        <w:r w:rsidR="006A49A8">
          <w:rPr>
            <w:webHidden/>
          </w:rPr>
          <w:instrText xml:space="preserve"> PAGEREF _Toc440906271 \h </w:instrText>
        </w:r>
        <w:r w:rsidR="006A49A8">
          <w:rPr>
            <w:webHidden/>
          </w:rPr>
        </w:r>
        <w:r w:rsidR="006A49A8">
          <w:rPr>
            <w:webHidden/>
          </w:rPr>
          <w:fldChar w:fldCharType="separate"/>
        </w:r>
        <w:r>
          <w:rPr>
            <w:webHidden/>
          </w:rPr>
          <w:t>35</w:t>
        </w:r>
        <w:r w:rsidR="006A49A8">
          <w:rPr>
            <w:webHidden/>
          </w:rPr>
          <w:fldChar w:fldCharType="end"/>
        </w:r>
      </w:hyperlink>
    </w:p>
    <w:p w14:paraId="35D34D2A" w14:textId="56483263" w:rsidR="006A49A8" w:rsidRDefault="00024E24">
      <w:pPr>
        <w:pStyle w:val="TOC3"/>
        <w:rPr>
          <w:rFonts w:asciiTheme="minorHAnsi" w:eastAsiaTheme="minorEastAsia" w:hAnsiTheme="minorHAnsi" w:cstheme="minorBidi"/>
          <w:szCs w:val="22"/>
        </w:rPr>
      </w:pPr>
      <w:hyperlink w:anchor="_Toc440906272" w:history="1">
        <w:r w:rsidR="006A49A8" w:rsidRPr="00712F19">
          <w:rPr>
            <w:rStyle w:val="Hyperlink"/>
          </w:rPr>
          <w:t>6.1.2</w:t>
        </w:r>
        <w:r w:rsidR="006A49A8">
          <w:rPr>
            <w:rFonts w:asciiTheme="minorHAnsi" w:eastAsiaTheme="minorEastAsia" w:hAnsiTheme="minorHAnsi" w:cstheme="minorBidi"/>
            <w:szCs w:val="22"/>
          </w:rPr>
          <w:tab/>
        </w:r>
        <w:r w:rsidR="006A49A8" w:rsidRPr="00712F19">
          <w:rPr>
            <w:rStyle w:val="Hyperlink"/>
          </w:rPr>
          <w:t>Formulation, Packaging, and Labeling</w:t>
        </w:r>
        <w:r w:rsidR="006A49A8">
          <w:rPr>
            <w:webHidden/>
          </w:rPr>
          <w:tab/>
        </w:r>
        <w:r w:rsidR="006A49A8">
          <w:rPr>
            <w:webHidden/>
          </w:rPr>
          <w:fldChar w:fldCharType="begin"/>
        </w:r>
        <w:r w:rsidR="006A49A8">
          <w:rPr>
            <w:webHidden/>
          </w:rPr>
          <w:instrText xml:space="preserve"> PAGEREF _Toc440906272 \h </w:instrText>
        </w:r>
        <w:r w:rsidR="006A49A8">
          <w:rPr>
            <w:webHidden/>
          </w:rPr>
        </w:r>
        <w:r w:rsidR="006A49A8">
          <w:rPr>
            <w:webHidden/>
          </w:rPr>
          <w:fldChar w:fldCharType="separate"/>
        </w:r>
        <w:r>
          <w:rPr>
            <w:webHidden/>
          </w:rPr>
          <w:t>35</w:t>
        </w:r>
        <w:r w:rsidR="006A49A8">
          <w:rPr>
            <w:webHidden/>
          </w:rPr>
          <w:fldChar w:fldCharType="end"/>
        </w:r>
      </w:hyperlink>
    </w:p>
    <w:p w14:paraId="06442020" w14:textId="6B74127F" w:rsidR="006A49A8" w:rsidRDefault="00024E24">
      <w:pPr>
        <w:pStyle w:val="TOC3"/>
        <w:rPr>
          <w:rFonts w:asciiTheme="minorHAnsi" w:eastAsiaTheme="minorEastAsia" w:hAnsiTheme="minorHAnsi" w:cstheme="minorBidi"/>
          <w:szCs w:val="22"/>
        </w:rPr>
      </w:pPr>
      <w:hyperlink w:anchor="_Toc440906273" w:history="1">
        <w:r w:rsidR="006A49A8" w:rsidRPr="00712F19">
          <w:rPr>
            <w:rStyle w:val="Hyperlink"/>
          </w:rPr>
          <w:t>6.1.3</w:t>
        </w:r>
        <w:r w:rsidR="006A49A8">
          <w:rPr>
            <w:rFonts w:asciiTheme="minorHAnsi" w:eastAsiaTheme="minorEastAsia" w:hAnsiTheme="minorHAnsi" w:cstheme="minorBidi"/>
            <w:szCs w:val="22"/>
          </w:rPr>
          <w:tab/>
        </w:r>
        <w:r w:rsidR="006A49A8" w:rsidRPr="00712F19">
          <w:rPr>
            <w:rStyle w:val="Hyperlink"/>
          </w:rPr>
          <w:t>Product Storage and Stability</w:t>
        </w:r>
        <w:r w:rsidR="006A49A8">
          <w:rPr>
            <w:webHidden/>
          </w:rPr>
          <w:tab/>
        </w:r>
        <w:r w:rsidR="006A49A8">
          <w:rPr>
            <w:webHidden/>
          </w:rPr>
          <w:fldChar w:fldCharType="begin"/>
        </w:r>
        <w:r w:rsidR="006A49A8">
          <w:rPr>
            <w:webHidden/>
          </w:rPr>
          <w:instrText xml:space="preserve"> PAGEREF _Toc440906273 \h </w:instrText>
        </w:r>
        <w:r w:rsidR="006A49A8">
          <w:rPr>
            <w:webHidden/>
          </w:rPr>
        </w:r>
        <w:r w:rsidR="006A49A8">
          <w:rPr>
            <w:webHidden/>
          </w:rPr>
          <w:fldChar w:fldCharType="separate"/>
        </w:r>
        <w:r>
          <w:rPr>
            <w:webHidden/>
          </w:rPr>
          <w:t>36</w:t>
        </w:r>
        <w:r w:rsidR="006A49A8">
          <w:rPr>
            <w:webHidden/>
          </w:rPr>
          <w:fldChar w:fldCharType="end"/>
        </w:r>
      </w:hyperlink>
    </w:p>
    <w:p w14:paraId="7E911342" w14:textId="2FBB7A6E" w:rsidR="006A49A8" w:rsidRDefault="00024E24">
      <w:pPr>
        <w:pStyle w:val="TOC2"/>
        <w:rPr>
          <w:rFonts w:asciiTheme="minorHAnsi" w:eastAsiaTheme="minorEastAsia" w:hAnsiTheme="minorHAnsi" w:cstheme="minorBidi"/>
          <w:szCs w:val="22"/>
        </w:rPr>
      </w:pPr>
      <w:hyperlink w:anchor="_Toc440906274" w:history="1">
        <w:r w:rsidR="006A49A8" w:rsidRPr="00712F19">
          <w:rPr>
            <w:rStyle w:val="Hyperlink"/>
          </w:rPr>
          <w:t>6.2</w:t>
        </w:r>
        <w:r w:rsidR="006A49A8">
          <w:rPr>
            <w:rFonts w:asciiTheme="minorHAnsi" w:eastAsiaTheme="minorEastAsia" w:hAnsiTheme="minorHAnsi" w:cstheme="minorBidi"/>
            <w:szCs w:val="22"/>
          </w:rPr>
          <w:tab/>
        </w:r>
        <w:r w:rsidR="006A49A8" w:rsidRPr="00712F19">
          <w:rPr>
            <w:rStyle w:val="Hyperlink"/>
          </w:rPr>
          <w:t>Dosage, Preparation and Administration of Study Intervention/Investigational Product</w:t>
        </w:r>
        <w:r w:rsidR="006A49A8">
          <w:rPr>
            <w:webHidden/>
          </w:rPr>
          <w:tab/>
        </w:r>
        <w:r w:rsidR="006A49A8">
          <w:rPr>
            <w:webHidden/>
          </w:rPr>
          <w:fldChar w:fldCharType="begin"/>
        </w:r>
        <w:r w:rsidR="006A49A8">
          <w:rPr>
            <w:webHidden/>
          </w:rPr>
          <w:instrText xml:space="preserve"> PAGEREF _Toc440906274 \h </w:instrText>
        </w:r>
        <w:r w:rsidR="006A49A8">
          <w:rPr>
            <w:webHidden/>
          </w:rPr>
        </w:r>
        <w:r w:rsidR="006A49A8">
          <w:rPr>
            <w:webHidden/>
          </w:rPr>
          <w:fldChar w:fldCharType="separate"/>
        </w:r>
        <w:r>
          <w:rPr>
            <w:webHidden/>
          </w:rPr>
          <w:t>36</w:t>
        </w:r>
        <w:r w:rsidR="006A49A8">
          <w:rPr>
            <w:webHidden/>
          </w:rPr>
          <w:fldChar w:fldCharType="end"/>
        </w:r>
      </w:hyperlink>
    </w:p>
    <w:p w14:paraId="1E9CCE8E" w14:textId="39824BF7" w:rsidR="006A49A8" w:rsidRDefault="00024E24">
      <w:pPr>
        <w:pStyle w:val="TOC2"/>
        <w:rPr>
          <w:rFonts w:asciiTheme="minorHAnsi" w:eastAsiaTheme="minorEastAsia" w:hAnsiTheme="minorHAnsi" w:cstheme="minorBidi"/>
          <w:szCs w:val="22"/>
        </w:rPr>
      </w:pPr>
      <w:hyperlink w:anchor="_Toc440906275" w:history="1">
        <w:r w:rsidR="006A49A8" w:rsidRPr="00712F19">
          <w:rPr>
            <w:rStyle w:val="Hyperlink"/>
          </w:rPr>
          <w:t>6.3</w:t>
        </w:r>
        <w:r w:rsidR="006A49A8">
          <w:rPr>
            <w:rFonts w:asciiTheme="minorHAnsi" w:eastAsiaTheme="minorEastAsia" w:hAnsiTheme="minorHAnsi" w:cstheme="minorBidi"/>
            <w:szCs w:val="22"/>
          </w:rPr>
          <w:tab/>
        </w:r>
        <w:r w:rsidR="006A49A8" w:rsidRPr="00712F19">
          <w:rPr>
            <w:rStyle w:val="Hyperlink"/>
          </w:rPr>
          <w:t>Modification of Study Intervention/Investigational Product for a Participant</w:t>
        </w:r>
        <w:r w:rsidR="006A49A8">
          <w:rPr>
            <w:webHidden/>
          </w:rPr>
          <w:tab/>
        </w:r>
        <w:r w:rsidR="006A49A8">
          <w:rPr>
            <w:webHidden/>
          </w:rPr>
          <w:fldChar w:fldCharType="begin"/>
        </w:r>
        <w:r w:rsidR="006A49A8">
          <w:rPr>
            <w:webHidden/>
          </w:rPr>
          <w:instrText xml:space="preserve"> PAGEREF _Toc440906275 \h </w:instrText>
        </w:r>
        <w:r w:rsidR="006A49A8">
          <w:rPr>
            <w:webHidden/>
          </w:rPr>
        </w:r>
        <w:r w:rsidR="006A49A8">
          <w:rPr>
            <w:webHidden/>
          </w:rPr>
          <w:fldChar w:fldCharType="separate"/>
        </w:r>
        <w:r>
          <w:rPr>
            <w:webHidden/>
          </w:rPr>
          <w:t>36</w:t>
        </w:r>
        <w:r w:rsidR="006A49A8">
          <w:rPr>
            <w:webHidden/>
          </w:rPr>
          <w:fldChar w:fldCharType="end"/>
        </w:r>
      </w:hyperlink>
    </w:p>
    <w:p w14:paraId="00ACCF91" w14:textId="2D0DE900" w:rsidR="006A49A8" w:rsidRDefault="00024E24">
      <w:pPr>
        <w:pStyle w:val="TOC2"/>
        <w:rPr>
          <w:rFonts w:asciiTheme="minorHAnsi" w:eastAsiaTheme="minorEastAsia" w:hAnsiTheme="minorHAnsi" w:cstheme="minorBidi"/>
          <w:szCs w:val="22"/>
        </w:rPr>
      </w:pPr>
      <w:hyperlink w:anchor="_Toc440906276" w:history="1">
        <w:r w:rsidR="006A49A8" w:rsidRPr="00712F19">
          <w:rPr>
            <w:rStyle w:val="Hyperlink"/>
          </w:rPr>
          <w:t>6.4</w:t>
        </w:r>
        <w:r w:rsidR="006A49A8">
          <w:rPr>
            <w:rFonts w:asciiTheme="minorHAnsi" w:eastAsiaTheme="minorEastAsia" w:hAnsiTheme="minorHAnsi" w:cstheme="minorBidi"/>
            <w:szCs w:val="22"/>
          </w:rPr>
          <w:tab/>
        </w:r>
        <w:r w:rsidR="006A49A8" w:rsidRPr="00712F19">
          <w:rPr>
            <w:rStyle w:val="Hyperlink"/>
          </w:rPr>
          <w:t>Accountability Procedures for the Study Intervention/Investigational Product(s)</w:t>
        </w:r>
        <w:r w:rsidR="006A49A8">
          <w:rPr>
            <w:webHidden/>
          </w:rPr>
          <w:tab/>
        </w:r>
        <w:r w:rsidR="006A49A8">
          <w:rPr>
            <w:webHidden/>
          </w:rPr>
          <w:fldChar w:fldCharType="begin"/>
        </w:r>
        <w:r w:rsidR="006A49A8">
          <w:rPr>
            <w:webHidden/>
          </w:rPr>
          <w:instrText xml:space="preserve"> PAGEREF _Toc440906276 \h </w:instrText>
        </w:r>
        <w:r w:rsidR="006A49A8">
          <w:rPr>
            <w:webHidden/>
          </w:rPr>
        </w:r>
        <w:r w:rsidR="006A49A8">
          <w:rPr>
            <w:webHidden/>
          </w:rPr>
          <w:fldChar w:fldCharType="separate"/>
        </w:r>
        <w:r>
          <w:rPr>
            <w:webHidden/>
          </w:rPr>
          <w:t>36</w:t>
        </w:r>
        <w:r w:rsidR="006A49A8">
          <w:rPr>
            <w:webHidden/>
          </w:rPr>
          <w:fldChar w:fldCharType="end"/>
        </w:r>
      </w:hyperlink>
    </w:p>
    <w:p w14:paraId="00A3A713" w14:textId="53A86825" w:rsidR="006A49A8" w:rsidRDefault="00024E24">
      <w:pPr>
        <w:pStyle w:val="TOC2"/>
        <w:rPr>
          <w:rFonts w:asciiTheme="minorHAnsi" w:eastAsiaTheme="minorEastAsia" w:hAnsiTheme="minorHAnsi" w:cstheme="minorBidi"/>
          <w:szCs w:val="22"/>
        </w:rPr>
      </w:pPr>
      <w:hyperlink w:anchor="_Toc440906277" w:history="1">
        <w:r w:rsidR="006A49A8" w:rsidRPr="00712F19">
          <w:rPr>
            <w:rStyle w:val="Hyperlink"/>
          </w:rPr>
          <w:t>6.5</w:t>
        </w:r>
        <w:r w:rsidR="006A49A8">
          <w:rPr>
            <w:rFonts w:asciiTheme="minorHAnsi" w:eastAsiaTheme="minorEastAsia" w:hAnsiTheme="minorHAnsi" w:cstheme="minorBidi"/>
            <w:szCs w:val="22"/>
          </w:rPr>
          <w:tab/>
        </w:r>
        <w:r w:rsidR="006A49A8" w:rsidRPr="00712F19">
          <w:rPr>
            <w:rStyle w:val="Hyperlink"/>
          </w:rPr>
          <w:t>Assessment of Subject Compliance with Study Intervention/Investigational Product</w:t>
        </w:r>
        <w:r w:rsidR="006A49A8">
          <w:rPr>
            <w:webHidden/>
          </w:rPr>
          <w:tab/>
        </w:r>
        <w:r w:rsidR="006A49A8">
          <w:rPr>
            <w:webHidden/>
          </w:rPr>
          <w:fldChar w:fldCharType="begin"/>
        </w:r>
        <w:r w:rsidR="006A49A8">
          <w:rPr>
            <w:webHidden/>
          </w:rPr>
          <w:instrText xml:space="preserve"> PAGEREF _Toc440906277 \h </w:instrText>
        </w:r>
        <w:r w:rsidR="006A49A8">
          <w:rPr>
            <w:webHidden/>
          </w:rPr>
        </w:r>
        <w:r w:rsidR="006A49A8">
          <w:rPr>
            <w:webHidden/>
          </w:rPr>
          <w:fldChar w:fldCharType="separate"/>
        </w:r>
        <w:r>
          <w:rPr>
            <w:webHidden/>
          </w:rPr>
          <w:t>37</w:t>
        </w:r>
        <w:r w:rsidR="006A49A8">
          <w:rPr>
            <w:webHidden/>
          </w:rPr>
          <w:fldChar w:fldCharType="end"/>
        </w:r>
      </w:hyperlink>
    </w:p>
    <w:p w14:paraId="214D3CA0" w14:textId="4B8329C3" w:rsidR="006A49A8" w:rsidRDefault="00024E24">
      <w:pPr>
        <w:pStyle w:val="TOC2"/>
        <w:rPr>
          <w:rFonts w:asciiTheme="minorHAnsi" w:eastAsiaTheme="minorEastAsia" w:hAnsiTheme="minorHAnsi" w:cstheme="minorBidi"/>
          <w:szCs w:val="22"/>
        </w:rPr>
      </w:pPr>
      <w:hyperlink w:anchor="_Toc440906278" w:history="1">
        <w:r w:rsidR="006A49A8" w:rsidRPr="00712F19">
          <w:rPr>
            <w:rStyle w:val="Hyperlink"/>
          </w:rPr>
          <w:t>6.6</w:t>
        </w:r>
        <w:r w:rsidR="006A49A8">
          <w:rPr>
            <w:rFonts w:asciiTheme="minorHAnsi" w:eastAsiaTheme="minorEastAsia" w:hAnsiTheme="minorHAnsi" w:cstheme="minorBidi"/>
            <w:szCs w:val="22"/>
          </w:rPr>
          <w:tab/>
        </w:r>
        <w:r w:rsidR="006A49A8" w:rsidRPr="00712F19">
          <w:rPr>
            <w:rStyle w:val="Hyperlink"/>
          </w:rPr>
          <w:t>Concomitant Medications/Treatments</w:t>
        </w:r>
        <w:r w:rsidR="006A49A8">
          <w:rPr>
            <w:webHidden/>
          </w:rPr>
          <w:tab/>
        </w:r>
        <w:r w:rsidR="006A49A8">
          <w:rPr>
            <w:webHidden/>
          </w:rPr>
          <w:fldChar w:fldCharType="begin"/>
        </w:r>
        <w:r w:rsidR="006A49A8">
          <w:rPr>
            <w:webHidden/>
          </w:rPr>
          <w:instrText xml:space="preserve"> PAGEREF _Toc440906278 \h </w:instrText>
        </w:r>
        <w:r w:rsidR="006A49A8">
          <w:rPr>
            <w:webHidden/>
          </w:rPr>
        </w:r>
        <w:r w:rsidR="006A49A8">
          <w:rPr>
            <w:webHidden/>
          </w:rPr>
          <w:fldChar w:fldCharType="separate"/>
        </w:r>
        <w:r>
          <w:rPr>
            <w:webHidden/>
          </w:rPr>
          <w:t>37</w:t>
        </w:r>
        <w:r w:rsidR="006A49A8">
          <w:rPr>
            <w:webHidden/>
          </w:rPr>
          <w:fldChar w:fldCharType="end"/>
        </w:r>
      </w:hyperlink>
    </w:p>
    <w:p w14:paraId="2B1B985C" w14:textId="6F9D9165" w:rsidR="006A49A8" w:rsidRDefault="00024E24">
      <w:pPr>
        <w:pStyle w:val="TOC1"/>
        <w:rPr>
          <w:rFonts w:asciiTheme="minorHAnsi" w:eastAsiaTheme="minorEastAsia" w:hAnsiTheme="minorHAnsi" w:cstheme="minorBidi"/>
          <w:szCs w:val="22"/>
        </w:rPr>
      </w:pPr>
      <w:hyperlink w:anchor="_Toc440906279" w:history="1">
        <w:r w:rsidR="006A49A8" w:rsidRPr="00712F19">
          <w:rPr>
            <w:rStyle w:val="Hyperlink"/>
          </w:rPr>
          <w:t>7</w:t>
        </w:r>
        <w:r w:rsidR="006A49A8">
          <w:rPr>
            <w:rFonts w:asciiTheme="minorHAnsi" w:eastAsiaTheme="minorEastAsia" w:hAnsiTheme="minorHAnsi" w:cstheme="minorBidi"/>
            <w:szCs w:val="22"/>
          </w:rPr>
          <w:tab/>
        </w:r>
        <w:r w:rsidR="006A49A8" w:rsidRPr="00712F19">
          <w:rPr>
            <w:rStyle w:val="Hyperlink"/>
          </w:rPr>
          <w:t>Study Schedule</w:t>
        </w:r>
        <w:r w:rsidR="006A49A8">
          <w:rPr>
            <w:webHidden/>
          </w:rPr>
          <w:tab/>
        </w:r>
        <w:r w:rsidR="006A49A8">
          <w:rPr>
            <w:webHidden/>
          </w:rPr>
          <w:fldChar w:fldCharType="begin"/>
        </w:r>
        <w:r w:rsidR="006A49A8">
          <w:rPr>
            <w:webHidden/>
          </w:rPr>
          <w:instrText xml:space="preserve"> PAGEREF _Toc440906279 \h </w:instrText>
        </w:r>
        <w:r w:rsidR="006A49A8">
          <w:rPr>
            <w:webHidden/>
          </w:rPr>
        </w:r>
        <w:r w:rsidR="006A49A8">
          <w:rPr>
            <w:webHidden/>
          </w:rPr>
          <w:fldChar w:fldCharType="separate"/>
        </w:r>
        <w:r>
          <w:rPr>
            <w:webHidden/>
          </w:rPr>
          <w:t>38</w:t>
        </w:r>
        <w:r w:rsidR="006A49A8">
          <w:rPr>
            <w:webHidden/>
          </w:rPr>
          <w:fldChar w:fldCharType="end"/>
        </w:r>
      </w:hyperlink>
    </w:p>
    <w:p w14:paraId="5CB0BE86" w14:textId="46F82FB6" w:rsidR="006A49A8" w:rsidRDefault="00024E24">
      <w:pPr>
        <w:pStyle w:val="TOC2"/>
        <w:rPr>
          <w:rFonts w:asciiTheme="minorHAnsi" w:eastAsiaTheme="minorEastAsia" w:hAnsiTheme="minorHAnsi" w:cstheme="minorBidi"/>
          <w:szCs w:val="22"/>
        </w:rPr>
      </w:pPr>
      <w:hyperlink w:anchor="_Toc440906280" w:history="1">
        <w:r w:rsidR="006A49A8" w:rsidRPr="00712F19">
          <w:rPr>
            <w:rStyle w:val="Hyperlink"/>
          </w:rPr>
          <w:t>7.1</w:t>
        </w:r>
        <w:r w:rsidR="006A49A8">
          <w:rPr>
            <w:rFonts w:asciiTheme="minorHAnsi" w:eastAsiaTheme="minorEastAsia" w:hAnsiTheme="minorHAnsi" w:cstheme="minorBidi"/>
            <w:szCs w:val="22"/>
          </w:rPr>
          <w:tab/>
        </w:r>
        <w:r w:rsidR="006A49A8" w:rsidRPr="00712F19">
          <w:rPr>
            <w:rStyle w:val="Hyperlink"/>
          </w:rPr>
          <w:t>Screening</w:t>
        </w:r>
        <w:r w:rsidR="006A49A8">
          <w:rPr>
            <w:webHidden/>
          </w:rPr>
          <w:tab/>
        </w:r>
        <w:r w:rsidR="006A49A8">
          <w:rPr>
            <w:webHidden/>
          </w:rPr>
          <w:fldChar w:fldCharType="begin"/>
        </w:r>
        <w:r w:rsidR="006A49A8">
          <w:rPr>
            <w:webHidden/>
          </w:rPr>
          <w:instrText xml:space="preserve"> PAGEREF _Toc440906280 \h </w:instrText>
        </w:r>
        <w:r w:rsidR="006A49A8">
          <w:rPr>
            <w:webHidden/>
          </w:rPr>
        </w:r>
        <w:r w:rsidR="006A49A8">
          <w:rPr>
            <w:webHidden/>
          </w:rPr>
          <w:fldChar w:fldCharType="separate"/>
        </w:r>
        <w:r>
          <w:rPr>
            <w:webHidden/>
          </w:rPr>
          <w:t>38</w:t>
        </w:r>
        <w:r w:rsidR="006A49A8">
          <w:rPr>
            <w:webHidden/>
          </w:rPr>
          <w:fldChar w:fldCharType="end"/>
        </w:r>
      </w:hyperlink>
    </w:p>
    <w:p w14:paraId="038A0C9D" w14:textId="72984B0B" w:rsidR="006A49A8" w:rsidRDefault="00024E24">
      <w:pPr>
        <w:pStyle w:val="TOC2"/>
        <w:rPr>
          <w:rFonts w:asciiTheme="minorHAnsi" w:eastAsiaTheme="minorEastAsia" w:hAnsiTheme="minorHAnsi" w:cstheme="minorBidi"/>
          <w:szCs w:val="22"/>
        </w:rPr>
      </w:pPr>
      <w:hyperlink w:anchor="_Toc440906281" w:history="1">
        <w:r w:rsidR="006A49A8" w:rsidRPr="00712F19">
          <w:rPr>
            <w:rStyle w:val="Hyperlink"/>
          </w:rPr>
          <w:t>7.2</w:t>
        </w:r>
        <w:r w:rsidR="006A49A8">
          <w:rPr>
            <w:rFonts w:asciiTheme="minorHAnsi" w:eastAsiaTheme="minorEastAsia" w:hAnsiTheme="minorHAnsi" w:cstheme="minorBidi"/>
            <w:szCs w:val="22"/>
          </w:rPr>
          <w:tab/>
        </w:r>
        <w:r w:rsidR="006A49A8" w:rsidRPr="00712F19">
          <w:rPr>
            <w:rStyle w:val="Hyperlink"/>
          </w:rPr>
          <w:t>Study Injection Phase</w:t>
        </w:r>
        <w:r w:rsidR="006A49A8">
          <w:rPr>
            <w:webHidden/>
          </w:rPr>
          <w:tab/>
        </w:r>
        <w:r w:rsidR="006A49A8">
          <w:rPr>
            <w:webHidden/>
          </w:rPr>
          <w:fldChar w:fldCharType="begin"/>
        </w:r>
        <w:r w:rsidR="006A49A8">
          <w:rPr>
            <w:webHidden/>
          </w:rPr>
          <w:instrText xml:space="preserve"> PAGEREF _Toc440906281 \h </w:instrText>
        </w:r>
        <w:r w:rsidR="006A49A8">
          <w:rPr>
            <w:webHidden/>
          </w:rPr>
        </w:r>
        <w:r w:rsidR="006A49A8">
          <w:rPr>
            <w:webHidden/>
          </w:rPr>
          <w:fldChar w:fldCharType="separate"/>
        </w:r>
        <w:r>
          <w:rPr>
            <w:webHidden/>
          </w:rPr>
          <w:t>39</w:t>
        </w:r>
        <w:r w:rsidR="006A49A8">
          <w:rPr>
            <w:webHidden/>
          </w:rPr>
          <w:fldChar w:fldCharType="end"/>
        </w:r>
      </w:hyperlink>
    </w:p>
    <w:p w14:paraId="62128A72" w14:textId="77FA1E58" w:rsidR="006A49A8" w:rsidRDefault="00024E24">
      <w:pPr>
        <w:pStyle w:val="TOC2"/>
        <w:rPr>
          <w:rFonts w:asciiTheme="minorHAnsi" w:eastAsiaTheme="minorEastAsia" w:hAnsiTheme="minorHAnsi" w:cstheme="minorBidi"/>
          <w:szCs w:val="22"/>
        </w:rPr>
      </w:pPr>
      <w:hyperlink w:anchor="_Toc440906282" w:history="1">
        <w:r w:rsidR="006A49A8" w:rsidRPr="00712F19">
          <w:rPr>
            <w:rStyle w:val="Hyperlink"/>
          </w:rPr>
          <w:t>7.3</w:t>
        </w:r>
        <w:r w:rsidR="006A49A8">
          <w:rPr>
            <w:rFonts w:asciiTheme="minorHAnsi" w:eastAsiaTheme="minorEastAsia" w:hAnsiTheme="minorHAnsi" w:cstheme="minorBidi"/>
            <w:szCs w:val="22"/>
          </w:rPr>
          <w:tab/>
        </w:r>
        <w:r w:rsidR="006A49A8" w:rsidRPr="00712F19">
          <w:rPr>
            <w:rStyle w:val="Hyperlink"/>
          </w:rPr>
          <w:t>Final Study Visit</w:t>
        </w:r>
        <w:r w:rsidR="006A49A8">
          <w:rPr>
            <w:webHidden/>
          </w:rPr>
          <w:tab/>
        </w:r>
        <w:r w:rsidR="006A49A8">
          <w:rPr>
            <w:webHidden/>
          </w:rPr>
          <w:fldChar w:fldCharType="begin"/>
        </w:r>
        <w:r w:rsidR="006A49A8">
          <w:rPr>
            <w:webHidden/>
          </w:rPr>
          <w:instrText xml:space="preserve"> PAGEREF _Toc440906282 \h </w:instrText>
        </w:r>
        <w:r w:rsidR="006A49A8">
          <w:rPr>
            <w:webHidden/>
          </w:rPr>
        </w:r>
        <w:r w:rsidR="006A49A8">
          <w:rPr>
            <w:webHidden/>
          </w:rPr>
          <w:fldChar w:fldCharType="separate"/>
        </w:r>
        <w:r>
          <w:rPr>
            <w:webHidden/>
          </w:rPr>
          <w:t>39</w:t>
        </w:r>
        <w:r w:rsidR="006A49A8">
          <w:rPr>
            <w:webHidden/>
          </w:rPr>
          <w:fldChar w:fldCharType="end"/>
        </w:r>
      </w:hyperlink>
    </w:p>
    <w:p w14:paraId="7C562614" w14:textId="157D7974" w:rsidR="006A49A8" w:rsidRDefault="00024E24">
      <w:pPr>
        <w:pStyle w:val="TOC2"/>
        <w:rPr>
          <w:rFonts w:asciiTheme="minorHAnsi" w:eastAsiaTheme="minorEastAsia" w:hAnsiTheme="minorHAnsi" w:cstheme="minorBidi"/>
          <w:szCs w:val="22"/>
        </w:rPr>
      </w:pPr>
      <w:hyperlink w:anchor="_Toc440906283" w:history="1">
        <w:r w:rsidR="006A49A8" w:rsidRPr="00712F19">
          <w:rPr>
            <w:rStyle w:val="Hyperlink"/>
          </w:rPr>
          <w:t>7.4</w:t>
        </w:r>
        <w:r w:rsidR="006A49A8">
          <w:rPr>
            <w:rFonts w:asciiTheme="minorHAnsi" w:eastAsiaTheme="minorEastAsia" w:hAnsiTheme="minorHAnsi" w:cstheme="minorBidi"/>
            <w:szCs w:val="22"/>
          </w:rPr>
          <w:tab/>
        </w:r>
        <w:r w:rsidR="006A49A8" w:rsidRPr="00712F19">
          <w:rPr>
            <w:rStyle w:val="Hyperlink"/>
          </w:rPr>
          <w:t>Early Termination Visit</w:t>
        </w:r>
        <w:r w:rsidR="006A49A8">
          <w:rPr>
            <w:webHidden/>
          </w:rPr>
          <w:tab/>
        </w:r>
        <w:r w:rsidR="006A49A8">
          <w:rPr>
            <w:webHidden/>
          </w:rPr>
          <w:fldChar w:fldCharType="begin"/>
        </w:r>
        <w:r w:rsidR="006A49A8">
          <w:rPr>
            <w:webHidden/>
          </w:rPr>
          <w:instrText xml:space="preserve"> PAGEREF _Toc440906283 \h </w:instrText>
        </w:r>
        <w:r w:rsidR="006A49A8">
          <w:rPr>
            <w:webHidden/>
          </w:rPr>
        </w:r>
        <w:r w:rsidR="006A49A8">
          <w:rPr>
            <w:webHidden/>
          </w:rPr>
          <w:fldChar w:fldCharType="separate"/>
        </w:r>
        <w:r>
          <w:rPr>
            <w:webHidden/>
          </w:rPr>
          <w:t>40</w:t>
        </w:r>
        <w:r w:rsidR="006A49A8">
          <w:rPr>
            <w:webHidden/>
          </w:rPr>
          <w:fldChar w:fldCharType="end"/>
        </w:r>
      </w:hyperlink>
    </w:p>
    <w:p w14:paraId="0FFFD856" w14:textId="377EA4C0" w:rsidR="006A49A8" w:rsidRDefault="00024E24">
      <w:pPr>
        <w:pStyle w:val="TOC2"/>
        <w:rPr>
          <w:rFonts w:asciiTheme="minorHAnsi" w:eastAsiaTheme="minorEastAsia" w:hAnsiTheme="minorHAnsi" w:cstheme="minorBidi"/>
          <w:szCs w:val="22"/>
        </w:rPr>
      </w:pPr>
      <w:hyperlink w:anchor="_Toc440906284" w:history="1">
        <w:r w:rsidR="006A49A8" w:rsidRPr="00712F19">
          <w:rPr>
            <w:rStyle w:val="Hyperlink"/>
          </w:rPr>
          <w:t>7.5</w:t>
        </w:r>
        <w:r w:rsidR="006A49A8">
          <w:rPr>
            <w:rFonts w:asciiTheme="minorHAnsi" w:eastAsiaTheme="minorEastAsia" w:hAnsiTheme="minorHAnsi" w:cstheme="minorBidi"/>
            <w:szCs w:val="22"/>
          </w:rPr>
          <w:tab/>
        </w:r>
        <w:r w:rsidR="006A49A8" w:rsidRPr="00712F19">
          <w:rPr>
            <w:rStyle w:val="Hyperlink"/>
          </w:rPr>
          <w:t>Unscheduled Visit</w:t>
        </w:r>
        <w:r w:rsidR="006A49A8">
          <w:rPr>
            <w:webHidden/>
          </w:rPr>
          <w:tab/>
        </w:r>
        <w:r w:rsidR="006A49A8">
          <w:rPr>
            <w:webHidden/>
          </w:rPr>
          <w:fldChar w:fldCharType="begin"/>
        </w:r>
        <w:r w:rsidR="006A49A8">
          <w:rPr>
            <w:webHidden/>
          </w:rPr>
          <w:instrText xml:space="preserve"> PAGEREF _Toc440906284 \h </w:instrText>
        </w:r>
        <w:r w:rsidR="006A49A8">
          <w:rPr>
            <w:webHidden/>
          </w:rPr>
        </w:r>
        <w:r w:rsidR="006A49A8">
          <w:rPr>
            <w:webHidden/>
          </w:rPr>
          <w:fldChar w:fldCharType="separate"/>
        </w:r>
        <w:r>
          <w:rPr>
            <w:webHidden/>
          </w:rPr>
          <w:t>40</w:t>
        </w:r>
        <w:r w:rsidR="006A49A8">
          <w:rPr>
            <w:webHidden/>
          </w:rPr>
          <w:fldChar w:fldCharType="end"/>
        </w:r>
      </w:hyperlink>
    </w:p>
    <w:p w14:paraId="651B1383" w14:textId="11487D18" w:rsidR="006A49A8" w:rsidRDefault="00024E24">
      <w:pPr>
        <w:pStyle w:val="TOC1"/>
        <w:rPr>
          <w:rFonts w:asciiTheme="minorHAnsi" w:eastAsiaTheme="minorEastAsia" w:hAnsiTheme="minorHAnsi" w:cstheme="minorBidi"/>
          <w:szCs w:val="22"/>
        </w:rPr>
      </w:pPr>
      <w:hyperlink w:anchor="_Toc440906285" w:history="1">
        <w:r w:rsidR="006A49A8" w:rsidRPr="00712F19">
          <w:rPr>
            <w:rStyle w:val="Hyperlink"/>
          </w:rPr>
          <w:t>8</w:t>
        </w:r>
        <w:r w:rsidR="006A49A8">
          <w:rPr>
            <w:rFonts w:asciiTheme="minorHAnsi" w:eastAsiaTheme="minorEastAsia" w:hAnsiTheme="minorHAnsi" w:cstheme="minorBidi"/>
            <w:szCs w:val="22"/>
          </w:rPr>
          <w:tab/>
        </w:r>
        <w:r w:rsidR="006A49A8" w:rsidRPr="00712F19">
          <w:rPr>
            <w:rStyle w:val="Hyperlink"/>
          </w:rPr>
          <w:t>Study Procedures/Evaluations</w:t>
        </w:r>
        <w:r w:rsidR="006A49A8">
          <w:rPr>
            <w:webHidden/>
          </w:rPr>
          <w:tab/>
        </w:r>
        <w:r w:rsidR="006A49A8">
          <w:rPr>
            <w:webHidden/>
          </w:rPr>
          <w:fldChar w:fldCharType="begin"/>
        </w:r>
        <w:r w:rsidR="006A49A8">
          <w:rPr>
            <w:webHidden/>
          </w:rPr>
          <w:instrText xml:space="preserve"> PAGEREF _Toc440906285 \h </w:instrText>
        </w:r>
        <w:r w:rsidR="006A49A8">
          <w:rPr>
            <w:webHidden/>
          </w:rPr>
        </w:r>
        <w:r w:rsidR="006A49A8">
          <w:rPr>
            <w:webHidden/>
          </w:rPr>
          <w:fldChar w:fldCharType="separate"/>
        </w:r>
        <w:r>
          <w:rPr>
            <w:webHidden/>
          </w:rPr>
          <w:t>41</w:t>
        </w:r>
        <w:r w:rsidR="006A49A8">
          <w:rPr>
            <w:webHidden/>
          </w:rPr>
          <w:fldChar w:fldCharType="end"/>
        </w:r>
      </w:hyperlink>
    </w:p>
    <w:p w14:paraId="5AC8723D" w14:textId="37860DCA" w:rsidR="006A49A8" w:rsidRDefault="00024E24">
      <w:pPr>
        <w:pStyle w:val="TOC2"/>
        <w:rPr>
          <w:rFonts w:asciiTheme="minorHAnsi" w:eastAsiaTheme="minorEastAsia" w:hAnsiTheme="minorHAnsi" w:cstheme="minorBidi"/>
          <w:szCs w:val="22"/>
        </w:rPr>
      </w:pPr>
      <w:hyperlink w:anchor="_Toc440906286" w:history="1">
        <w:r w:rsidR="006A49A8" w:rsidRPr="00712F19">
          <w:rPr>
            <w:rStyle w:val="Hyperlink"/>
          </w:rPr>
          <w:t>8.1</w:t>
        </w:r>
        <w:r w:rsidR="006A49A8">
          <w:rPr>
            <w:rFonts w:asciiTheme="minorHAnsi" w:eastAsiaTheme="minorEastAsia" w:hAnsiTheme="minorHAnsi" w:cstheme="minorBidi"/>
            <w:szCs w:val="22"/>
          </w:rPr>
          <w:tab/>
        </w:r>
        <w:r w:rsidR="006A49A8" w:rsidRPr="00712F19">
          <w:rPr>
            <w:rStyle w:val="Hyperlink"/>
          </w:rPr>
          <w:t>Screening Visit</w:t>
        </w:r>
        <w:r w:rsidR="006A49A8">
          <w:rPr>
            <w:webHidden/>
          </w:rPr>
          <w:tab/>
        </w:r>
        <w:r w:rsidR="006A49A8">
          <w:rPr>
            <w:webHidden/>
          </w:rPr>
          <w:fldChar w:fldCharType="begin"/>
        </w:r>
        <w:r w:rsidR="006A49A8">
          <w:rPr>
            <w:webHidden/>
          </w:rPr>
          <w:instrText xml:space="preserve"> PAGEREF _Toc440906286 \h </w:instrText>
        </w:r>
        <w:r w:rsidR="006A49A8">
          <w:rPr>
            <w:webHidden/>
          </w:rPr>
        </w:r>
        <w:r w:rsidR="006A49A8">
          <w:rPr>
            <w:webHidden/>
          </w:rPr>
          <w:fldChar w:fldCharType="separate"/>
        </w:r>
        <w:r>
          <w:rPr>
            <w:webHidden/>
          </w:rPr>
          <w:t>41</w:t>
        </w:r>
        <w:r w:rsidR="006A49A8">
          <w:rPr>
            <w:webHidden/>
          </w:rPr>
          <w:fldChar w:fldCharType="end"/>
        </w:r>
      </w:hyperlink>
    </w:p>
    <w:p w14:paraId="56D36C58" w14:textId="227DBC87" w:rsidR="006A49A8" w:rsidRDefault="00024E24">
      <w:pPr>
        <w:pStyle w:val="TOC3"/>
        <w:rPr>
          <w:rFonts w:asciiTheme="minorHAnsi" w:eastAsiaTheme="minorEastAsia" w:hAnsiTheme="minorHAnsi" w:cstheme="minorBidi"/>
          <w:szCs w:val="22"/>
        </w:rPr>
      </w:pPr>
      <w:hyperlink w:anchor="_Toc440906287" w:history="1">
        <w:r w:rsidR="006A49A8" w:rsidRPr="00712F19">
          <w:rPr>
            <w:rStyle w:val="Hyperlink"/>
          </w:rPr>
          <w:t>8.1.1</w:t>
        </w:r>
        <w:r w:rsidR="006A49A8">
          <w:rPr>
            <w:rFonts w:asciiTheme="minorHAnsi" w:eastAsiaTheme="minorEastAsia" w:hAnsiTheme="minorHAnsi" w:cstheme="minorBidi"/>
            <w:szCs w:val="22"/>
          </w:rPr>
          <w:tab/>
        </w:r>
        <w:r w:rsidR="006A49A8" w:rsidRPr="00712F19">
          <w:rPr>
            <w:rStyle w:val="Hyperlink"/>
          </w:rPr>
          <w:t>First Screening Visit</w:t>
        </w:r>
        <w:r w:rsidR="006A49A8">
          <w:rPr>
            <w:webHidden/>
          </w:rPr>
          <w:tab/>
        </w:r>
        <w:r w:rsidR="006A49A8">
          <w:rPr>
            <w:webHidden/>
          </w:rPr>
          <w:fldChar w:fldCharType="begin"/>
        </w:r>
        <w:r w:rsidR="006A49A8">
          <w:rPr>
            <w:webHidden/>
          </w:rPr>
          <w:instrText xml:space="preserve"> PAGEREF _Toc440906287 \h </w:instrText>
        </w:r>
        <w:r w:rsidR="006A49A8">
          <w:rPr>
            <w:webHidden/>
          </w:rPr>
        </w:r>
        <w:r w:rsidR="006A49A8">
          <w:rPr>
            <w:webHidden/>
          </w:rPr>
          <w:fldChar w:fldCharType="separate"/>
        </w:r>
        <w:r>
          <w:rPr>
            <w:webHidden/>
          </w:rPr>
          <w:t>41</w:t>
        </w:r>
        <w:r w:rsidR="006A49A8">
          <w:rPr>
            <w:webHidden/>
          </w:rPr>
          <w:fldChar w:fldCharType="end"/>
        </w:r>
      </w:hyperlink>
    </w:p>
    <w:p w14:paraId="07F0522D" w14:textId="0A483FF1" w:rsidR="006A49A8" w:rsidRDefault="00024E24">
      <w:pPr>
        <w:pStyle w:val="TOC3"/>
        <w:rPr>
          <w:rFonts w:asciiTheme="minorHAnsi" w:eastAsiaTheme="minorEastAsia" w:hAnsiTheme="minorHAnsi" w:cstheme="minorBidi"/>
          <w:szCs w:val="22"/>
        </w:rPr>
      </w:pPr>
      <w:hyperlink w:anchor="_Toc440906288" w:history="1">
        <w:r w:rsidR="006A49A8" w:rsidRPr="00712F19">
          <w:rPr>
            <w:rStyle w:val="Hyperlink"/>
          </w:rPr>
          <w:t>8.1.2</w:t>
        </w:r>
        <w:r w:rsidR="006A49A8">
          <w:rPr>
            <w:rFonts w:asciiTheme="minorHAnsi" w:eastAsiaTheme="minorEastAsia" w:hAnsiTheme="minorHAnsi" w:cstheme="minorBidi"/>
            <w:szCs w:val="22"/>
          </w:rPr>
          <w:tab/>
        </w:r>
        <w:r w:rsidR="006A49A8" w:rsidRPr="00712F19">
          <w:rPr>
            <w:rStyle w:val="Hyperlink"/>
          </w:rPr>
          <w:t>Second Screening Visit</w:t>
        </w:r>
        <w:r w:rsidR="006A49A8">
          <w:rPr>
            <w:webHidden/>
          </w:rPr>
          <w:tab/>
        </w:r>
        <w:r w:rsidR="006A49A8">
          <w:rPr>
            <w:webHidden/>
          </w:rPr>
          <w:fldChar w:fldCharType="begin"/>
        </w:r>
        <w:r w:rsidR="006A49A8">
          <w:rPr>
            <w:webHidden/>
          </w:rPr>
          <w:instrText xml:space="preserve"> PAGEREF _Toc440906288 \h </w:instrText>
        </w:r>
        <w:r w:rsidR="006A49A8">
          <w:rPr>
            <w:webHidden/>
          </w:rPr>
        </w:r>
        <w:r w:rsidR="006A49A8">
          <w:rPr>
            <w:webHidden/>
          </w:rPr>
          <w:fldChar w:fldCharType="separate"/>
        </w:r>
        <w:r>
          <w:rPr>
            <w:webHidden/>
          </w:rPr>
          <w:t>41</w:t>
        </w:r>
        <w:r w:rsidR="006A49A8">
          <w:rPr>
            <w:webHidden/>
          </w:rPr>
          <w:fldChar w:fldCharType="end"/>
        </w:r>
      </w:hyperlink>
    </w:p>
    <w:p w14:paraId="298D3289" w14:textId="277086AC" w:rsidR="006A49A8" w:rsidRDefault="00024E24">
      <w:pPr>
        <w:pStyle w:val="TOC3"/>
        <w:rPr>
          <w:rFonts w:asciiTheme="minorHAnsi" w:eastAsiaTheme="minorEastAsia" w:hAnsiTheme="minorHAnsi" w:cstheme="minorBidi"/>
          <w:szCs w:val="22"/>
        </w:rPr>
      </w:pPr>
      <w:hyperlink w:anchor="_Toc440906289" w:history="1">
        <w:r w:rsidR="006A49A8" w:rsidRPr="00712F19">
          <w:rPr>
            <w:rStyle w:val="Hyperlink"/>
          </w:rPr>
          <w:t>8.1.3</w:t>
        </w:r>
        <w:r w:rsidR="006A49A8">
          <w:rPr>
            <w:rFonts w:asciiTheme="minorHAnsi" w:eastAsiaTheme="minorEastAsia" w:hAnsiTheme="minorHAnsi" w:cstheme="minorBidi"/>
            <w:szCs w:val="22"/>
          </w:rPr>
          <w:tab/>
        </w:r>
        <w:r w:rsidR="006A49A8" w:rsidRPr="00712F19">
          <w:rPr>
            <w:rStyle w:val="Hyperlink"/>
          </w:rPr>
          <w:t>Third Screening Visit</w:t>
        </w:r>
        <w:r w:rsidR="006A49A8">
          <w:rPr>
            <w:webHidden/>
          </w:rPr>
          <w:tab/>
        </w:r>
        <w:r w:rsidR="006A49A8">
          <w:rPr>
            <w:webHidden/>
          </w:rPr>
          <w:fldChar w:fldCharType="begin"/>
        </w:r>
        <w:r w:rsidR="006A49A8">
          <w:rPr>
            <w:webHidden/>
          </w:rPr>
          <w:instrText xml:space="preserve"> PAGEREF _Toc440906289 \h </w:instrText>
        </w:r>
        <w:r w:rsidR="006A49A8">
          <w:rPr>
            <w:webHidden/>
          </w:rPr>
        </w:r>
        <w:r w:rsidR="006A49A8">
          <w:rPr>
            <w:webHidden/>
          </w:rPr>
          <w:fldChar w:fldCharType="separate"/>
        </w:r>
        <w:r>
          <w:rPr>
            <w:webHidden/>
          </w:rPr>
          <w:t>42</w:t>
        </w:r>
        <w:r w:rsidR="006A49A8">
          <w:rPr>
            <w:webHidden/>
          </w:rPr>
          <w:fldChar w:fldCharType="end"/>
        </w:r>
      </w:hyperlink>
    </w:p>
    <w:p w14:paraId="28D86F5D" w14:textId="3306F2ED" w:rsidR="006A49A8" w:rsidRDefault="00024E24">
      <w:pPr>
        <w:pStyle w:val="TOC2"/>
        <w:rPr>
          <w:rFonts w:asciiTheme="minorHAnsi" w:eastAsiaTheme="minorEastAsia" w:hAnsiTheme="minorHAnsi" w:cstheme="minorBidi"/>
          <w:szCs w:val="22"/>
        </w:rPr>
      </w:pPr>
      <w:hyperlink w:anchor="_Toc440906290" w:history="1">
        <w:r w:rsidR="006A49A8" w:rsidRPr="00712F19">
          <w:rPr>
            <w:rStyle w:val="Hyperlink"/>
          </w:rPr>
          <w:t>8.2</w:t>
        </w:r>
        <w:r w:rsidR="006A49A8">
          <w:rPr>
            <w:rFonts w:asciiTheme="minorHAnsi" w:eastAsiaTheme="minorEastAsia" w:hAnsiTheme="minorHAnsi" w:cstheme="minorBidi"/>
            <w:szCs w:val="22"/>
          </w:rPr>
          <w:tab/>
        </w:r>
        <w:r w:rsidR="006A49A8" w:rsidRPr="00712F19">
          <w:rPr>
            <w:rStyle w:val="Hyperlink"/>
          </w:rPr>
          <w:t>Study Injection Phase Visits</w:t>
        </w:r>
        <w:r w:rsidR="006A49A8">
          <w:rPr>
            <w:webHidden/>
          </w:rPr>
          <w:tab/>
        </w:r>
        <w:r w:rsidR="006A49A8">
          <w:rPr>
            <w:webHidden/>
          </w:rPr>
          <w:fldChar w:fldCharType="begin"/>
        </w:r>
        <w:r w:rsidR="006A49A8">
          <w:rPr>
            <w:webHidden/>
          </w:rPr>
          <w:instrText xml:space="preserve"> PAGEREF _Toc440906290 \h </w:instrText>
        </w:r>
        <w:r w:rsidR="006A49A8">
          <w:rPr>
            <w:webHidden/>
          </w:rPr>
        </w:r>
        <w:r w:rsidR="006A49A8">
          <w:rPr>
            <w:webHidden/>
          </w:rPr>
          <w:fldChar w:fldCharType="separate"/>
        </w:r>
        <w:r>
          <w:rPr>
            <w:webHidden/>
          </w:rPr>
          <w:t>42</w:t>
        </w:r>
        <w:r w:rsidR="006A49A8">
          <w:rPr>
            <w:webHidden/>
          </w:rPr>
          <w:fldChar w:fldCharType="end"/>
        </w:r>
      </w:hyperlink>
    </w:p>
    <w:p w14:paraId="1235021A" w14:textId="69246E8E" w:rsidR="006A49A8" w:rsidRDefault="00024E24">
      <w:pPr>
        <w:pStyle w:val="TOC3"/>
        <w:rPr>
          <w:rFonts w:asciiTheme="minorHAnsi" w:eastAsiaTheme="minorEastAsia" w:hAnsiTheme="minorHAnsi" w:cstheme="minorBidi"/>
          <w:szCs w:val="22"/>
        </w:rPr>
      </w:pPr>
      <w:hyperlink w:anchor="_Toc440906291" w:history="1">
        <w:r w:rsidR="006A49A8" w:rsidRPr="00712F19">
          <w:rPr>
            <w:rStyle w:val="Hyperlink"/>
          </w:rPr>
          <w:t>8.2.1</w:t>
        </w:r>
        <w:r w:rsidR="006A49A8">
          <w:rPr>
            <w:rFonts w:asciiTheme="minorHAnsi" w:eastAsiaTheme="minorEastAsia" w:hAnsiTheme="minorHAnsi" w:cstheme="minorBidi"/>
            <w:szCs w:val="22"/>
          </w:rPr>
          <w:tab/>
        </w:r>
        <w:r w:rsidR="006A49A8" w:rsidRPr="00712F19">
          <w:rPr>
            <w:rStyle w:val="Hyperlink"/>
          </w:rPr>
          <w:t xml:space="preserve">Day 0 (within 28 days of the end of TB treatment date, </w:t>
        </w:r>
        <w:r w:rsidR="006A49A8" w:rsidRPr="00712F19">
          <w:rPr>
            <w:rStyle w:val="Hyperlink"/>
            <w:i/>
          </w:rPr>
          <w:t>and</w:t>
        </w:r>
        <w:r w:rsidR="006A49A8" w:rsidRPr="00712F19">
          <w:rPr>
            <w:rStyle w:val="Hyperlink"/>
          </w:rPr>
          <w:t xml:space="preserve"> within 28 days of the 3</w:t>
        </w:r>
        <w:r w:rsidR="006A49A8" w:rsidRPr="00712F19">
          <w:rPr>
            <w:rStyle w:val="Hyperlink"/>
            <w:vertAlign w:val="superscript"/>
          </w:rPr>
          <w:t>rd</w:t>
        </w:r>
        <w:r w:rsidR="006A49A8" w:rsidRPr="00712F19">
          <w:rPr>
            <w:rStyle w:val="Hyperlink"/>
          </w:rPr>
          <w:t xml:space="preserve"> screening visit evaluation)</w:t>
        </w:r>
        <w:r w:rsidR="006A49A8">
          <w:rPr>
            <w:webHidden/>
          </w:rPr>
          <w:tab/>
        </w:r>
        <w:r w:rsidR="006A49A8">
          <w:rPr>
            <w:webHidden/>
          </w:rPr>
          <w:fldChar w:fldCharType="begin"/>
        </w:r>
        <w:r w:rsidR="006A49A8">
          <w:rPr>
            <w:webHidden/>
          </w:rPr>
          <w:instrText xml:space="preserve"> PAGEREF _Toc440906291 \h </w:instrText>
        </w:r>
        <w:r w:rsidR="006A49A8">
          <w:rPr>
            <w:webHidden/>
          </w:rPr>
        </w:r>
        <w:r w:rsidR="006A49A8">
          <w:rPr>
            <w:webHidden/>
          </w:rPr>
          <w:fldChar w:fldCharType="separate"/>
        </w:r>
        <w:r>
          <w:rPr>
            <w:webHidden/>
          </w:rPr>
          <w:t>42</w:t>
        </w:r>
        <w:r w:rsidR="006A49A8">
          <w:rPr>
            <w:webHidden/>
          </w:rPr>
          <w:fldChar w:fldCharType="end"/>
        </w:r>
      </w:hyperlink>
    </w:p>
    <w:p w14:paraId="169E6595" w14:textId="0F94FB9B" w:rsidR="006A49A8" w:rsidRDefault="00024E24">
      <w:pPr>
        <w:pStyle w:val="TOC3"/>
        <w:rPr>
          <w:rFonts w:asciiTheme="minorHAnsi" w:eastAsiaTheme="minorEastAsia" w:hAnsiTheme="minorHAnsi" w:cstheme="minorBidi"/>
          <w:szCs w:val="22"/>
        </w:rPr>
      </w:pPr>
      <w:hyperlink w:anchor="_Toc440906292" w:history="1">
        <w:r w:rsidR="006A49A8" w:rsidRPr="00712F19">
          <w:rPr>
            <w:rStyle w:val="Hyperlink"/>
          </w:rPr>
          <w:t>8.2.2</w:t>
        </w:r>
        <w:r w:rsidR="006A49A8">
          <w:rPr>
            <w:rFonts w:asciiTheme="minorHAnsi" w:eastAsiaTheme="minorEastAsia" w:hAnsiTheme="minorHAnsi" w:cstheme="minorBidi"/>
            <w:szCs w:val="22"/>
          </w:rPr>
          <w:tab/>
        </w:r>
        <w:r w:rsidR="006A49A8" w:rsidRPr="00712F19">
          <w:rPr>
            <w:rStyle w:val="Hyperlink"/>
          </w:rPr>
          <w:t>Day 3</w:t>
        </w:r>
        <w:r w:rsidR="006A49A8">
          <w:rPr>
            <w:webHidden/>
          </w:rPr>
          <w:tab/>
        </w:r>
        <w:r w:rsidR="006A49A8">
          <w:rPr>
            <w:webHidden/>
          </w:rPr>
          <w:fldChar w:fldCharType="begin"/>
        </w:r>
        <w:r w:rsidR="006A49A8">
          <w:rPr>
            <w:webHidden/>
          </w:rPr>
          <w:instrText xml:space="preserve"> PAGEREF _Toc440906292 \h </w:instrText>
        </w:r>
        <w:r w:rsidR="006A49A8">
          <w:rPr>
            <w:webHidden/>
          </w:rPr>
        </w:r>
        <w:r w:rsidR="006A49A8">
          <w:rPr>
            <w:webHidden/>
          </w:rPr>
          <w:fldChar w:fldCharType="separate"/>
        </w:r>
        <w:r>
          <w:rPr>
            <w:webHidden/>
          </w:rPr>
          <w:t>43</w:t>
        </w:r>
        <w:r w:rsidR="006A49A8">
          <w:rPr>
            <w:webHidden/>
          </w:rPr>
          <w:fldChar w:fldCharType="end"/>
        </w:r>
      </w:hyperlink>
    </w:p>
    <w:p w14:paraId="55ABB934" w14:textId="49ED855B" w:rsidR="006A49A8" w:rsidRDefault="00024E24">
      <w:pPr>
        <w:pStyle w:val="TOC3"/>
        <w:rPr>
          <w:rFonts w:asciiTheme="minorHAnsi" w:eastAsiaTheme="minorEastAsia" w:hAnsiTheme="minorHAnsi" w:cstheme="minorBidi"/>
          <w:szCs w:val="22"/>
        </w:rPr>
      </w:pPr>
      <w:hyperlink w:anchor="_Toc440906293" w:history="1">
        <w:r w:rsidR="006A49A8" w:rsidRPr="00712F19">
          <w:rPr>
            <w:rStyle w:val="Hyperlink"/>
          </w:rPr>
          <w:t>8.2.3</w:t>
        </w:r>
        <w:r w:rsidR="006A49A8">
          <w:rPr>
            <w:rFonts w:asciiTheme="minorHAnsi" w:eastAsiaTheme="minorEastAsia" w:hAnsiTheme="minorHAnsi" w:cstheme="minorBidi"/>
            <w:szCs w:val="22"/>
          </w:rPr>
          <w:tab/>
        </w:r>
        <w:r w:rsidR="006A49A8" w:rsidRPr="00712F19">
          <w:rPr>
            <w:rStyle w:val="Hyperlink"/>
          </w:rPr>
          <w:t>Day 7 (±1)</w:t>
        </w:r>
        <w:r w:rsidR="006A49A8">
          <w:rPr>
            <w:webHidden/>
          </w:rPr>
          <w:tab/>
        </w:r>
        <w:r w:rsidR="006A49A8">
          <w:rPr>
            <w:webHidden/>
          </w:rPr>
          <w:fldChar w:fldCharType="begin"/>
        </w:r>
        <w:r w:rsidR="006A49A8">
          <w:rPr>
            <w:webHidden/>
          </w:rPr>
          <w:instrText xml:space="preserve"> PAGEREF _Toc440906293 \h </w:instrText>
        </w:r>
        <w:r w:rsidR="006A49A8">
          <w:rPr>
            <w:webHidden/>
          </w:rPr>
        </w:r>
        <w:r w:rsidR="006A49A8">
          <w:rPr>
            <w:webHidden/>
          </w:rPr>
          <w:fldChar w:fldCharType="separate"/>
        </w:r>
        <w:r>
          <w:rPr>
            <w:webHidden/>
          </w:rPr>
          <w:t>43</w:t>
        </w:r>
        <w:r w:rsidR="006A49A8">
          <w:rPr>
            <w:webHidden/>
          </w:rPr>
          <w:fldChar w:fldCharType="end"/>
        </w:r>
      </w:hyperlink>
    </w:p>
    <w:p w14:paraId="37ECE2F2" w14:textId="04F5D5F2" w:rsidR="006A49A8" w:rsidRDefault="00024E24">
      <w:pPr>
        <w:pStyle w:val="TOC3"/>
        <w:rPr>
          <w:rFonts w:asciiTheme="minorHAnsi" w:eastAsiaTheme="minorEastAsia" w:hAnsiTheme="minorHAnsi" w:cstheme="minorBidi"/>
          <w:szCs w:val="22"/>
        </w:rPr>
      </w:pPr>
      <w:hyperlink w:anchor="_Toc440906294" w:history="1">
        <w:r w:rsidR="006A49A8" w:rsidRPr="00712F19">
          <w:rPr>
            <w:rStyle w:val="Hyperlink"/>
          </w:rPr>
          <w:t>8.2.4</w:t>
        </w:r>
        <w:r w:rsidR="006A49A8">
          <w:rPr>
            <w:rFonts w:asciiTheme="minorHAnsi" w:eastAsiaTheme="minorEastAsia" w:hAnsiTheme="minorHAnsi" w:cstheme="minorBidi"/>
            <w:szCs w:val="22"/>
          </w:rPr>
          <w:tab/>
        </w:r>
        <w:r w:rsidR="006A49A8" w:rsidRPr="00712F19">
          <w:rPr>
            <w:rStyle w:val="Hyperlink"/>
          </w:rPr>
          <w:t>Day 14 (± 1)</w:t>
        </w:r>
        <w:r w:rsidR="006A49A8">
          <w:rPr>
            <w:webHidden/>
          </w:rPr>
          <w:tab/>
        </w:r>
        <w:r w:rsidR="006A49A8">
          <w:rPr>
            <w:webHidden/>
          </w:rPr>
          <w:fldChar w:fldCharType="begin"/>
        </w:r>
        <w:r w:rsidR="006A49A8">
          <w:rPr>
            <w:webHidden/>
          </w:rPr>
          <w:instrText xml:space="preserve"> PAGEREF _Toc440906294 \h </w:instrText>
        </w:r>
        <w:r w:rsidR="006A49A8">
          <w:rPr>
            <w:webHidden/>
          </w:rPr>
        </w:r>
        <w:r w:rsidR="006A49A8">
          <w:rPr>
            <w:webHidden/>
          </w:rPr>
          <w:fldChar w:fldCharType="separate"/>
        </w:r>
        <w:r>
          <w:rPr>
            <w:webHidden/>
          </w:rPr>
          <w:t>43</w:t>
        </w:r>
        <w:r w:rsidR="006A49A8">
          <w:rPr>
            <w:webHidden/>
          </w:rPr>
          <w:fldChar w:fldCharType="end"/>
        </w:r>
      </w:hyperlink>
    </w:p>
    <w:p w14:paraId="15CB3CB4" w14:textId="0D95B45C" w:rsidR="006A49A8" w:rsidRDefault="00024E24">
      <w:pPr>
        <w:pStyle w:val="TOC3"/>
        <w:rPr>
          <w:rFonts w:asciiTheme="minorHAnsi" w:eastAsiaTheme="minorEastAsia" w:hAnsiTheme="minorHAnsi" w:cstheme="minorBidi"/>
          <w:szCs w:val="22"/>
        </w:rPr>
      </w:pPr>
      <w:hyperlink w:anchor="_Toc440906295" w:history="1">
        <w:r w:rsidR="006A49A8" w:rsidRPr="00712F19">
          <w:rPr>
            <w:rStyle w:val="Hyperlink"/>
          </w:rPr>
          <w:t>8.2.5</w:t>
        </w:r>
        <w:r w:rsidR="006A49A8">
          <w:rPr>
            <w:rFonts w:asciiTheme="minorHAnsi" w:eastAsiaTheme="minorEastAsia" w:hAnsiTheme="minorHAnsi" w:cstheme="minorBidi"/>
            <w:szCs w:val="22"/>
          </w:rPr>
          <w:tab/>
        </w:r>
        <w:r w:rsidR="006A49A8" w:rsidRPr="00712F19">
          <w:rPr>
            <w:rStyle w:val="Hyperlink"/>
          </w:rPr>
          <w:t>Day 28 (± 3) Cohorts 1 and 2</w:t>
        </w:r>
        <w:r w:rsidR="006A49A8">
          <w:rPr>
            <w:webHidden/>
          </w:rPr>
          <w:tab/>
        </w:r>
        <w:r w:rsidR="006A49A8">
          <w:rPr>
            <w:webHidden/>
          </w:rPr>
          <w:fldChar w:fldCharType="begin"/>
        </w:r>
        <w:r w:rsidR="006A49A8">
          <w:rPr>
            <w:webHidden/>
          </w:rPr>
          <w:instrText xml:space="preserve"> PAGEREF _Toc440906295 \h </w:instrText>
        </w:r>
        <w:r w:rsidR="006A49A8">
          <w:rPr>
            <w:webHidden/>
          </w:rPr>
        </w:r>
        <w:r w:rsidR="006A49A8">
          <w:rPr>
            <w:webHidden/>
          </w:rPr>
          <w:fldChar w:fldCharType="separate"/>
        </w:r>
        <w:r>
          <w:rPr>
            <w:webHidden/>
          </w:rPr>
          <w:t>44</w:t>
        </w:r>
        <w:r w:rsidR="006A49A8">
          <w:rPr>
            <w:webHidden/>
          </w:rPr>
          <w:fldChar w:fldCharType="end"/>
        </w:r>
      </w:hyperlink>
    </w:p>
    <w:p w14:paraId="30E47040" w14:textId="5E234F0B" w:rsidR="006A49A8" w:rsidRDefault="00024E24">
      <w:pPr>
        <w:pStyle w:val="TOC3"/>
        <w:rPr>
          <w:rFonts w:asciiTheme="minorHAnsi" w:eastAsiaTheme="minorEastAsia" w:hAnsiTheme="minorHAnsi" w:cstheme="minorBidi"/>
          <w:szCs w:val="22"/>
        </w:rPr>
      </w:pPr>
      <w:hyperlink w:anchor="_Toc440906296" w:history="1">
        <w:r w:rsidR="006A49A8" w:rsidRPr="00712F19">
          <w:rPr>
            <w:rStyle w:val="Hyperlink"/>
          </w:rPr>
          <w:t>8.2.6</w:t>
        </w:r>
        <w:r w:rsidR="006A49A8">
          <w:rPr>
            <w:rFonts w:asciiTheme="minorHAnsi" w:eastAsiaTheme="minorEastAsia" w:hAnsiTheme="minorHAnsi" w:cstheme="minorBidi"/>
            <w:szCs w:val="22"/>
          </w:rPr>
          <w:tab/>
        </w:r>
        <w:r w:rsidR="006A49A8" w:rsidRPr="00712F19">
          <w:rPr>
            <w:rStyle w:val="Hyperlink"/>
          </w:rPr>
          <w:t>Day 28 (± 3) Cohort 3 only</w:t>
        </w:r>
        <w:r w:rsidR="006A49A8">
          <w:rPr>
            <w:webHidden/>
          </w:rPr>
          <w:tab/>
        </w:r>
        <w:r w:rsidR="006A49A8">
          <w:rPr>
            <w:webHidden/>
          </w:rPr>
          <w:fldChar w:fldCharType="begin"/>
        </w:r>
        <w:r w:rsidR="006A49A8">
          <w:rPr>
            <w:webHidden/>
          </w:rPr>
          <w:instrText xml:space="preserve"> PAGEREF _Toc440906296 \h </w:instrText>
        </w:r>
        <w:r w:rsidR="006A49A8">
          <w:rPr>
            <w:webHidden/>
          </w:rPr>
        </w:r>
        <w:r w:rsidR="006A49A8">
          <w:rPr>
            <w:webHidden/>
          </w:rPr>
          <w:fldChar w:fldCharType="separate"/>
        </w:r>
        <w:r>
          <w:rPr>
            <w:webHidden/>
          </w:rPr>
          <w:t>44</w:t>
        </w:r>
        <w:r w:rsidR="006A49A8">
          <w:rPr>
            <w:webHidden/>
          </w:rPr>
          <w:fldChar w:fldCharType="end"/>
        </w:r>
      </w:hyperlink>
    </w:p>
    <w:p w14:paraId="46B31D31" w14:textId="071136F9" w:rsidR="006A49A8" w:rsidRDefault="00024E24">
      <w:pPr>
        <w:pStyle w:val="TOC3"/>
        <w:rPr>
          <w:rFonts w:asciiTheme="minorHAnsi" w:eastAsiaTheme="minorEastAsia" w:hAnsiTheme="minorHAnsi" w:cstheme="minorBidi"/>
          <w:szCs w:val="22"/>
        </w:rPr>
      </w:pPr>
      <w:hyperlink w:anchor="_Toc440906297" w:history="1">
        <w:r w:rsidR="006A49A8" w:rsidRPr="00712F19">
          <w:rPr>
            <w:rStyle w:val="Hyperlink"/>
          </w:rPr>
          <w:t>8.2.7</w:t>
        </w:r>
        <w:r w:rsidR="006A49A8">
          <w:rPr>
            <w:rFonts w:asciiTheme="minorHAnsi" w:eastAsiaTheme="minorEastAsia" w:hAnsiTheme="minorHAnsi" w:cstheme="minorBidi"/>
            <w:szCs w:val="22"/>
          </w:rPr>
          <w:tab/>
        </w:r>
        <w:r w:rsidR="006A49A8" w:rsidRPr="00712F19">
          <w:rPr>
            <w:rStyle w:val="Hyperlink"/>
          </w:rPr>
          <w:t>Day 31 (3 days from Day 28 visit) Cohort 3 only</w:t>
        </w:r>
        <w:r w:rsidR="006A49A8">
          <w:rPr>
            <w:webHidden/>
          </w:rPr>
          <w:tab/>
        </w:r>
        <w:r w:rsidR="006A49A8">
          <w:rPr>
            <w:webHidden/>
          </w:rPr>
          <w:fldChar w:fldCharType="begin"/>
        </w:r>
        <w:r w:rsidR="006A49A8">
          <w:rPr>
            <w:webHidden/>
          </w:rPr>
          <w:instrText xml:space="preserve"> PAGEREF _Toc440906297 \h </w:instrText>
        </w:r>
        <w:r w:rsidR="006A49A8">
          <w:rPr>
            <w:webHidden/>
          </w:rPr>
        </w:r>
        <w:r w:rsidR="006A49A8">
          <w:rPr>
            <w:webHidden/>
          </w:rPr>
          <w:fldChar w:fldCharType="separate"/>
        </w:r>
        <w:r>
          <w:rPr>
            <w:webHidden/>
          </w:rPr>
          <w:t>44</w:t>
        </w:r>
        <w:r w:rsidR="006A49A8">
          <w:rPr>
            <w:webHidden/>
          </w:rPr>
          <w:fldChar w:fldCharType="end"/>
        </w:r>
      </w:hyperlink>
    </w:p>
    <w:p w14:paraId="6073C7C0" w14:textId="72D34F24" w:rsidR="006A49A8" w:rsidRDefault="00024E24">
      <w:pPr>
        <w:pStyle w:val="TOC3"/>
        <w:rPr>
          <w:rFonts w:asciiTheme="minorHAnsi" w:eastAsiaTheme="minorEastAsia" w:hAnsiTheme="minorHAnsi" w:cstheme="minorBidi"/>
          <w:szCs w:val="22"/>
        </w:rPr>
      </w:pPr>
      <w:hyperlink w:anchor="_Toc440906298" w:history="1">
        <w:r w:rsidR="006A49A8" w:rsidRPr="00712F19">
          <w:rPr>
            <w:rStyle w:val="Hyperlink"/>
          </w:rPr>
          <w:t>8.2.8</w:t>
        </w:r>
        <w:r w:rsidR="006A49A8">
          <w:rPr>
            <w:rFonts w:asciiTheme="minorHAnsi" w:eastAsiaTheme="minorEastAsia" w:hAnsiTheme="minorHAnsi" w:cstheme="minorBidi"/>
            <w:szCs w:val="22"/>
          </w:rPr>
          <w:tab/>
        </w:r>
        <w:r w:rsidR="006A49A8" w:rsidRPr="00712F19">
          <w:rPr>
            <w:rStyle w:val="Hyperlink"/>
          </w:rPr>
          <w:t>Day 35 (7 days ±1 from Day 28 visit) Cohort 3 only</w:t>
        </w:r>
        <w:r w:rsidR="006A49A8">
          <w:rPr>
            <w:webHidden/>
          </w:rPr>
          <w:tab/>
        </w:r>
        <w:r w:rsidR="006A49A8">
          <w:rPr>
            <w:webHidden/>
          </w:rPr>
          <w:fldChar w:fldCharType="begin"/>
        </w:r>
        <w:r w:rsidR="006A49A8">
          <w:rPr>
            <w:webHidden/>
          </w:rPr>
          <w:instrText xml:space="preserve"> PAGEREF _Toc440906298 \h </w:instrText>
        </w:r>
        <w:r w:rsidR="006A49A8">
          <w:rPr>
            <w:webHidden/>
          </w:rPr>
        </w:r>
        <w:r w:rsidR="006A49A8">
          <w:rPr>
            <w:webHidden/>
          </w:rPr>
          <w:fldChar w:fldCharType="separate"/>
        </w:r>
        <w:r>
          <w:rPr>
            <w:webHidden/>
          </w:rPr>
          <w:t>45</w:t>
        </w:r>
        <w:r w:rsidR="006A49A8">
          <w:rPr>
            <w:webHidden/>
          </w:rPr>
          <w:fldChar w:fldCharType="end"/>
        </w:r>
      </w:hyperlink>
    </w:p>
    <w:p w14:paraId="54C3009E" w14:textId="45EC34BC" w:rsidR="006A49A8" w:rsidRDefault="00024E24">
      <w:pPr>
        <w:pStyle w:val="TOC3"/>
        <w:rPr>
          <w:rFonts w:asciiTheme="minorHAnsi" w:eastAsiaTheme="minorEastAsia" w:hAnsiTheme="minorHAnsi" w:cstheme="minorBidi"/>
          <w:szCs w:val="22"/>
        </w:rPr>
      </w:pPr>
      <w:hyperlink w:anchor="_Toc440906299" w:history="1">
        <w:r w:rsidR="006A49A8" w:rsidRPr="00712F19">
          <w:rPr>
            <w:rStyle w:val="Hyperlink"/>
          </w:rPr>
          <w:t>8.2.9</w:t>
        </w:r>
        <w:r w:rsidR="006A49A8">
          <w:rPr>
            <w:rFonts w:asciiTheme="minorHAnsi" w:eastAsiaTheme="minorEastAsia" w:hAnsiTheme="minorHAnsi" w:cstheme="minorBidi"/>
            <w:szCs w:val="22"/>
          </w:rPr>
          <w:tab/>
        </w:r>
        <w:r w:rsidR="006A49A8" w:rsidRPr="00712F19">
          <w:rPr>
            <w:rStyle w:val="Hyperlink"/>
          </w:rPr>
          <w:t>Day 42 (14 days ±1 from Day 28 visit) Cohort 3 only</w:t>
        </w:r>
        <w:r w:rsidR="006A49A8">
          <w:rPr>
            <w:webHidden/>
          </w:rPr>
          <w:tab/>
        </w:r>
        <w:r w:rsidR="006A49A8">
          <w:rPr>
            <w:webHidden/>
          </w:rPr>
          <w:fldChar w:fldCharType="begin"/>
        </w:r>
        <w:r w:rsidR="006A49A8">
          <w:rPr>
            <w:webHidden/>
          </w:rPr>
          <w:instrText xml:space="preserve"> PAGEREF _Toc440906299 \h </w:instrText>
        </w:r>
        <w:r w:rsidR="006A49A8">
          <w:rPr>
            <w:webHidden/>
          </w:rPr>
        </w:r>
        <w:r w:rsidR="006A49A8">
          <w:rPr>
            <w:webHidden/>
          </w:rPr>
          <w:fldChar w:fldCharType="separate"/>
        </w:r>
        <w:r>
          <w:rPr>
            <w:webHidden/>
          </w:rPr>
          <w:t>45</w:t>
        </w:r>
        <w:r w:rsidR="006A49A8">
          <w:rPr>
            <w:webHidden/>
          </w:rPr>
          <w:fldChar w:fldCharType="end"/>
        </w:r>
      </w:hyperlink>
    </w:p>
    <w:p w14:paraId="57FB8E81" w14:textId="2337C397" w:rsidR="006A49A8" w:rsidRDefault="00024E24">
      <w:pPr>
        <w:pStyle w:val="TOC3"/>
        <w:rPr>
          <w:rFonts w:asciiTheme="minorHAnsi" w:eastAsiaTheme="minorEastAsia" w:hAnsiTheme="minorHAnsi" w:cstheme="minorBidi"/>
          <w:szCs w:val="22"/>
        </w:rPr>
      </w:pPr>
      <w:hyperlink w:anchor="_Toc440906300" w:history="1">
        <w:r w:rsidR="006A49A8" w:rsidRPr="00712F19">
          <w:rPr>
            <w:rStyle w:val="Hyperlink"/>
          </w:rPr>
          <w:t>8.2.10</w:t>
        </w:r>
        <w:r w:rsidR="006A49A8">
          <w:rPr>
            <w:rFonts w:asciiTheme="minorHAnsi" w:eastAsiaTheme="minorEastAsia" w:hAnsiTheme="minorHAnsi" w:cstheme="minorBidi"/>
            <w:szCs w:val="22"/>
          </w:rPr>
          <w:tab/>
        </w:r>
        <w:r w:rsidR="006A49A8" w:rsidRPr="00712F19">
          <w:rPr>
            <w:rStyle w:val="Hyperlink"/>
          </w:rPr>
          <w:t>Day 56 (± 3)</w:t>
        </w:r>
        <w:r w:rsidR="006A49A8">
          <w:rPr>
            <w:webHidden/>
          </w:rPr>
          <w:tab/>
        </w:r>
        <w:r w:rsidR="006A49A8">
          <w:rPr>
            <w:webHidden/>
          </w:rPr>
          <w:fldChar w:fldCharType="begin"/>
        </w:r>
        <w:r w:rsidR="006A49A8">
          <w:rPr>
            <w:webHidden/>
          </w:rPr>
          <w:instrText xml:space="preserve"> PAGEREF _Toc440906300 \h </w:instrText>
        </w:r>
        <w:r w:rsidR="006A49A8">
          <w:rPr>
            <w:webHidden/>
          </w:rPr>
        </w:r>
        <w:r w:rsidR="006A49A8">
          <w:rPr>
            <w:webHidden/>
          </w:rPr>
          <w:fldChar w:fldCharType="separate"/>
        </w:r>
        <w:r>
          <w:rPr>
            <w:webHidden/>
          </w:rPr>
          <w:t>45</w:t>
        </w:r>
        <w:r w:rsidR="006A49A8">
          <w:rPr>
            <w:webHidden/>
          </w:rPr>
          <w:fldChar w:fldCharType="end"/>
        </w:r>
      </w:hyperlink>
    </w:p>
    <w:p w14:paraId="6896D449" w14:textId="05BB7B52" w:rsidR="006A49A8" w:rsidRDefault="00024E24">
      <w:pPr>
        <w:pStyle w:val="TOC3"/>
        <w:rPr>
          <w:rFonts w:asciiTheme="minorHAnsi" w:eastAsiaTheme="minorEastAsia" w:hAnsiTheme="minorHAnsi" w:cstheme="minorBidi"/>
          <w:szCs w:val="22"/>
        </w:rPr>
      </w:pPr>
      <w:hyperlink w:anchor="_Toc440906301" w:history="1">
        <w:r w:rsidR="006A49A8" w:rsidRPr="00712F19">
          <w:rPr>
            <w:rStyle w:val="Hyperlink"/>
          </w:rPr>
          <w:t>8.2.11</w:t>
        </w:r>
        <w:r w:rsidR="006A49A8">
          <w:rPr>
            <w:rFonts w:asciiTheme="minorHAnsi" w:eastAsiaTheme="minorEastAsia" w:hAnsiTheme="minorHAnsi" w:cstheme="minorBidi"/>
            <w:szCs w:val="22"/>
          </w:rPr>
          <w:tab/>
        </w:r>
        <w:r w:rsidR="006A49A8" w:rsidRPr="00712F19">
          <w:rPr>
            <w:rStyle w:val="Hyperlink"/>
          </w:rPr>
          <w:t>Day 59 (3 days from Day 56 visit)</w:t>
        </w:r>
        <w:r w:rsidR="006A49A8">
          <w:rPr>
            <w:webHidden/>
          </w:rPr>
          <w:tab/>
        </w:r>
        <w:r w:rsidR="006A49A8">
          <w:rPr>
            <w:webHidden/>
          </w:rPr>
          <w:fldChar w:fldCharType="begin"/>
        </w:r>
        <w:r w:rsidR="006A49A8">
          <w:rPr>
            <w:webHidden/>
          </w:rPr>
          <w:instrText xml:space="preserve"> PAGEREF _Toc440906301 \h </w:instrText>
        </w:r>
        <w:r w:rsidR="006A49A8">
          <w:rPr>
            <w:webHidden/>
          </w:rPr>
        </w:r>
        <w:r w:rsidR="006A49A8">
          <w:rPr>
            <w:webHidden/>
          </w:rPr>
          <w:fldChar w:fldCharType="separate"/>
        </w:r>
        <w:r>
          <w:rPr>
            <w:webHidden/>
          </w:rPr>
          <w:t>46</w:t>
        </w:r>
        <w:r w:rsidR="006A49A8">
          <w:rPr>
            <w:webHidden/>
          </w:rPr>
          <w:fldChar w:fldCharType="end"/>
        </w:r>
      </w:hyperlink>
    </w:p>
    <w:p w14:paraId="7D5AE429" w14:textId="56D2A8D9" w:rsidR="006A49A8" w:rsidRDefault="00024E24">
      <w:pPr>
        <w:pStyle w:val="TOC3"/>
        <w:rPr>
          <w:rFonts w:asciiTheme="minorHAnsi" w:eastAsiaTheme="minorEastAsia" w:hAnsiTheme="minorHAnsi" w:cstheme="minorBidi"/>
          <w:szCs w:val="22"/>
        </w:rPr>
      </w:pPr>
      <w:hyperlink w:anchor="_Toc440906302" w:history="1">
        <w:r w:rsidR="006A49A8" w:rsidRPr="00712F19">
          <w:rPr>
            <w:rStyle w:val="Hyperlink"/>
          </w:rPr>
          <w:t>8.2.12</w:t>
        </w:r>
        <w:r w:rsidR="006A49A8">
          <w:rPr>
            <w:rFonts w:asciiTheme="minorHAnsi" w:eastAsiaTheme="minorEastAsia" w:hAnsiTheme="minorHAnsi" w:cstheme="minorBidi"/>
            <w:szCs w:val="22"/>
          </w:rPr>
          <w:tab/>
        </w:r>
        <w:r w:rsidR="006A49A8" w:rsidRPr="00712F19">
          <w:rPr>
            <w:rStyle w:val="Hyperlink"/>
          </w:rPr>
          <w:t>Day 63 (7 days ±1 from Day 56 visit)</w:t>
        </w:r>
        <w:r w:rsidR="006A49A8">
          <w:rPr>
            <w:webHidden/>
          </w:rPr>
          <w:tab/>
        </w:r>
        <w:r w:rsidR="006A49A8">
          <w:rPr>
            <w:webHidden/>
          </w:rPr>
          <w:fldChar w:fldCharType="begin"/>
        </w:r>
        <w:r w:rsidR="006A49A8">
          <w:rPr>
            <w:webHidden/>
          </w:rPr>
          <w:instrText xml:space="preserve"> PAGEREF _Toc440906302 \h </w:instrText>
        </w:r>
        <w:r w:rsidR="006A49A8">
          <w:rPr>
            <w:webHidden/>
          </w:rPr>
        </w:r>
        <w:r w:rsidR="006A49A8">
          <w:rPr>
            <w:webHidden/>
          </w:rPr>
          <w:fldChar w:fldCharType="separate"/>
        </w:r>
        <w:r>
          <w:rPr>
            <w:webHidden/>
          </w:rPr>
          <w:t>46</w:t>
        </w:r>
        <w:r w:rsidR="006A49A8">
          <w:rPr>
            <w:webHidden/>
          </w:rPr>
          <w:fldChar w:fldCharType="end"/>
        </w:r>
      </w:hyperlink>
    </w:p>
    <w:p w14:paraId="22EFEB76" w14:textId="43FA5881" w:rsidR="006A49A8" w:rsidRDefault="00024E24">
      <w:pPr>
        <w:pStyle w:val="TOC3"/>
        <w:rPr>
          <w:rFonts w:asciiTheme="minorHAnsi" w:eastAsiaTheme="minorEastAsia" w:hAnsiTheme="minorHAnsi" w:cstheme="minorBidi"/>
          <w:szCs w:val="22"/>
        </w:rPr>
      </w:pPr>
      <w:hyperlink w:anchor="_Toc440906303" w:history="1">
        <w:r w:rsidR="006A49A8" w:rsidRPr="00712F19">
          <w:rPr>
            <w:rStyle w:val="Hyperlink"/>
          </w:rPr>
          <w:t>8.2.13</w:t>
        </w:r>
        <w:r w:rsidR="006A49A8">
          <w:rPr>
            <w:rFonts w:asciiTheme="minorHAnsi" w:eastAsiaTheme="minorEastAsia" w:hAnsiTheme="minorHAnsi" w:cstheme="minorBidi"/>
            <w:szCs w:val="22"/>
          </w:rPr>
          <w:tab/>
        </w:r>
        <w:r w:rsidR="006A49A8" w:rsidRPr="00712F19">
          <w:rPr>
            <w:rStyle w:val="Hyperlink"/>
          </w:rPr>
          <w:t>Day 70 (14 days ±1 from Day 56 visit)</w:t>
        </w:r>
        <w:r w:rsidR="006A49A8">
          <w:rPr>
            <w:webHidden/>
          </w:rPr>
          <w:tab/>
        </w:r>
        <w:r w:rsidR="006A49A8">
          <w:rPr>
            <w:webHidden/>
          </w:rPr>
          <w:fldChar w:fldCharType="begin"/>
        </w:r>
        <w:r w:rsidR="006A49A8">
          <w:rPr>
            <w:webHidden/>
          </w:rPr>
          <w:instrText xml:space="preserve"> PAGEREF _Toc440906303 \h </w:instrText>
        </w:r>
        <w:r w:rsidR="006A49A8">
          <w:rPr>
            <w:webHidden/>
          </w:rPr>
        </w:r>
        <w:r w:rsidR="006A49A8">
          <w:rPr>
            <w:webHidden/>
          </w:rPr>
          <w:fldChar w:fldCharType="separate"/>
        </w:r>
        <w:r>
          <w:rPr>
            <w:webHidden/>
          </w:rPr>
          <w:t>46</w:t>
        </w:r>
        <w:r w:rsidR="006A49A8">
          <w:rPr>
            <w:webHidden/>
          </w:rPr>
          <w:fldChar w:fldCharType="end"/>
        </w:r>
      </w:hyperlink>
    </w:p>
    <w:p w14:paraId="6928DD5D" w14:textId="1798348A" w:rsidR="006A49A8" w:rsidRDefault="00024E24">
      <w:pPr>
        <w:pStyle w:val="TOC3"/>
        <w:rPr>
          <w:rFonts w:asciiTheme="minorHAnsi" w:eastAsiaTheme="minorEastAsia" w:hAnsiTheme="minorHAnsi" w:cstheme="minorBidi"/>
          <w:szCs w:val="22"/>
        </w:rPr>
      </w:pPr>
      <w:hyperlink w:anchor="_Toc440906304" w:history="1">
        <w:r w:rsidR="006A49A8" w:rsidRPr="00712F19">
          <w:rPr>
            <w:rStyle w:val="Hyperlink"/>
          </w:rPr>
          <w:t>8.2.14</w:t>
        </w:r>
        <w:r w:rsidR="006A49A8">
          <w:rPr>
            <w:rFonts w:asciiTheme="minorHAnsi" w:eastAsiaTheme="minorEastAsia" w:hAnsiTheme="minorHAnsi" w:cstheme="minorBidi"/>
            <w:szCs w:val="22"/>
          </w:rPr>
          <w:tab/>
        </w:r>
        <w:r w:rsidR="006A49A8" w:rsidRPr="00712F19">
          <w:rPr>
            <w:rStyle w:val="Hyperlink"/>
          </w:rPr>
          <w:t>Day 84 (±3)</w:t>
        </w:r>
        <w:r w:rsidR="006A49A8">
          <w:rPr>
            <w:webHidden/>
          </w:rPr>
          <w:tab/>
        </w:r>
        <w:r w:rsidR="006A49A8">
          <w:rPr>
            <w:webHidden/>
          </w:rPr>
          <w:fldChar w:fldCharType="begin"/>
        </w:r>
        <w:r w:rsidR="006A49A8">
          <w:rPr>
            <w:webHidden/>
          </w:rPr>
          <w:instrText xml:space="preserve"> PAGEREF _Toc440906304 \h </w:instrText>
        </w:r>
        <w:r w:rsidR="006A49A8">
          <w:rPr>
            <w:webHidden/>
          </w:rPr>
        </w:r>
        <w:r w:rsidR="006A49A8">
          <w:rPr>
            <w:webHidden/>
          </w:rPr>
          <w:fldChar w:fldCharType="separate"/>
        </w:r>
        <w:r>
          <w:rPr>
            <w:webHidden/>
          </w:rPr>
          <w:t>47</w:t>
        </w:r>
        <w:r w:rsidR="006A49A8">
          <w:rPr>
            <w:webHidden/>
          </w:rPr>
          <w:fldChar w:fldCharType="end"/>
        </w:r>
      </w:hyperlink>
    </w:p>
    <w:p w14:paraId="5FC12E45" w14:textId="1CE27416" w:rsidR="006A49A8" w:rsidRDefault="00024E24">
      <w:pPr>
        <w:pStyle w:val="TOC3"/>
        <w:rPr>
          <w:rFonts w:asciiTheme="minorHAnsi" w:eastAsiaTheme="minorEastAsia" w:hAnsiTheme="minorHAnsi" w:cstheme="minorBidi"/>
          <w:szCs w:val="22"/>
        </w:rPr>
      </w:pPr>
      <w:hyperlink w:anchor="_Toc440906305" w:history="1">
        <w:r w:rsidR="006A49A8" w:rsidRPr="00712F19">
          <w:rPr>
            <w:rStyle w:val="Hyperlink"/>
          </w:rPr>
          <w:t>8.2.15</w:t>
        </w:r>
        <w:r w:rsidR="006A49A8">
          <w:rPr>
            <w:rFonts w:asciiTheme="minorHAnsi" w:eastAsiaTheme="minorEastAsia" w:hAnsiTheme="minorHAnsi" w:cstheme="minorBidi"/>
            <w:szCs w:val="22"/>
          </w:rPr>
          <w:tab/>
        </w:r>
        <w:r w:rsidR="006A49A8" w:rsidRPr="00712F19">
          <w:rPr>
            <w:rStyle w:val="Hyperlink"/>
          </w:rPr>
          <w:t>Day 112 (±5) Field Visit</w:t>
        </w:r>
        <w:r w:rsidR="006A49A8">
          <w:rPr>
            <w:webHidden/>
          </w:rPr>
          <w:tab/>
        </w:r>
        <w:r w:rsidR="006A49A8">
          <w:rPr>
            <w:webHidden/>
          </w:rPr>
          <w:fldChar w:fldCharType="begin"/>
        </w:r>
        <w:r w:rsidR="006A49A8">
          <w:rPr>
            <w:webHidden/>
          </w:rPr>
          <w:instrText xml:space="preserve"> PAGEREF _Toc440906305 \h </w:instrText>
        </w:r>
        <w:r w:rsidR="006A49A8">
          <w:rPr>
            <w:webHidden/>
          </w:rPr>
        </w:r>
        <w:r w:rsidR="006A49A8">
          <w:rPr>
            <w:webHidden/>
          </w:rPr>
          <w:fldChar w:fldCharType="separate"/>
        </w:r>
        <w:r>
          <w:rPr>
            <w:webHidden/>
          </w:rPr>
          <w:t>47</w:t>
        </w:r>
        <w:r w:rsidR="006A49A8">
          <w:rPr>
            <w:webHidden/>
          </w:rPr>
          <w:fldChar w:fldCharType="end"/>
        </w:r>
      </w:hyperlink>
    </w:p>
    <w:p w14:paraId="11190614" w14:textId="3B056F93" w:rsidR="006A49A8" w:rsidRDefault="00024E24">
      <w:pPr>
        <w:pStyle w:val="TOC3"/>
        <w:rPr>
          <w:rFonts w:asciiTheme="minorHAnsi" w:eastAsiaTheme="minorEastAsia" w:hAnsiTheme="minorHAnsi" w:cstheme="minorBidi"/>
          <w:szCs w:val="22"/>
        </w:rPr>
      </w:pPr>
      <w:hyperlink w:anchor="_Toc440906306" w:history="1">
        <w:r w:rsidR="006A49A8" w:rsidRPr="00712F19">
          <w:rPr>
            <w:rStyle w:val="Hyperlink"/>
          </w:rPr>
          <w:t>8.2.16</w:t>
        </w:r>
        <w:r w:rsidR="006A49A8">
          <w:rPr>
            <w:rFonts w:asciiTheme="minorHAnsi" w:eastAsiaTheme="minorEastAsia" w:hAnsiTheme="minorHAnsi" w:cstheme="minorBidi"/>
            <w:szCs w:val="22"/>
          </w:rPr>
          <w:tab/>
        </w:r>
        <w:r w:rsidR="006A49A8" w:rsidRPr="00712F19">
          <w:rPr>
            <w:rStyle w:val="Hyperlink"/>
          </w:rPr>
          <w:t>Day 168 (±10) Field Visit</w:t>
        </w:r>
        <w:r w:rsidR="006A49A8">
          <w:rPr>
            <w:webHidden/>
          </w:rPr>
          <w:tab/>
        </w:r>
        <w:r w:rsidR="006A49A8">
          <w:rPr>
            <w:webHidden/>
          </w:rPr>
          <w:fldChar w:fldCharType="begin"/>
        </w:r>
        <w:r w:rsidR="006A49A8">
          <w:rPr>
            <w:webHidden/>
          </w:rPr>
          <w:instrText xml:space="preserve"> PAGEREF _Toc440906306 \h </w:instrText>
        </w:r>
        <w:r w:rsidR="006A49A8">
          <w:rPr>
            <w:webHidden/>
          </w:rPr>
        </w:r>
        <w:r w:rsidR="006A49A8">
          <w:rPr>
            <w:webHidden/>
          </w:rPr>
          <w:fldChar w:fldCharType="separate"/>
        </w:r>
        <w:r>
          <w:rPr>
            <w:webHidden/>
          </w:rPr>
          <w:t>47</w:t>
        </w:r>
        <w:r w:rsidR="006A49A8">
          <w:rPr>
            <w:webHidden/>
          </w:rPr>
          <w:fldChar w:fldCharType="end"/>
        </w:r>
      </w:hyperlink>
    </w:p>
    <w:p w14:paraId="080AEE28" w14:textId="4E39CD63" w:rsidR="006A49A8" w:rsidRDefault="00024E24">
      <w:pPr>
        <w:pStyle w:val="TOC3"/>
        <w:rPr>
          <w:rFonts w:asciiTheme="minorHAnsi" w:eastAsiaTheme="minorEastAsia" w:hAnsiTheme="minorHAnsi" w:cstheme="minorBidi"/>
          <w:szCs w:val="22"/>
        </w:rPr>
      </w:pPr>
      <w:hyperlink w:anchor="_Toc440906307" w:history="1">
        <w:r w:rsidR="006A49A8" w:rsidRPr="00712F19">
          <w:rPr>
            <w:rStyle w:val="Hyperlink"/>
          </w:rPr>
          <w:t>8.2.17</w:t>
        </w:r>
        <w:r w:rsidR="006A49A8">
          <w:rPr>
            <w:rFonts w:asciiTheme="minorHAnsi" w:eastAsiaTheme="minorEastAsia" w:hAnsiTheme="minorHAnsi" w:cstheme="minorBidi"/>
            <w:szCs w:val="22"/>
          </w:rPr>
          <w:tab/>
        </w:r>
        <w:r w:rsidR="006A49A8" w:rsidRPr="00712F19">
          <w:rPr>
            <w:rStyle w:val="Hyperlink"/>
          </w:rPr>
          <w:t>Day 224 / EOS visit (±10)</w:t>
        </w:r>
        <w:r w:rsidR="006A49A8">
          <w:rPr>
            <w:webHidden/>
          </w:rPr>
          <w:tab/>
        </w:r>
        <w:r w:rsidR="006A49A8">
          <w:rPr>
            <w:webHidden/>
          </w:rPr>
          <w:fldChar w:fldCharType="begin"/>
        </w:r>
        <w:r w:rsidR="006A49A8">
          <w:rPr>
            <w:webHidden/>
          </w:rPr>
          <w:instrText xml:space="preserve"> PAGEREF _Toc440906307 \h </w:instrText>
        </w:r>
        <w:r w:rsidR="006A49A8">
          <w:rPr>
            <w:webHidden/>
          </w:rPr>
        </w:r>
        <w:r w:rsidR="006A49A8">
          <w:rPr>
            <w:webHidden/>
          </w:rPr>
          <w:fldChar w:fldCharType="separate"/>
        </w:r>
        <w:r>
          <w:rPr>
            <w:webHidden/>
          </w:rPr>
          <w:t>48</w:t>
        </w:r>
        <w:r w:rsidR="006A49A8">
          <w:rPr>
            <w:webHidden/>
          </w:rPr>
          <w:fldChar w:fldCharType="end"/>
        </w:r>
      </w:hyperlink>
    </w:p>
    <w:p w14:paraId="265F338C" w14:textId="1A9EBC22" w:rsidR="006A49A8" w:rsidRDefault="00024E24">
      <w:pPr>
        <w:pStyle w:val="TOC3"/>
        <w:rPr>
          <w:rFonts w:asciiTheme="minorHAnsi" w:eastAsiaTheme="minorEastAsia" w:hAnsiTheme="minorHAnsi" w:cstheme="minorBidi"/>
          <w:szCs w:val="22"/>
        </w:rPr>
      </w:pPr>
      <w:hyperlink w:anchor="_Toc440906308" w:history="1">
        <w:r w:rsidR="006A49A8" w:rsidRPr="00712F19">
          <w:rPr>
            <w:rStyle w:val="Hyperlink"/>
          </w:rPr>
          <w:t>8.2.18</w:t>
        </w:r>
        <w:r w:rsidR="006A49A8">
          <w:rPr>
            <w:rFonts w:asciiTheme="minorHAnsi" w:eastAsiaTheme="minorEastAsia" w:hAnsiTheme="minorHAnsi" w:cstheme="minorBidi"/>
            <w:szCs w:val="22"/>
          </w:rPr>
          <w:tab/>
        </w:r>
        <w:r w:rsidR="006A49A8" w:rsidRPr="00712F19">
          <w:rPr>
            <w:rStyle w:val="Hyperlink"/>
          </w:rPr>
          <w:t>Unscheduled visits</w:t>
        </w:r>
        <w:r w:rsidR="006A49A8">
          <w:rPr>
            <w:webHidden/>
          </w:rPr>
          <w:tab/>
        </w:r>
        <w:r w:rsidR="006A49A8">
          <w:rPr>
            <w:webHidden/>
          </w:rPr>
          <w:fldChar w:fldCharType="begin"/>
        </w:r>
        <w:r w:rsidR="006A49A8">
          <w:rPr>
            <w:webHidden/>
          </w:rPr>
          <w:instrText xml:space="preserve"> PAGEREF _Toc440906308 \h </w:instrText>
        </w:r>
        <w:r w:rsidR="006A49A8">
          <w:rPr>
            <w:webHidden/>
          </w:rPr>
        </w:r>
        <w:r w:rsidR="006A49A8">
          <w:rPr>
            <w:webHidden/>
          </w:rPr>
          <w:fldChar w:fldCharType="separate"/>
        </w:r>
        <w:r>
          <w:rPr>
            <w:webHidden/>
          </w:rPr>
          <w:t>48</w:t>
        </w:r>
        <w:r w:rsidR="006A49A8">
          <w:rPr>
            <w:webHidden/>
          </w:rPr>
          <w:fldChar w:fldCharType="end"/>
        </w:r>
      </w:hyperlink>
    </w:p>
    <w:p w14:paraId="2D49527C" w14:textId="702D31F2" w:rsidR="006A49A8" w:rsidRDefault="00024E24">
      <w:pPr>
        <w:pStyle w:val="TOC2"/>
        <w:rPr>
          <w:rFonts w:asciiTheme="minorHAnsi" w:eastAsiaTheme="minorEastAsia" w:hAnsiTheme="minorHAnsi" w:cstheme="minorBidi"/>
          <w:szCs w:val="22"/>
        </w:rPr>
      </w:pPr>
      <w:hyperlink w:anchor="_Toc440906309" w:history="1">
        <w:r w:rsidR="006A49A8" w:rsidRPr="00712F19">
          <w:rPr>
            <w:rStyle w:val="Hyperlink"/>
          </w:rPr>
          <w:t>8.3</w:t>
        </w:r>
        <w:r w:rsidR="006A49A8">
          <w:rPr>
            <w:rFonts w:asciiTheme="minorHAnsi" w:eastAsiaTheme="minorEastAsia" w:hAnsiTheme="minorHAnsi" w:cstheme="minorBidi"/>
            <w:szCs w:val="22"/>
          </w:rPr>
          <w:tab/>
        </w:r>
        <w:r w:rsidR="006A49A8" w:rsidRPr="00712F19">
          <w:rPr>
            <w:rStyle w:val="Hyperlink"/>
          </w:rPr>
          <w:t>Laboratory Evaluations</w:t>
        </w:r>
        <w:r w:rsidR="006A49A8">
          <w:rPr>
            <w:webHidden/>
          </w:rPr>
          <w:tab/>
        </w:r>
        <w:r w:rsidR="006A49A8">
          <w:rPr>
            <w:webHidden/>
          </w:rPr>
          <w:fldChar w:fldCharType="begin"/>
        </w:r>
        <w:r w:rsidR="006A49A8">
          <w:rPr>
            <w:webHidden/>
          </w:rPr>
          <w:instrText xml:space="preserve"> PAGEREF _Toc440906309 \h </w:instrText>
        </w:r>
        <w:r w:rsidR="006A49A8">
          <w:rPr>
            <w:webHidden/>
          </w:rPr>
        </w:r>
        <w:r w:rsidR="006A49A8">
          <w:rPr>
            <w:webHidden/>
          </w:rPr>
          <w:fldChar w:fldCharType="separate"/>
        </w:r>
        <w:r>
          <w:rPr>
            <w:webHidden/>
          </w:rPr>
          <w:t>48</w:t>
        </w:r>
        <w:r w:rsidR="006A49A8">
          <w:rPr>
            <w:webHidden/>
          </w:rPr>
          <w:fldChar w:fldCharType="end"/>
        </w:r>
      </w:hyperlink>
    </w:p>
    <w:p w14:paraId="70EE239B" w14:textId="4722B269" w:rsidR="006A49A8" w:rsidRDefault="00024E24">
      <w:pPr>
        <w:pStyle w:val="TOC3"/>
        <w:rPr>
          <w:rFonts w:asciiTheme="minorHAnsi" w:eastAsiaTheme="minorEastAsia" w:hAnsiTheme="minorHAnsi" w:cstheme="minorBidi"/>
          <w:szCs w:val="22"/>
        </w:rPr>
      </w:pPr>
      <w:hyperlink w:anchor="_Toc440906310" w:history="1">
        <w:r w:rsidR="006A49A8" w:rsidRPr="00712F19">
          <w:rPr>
            <w:rStyle w:val="Hyperlink"/>
          </w:rPr>
          <w:t>8.3.1</w:t>
        </w:r>
        <w:r w:rsidR="006A49A8">
          <w:rPr>
            <w:rFonts w:asciiTheme="minorHAnsi" w:eastAsiaTheme="minorEastAsia" w:hAnsiTheme="minorHAnsi" w:cstheme="minorBidi"/>
            <w:szCs w:val="22"/>
          </w:rPr>
          <w:tab/>
        </w:r>
        <w:r w:rsidR="006A49A8" w:rsidRPr="00712F19">
          <w:rPr>
            <w:rStyle w:val="Hyperlink"/>
          </w:rPr>
          <w:t>Clinical Laboratory Evaluations</w:t>
        </w:r>
        <w:r w:rsidR="006A49A8">
          <w:rPr>
            <w:webHidden/>
          </w:rPr>
          <w:tab/>
        </w:r>
        <w:r w:rsidR="006A49A8">
          <w:rPr>
            <w:webHidden/>
          </w:rPr>
          <w:fldChar w:fldCharType="begin"/>
        </w:r>
        <w:r w:rsidR="006A49A8">
          <w:rPr>
            <w:webHidden/>
          </w:rPr>
          <w:instrText xml:space="preserve"> PAGEREF _Toc440906310 \h </w:instrText>
        </w:r>
        <w:r w:rsidR="006A49A8">
          <w:rPr>
            <w:webHidden/>
          </w:rPr>
        </w:r>
        <w:r w:rsidR="006A49A8">
          <w:rPr>
            <w:webHidden/>
          </w:rPr>
          <w:fldChar w:fldCharType="separate"/>
        </w:r>
        <w:r>
          <w:rPr>
            <w:webHidden/>
          </w:rPr>
          <w:t>48</w:t>
        </w:r>
        <w:r w:rsidR="006A49A8">
          <w:rPr>
            <w:webHidden/>
          </w:rPr>
          <w:fldChar w:fldCharType="end"/>
        </w:r>
      </w:hyperlink>
    </w:p>
    <w:p w14:paraId="7AD8D2DD" w14:textId="78579858" w:rsidR="006A49A8" w:rsidRDefault="00024E24">
      <w:pPr>
        <w:pStyle w:val="TOC3"/>
        <w:rPr>
          <w:rFonts w:asciiTheme="minorHAnsi" w:eastAsiaTheme="minorEastAsia" w:hAnsiTheme="minorHAnsi" w:cstheme="minorBidi"/>
          <w:szCs w:val="22"/>
        </w:rPr>
      </w:pPr>
      <w:hyperlink w:anchor="_Toc440906311" w:history="1">
        <w:r w:rsidR="006A49A8" w:rsidRPr="00712F19">
          <w:rPr>
            <w:rStyle w:val="Hyperlink"/>
          </w:rPr>
          <w:t>8.3.2</w:t>
        </w:r>
        <w:r w:rsidR="006A49A8">
          <w:rPr>
            <w:rFonts w:asciiTheme="minorHAnsi" w:eastAsiaTheme="minorEastAsia" w:hAnsiTheme="minorHAnsi" w:cstheme="minorBidi"/>
            <w:szCs w:val="22"/>
          </w:rPr>
          <w:tab/>
        </w:r>
        <w:r w:rsidR="006A49A8" w:rsidRPr="00712F19">
          <w:rPr>
            <w:rStyle w:val="Hyperlink"/>
          </w:rPr>
          <w:t>Immunology Laboratory Evaluations</w:t>
        </w:r>
        <w:r w:rsidR="006A49A8">
          <w:rPr>
            <w:webHidden/>
          </w:rPr>
          <w:tab/>
        </w:r>
        <w:r w:rsidR="006A49A8">
          <w:rPr>
            <w:webHidden/>
          </w:rPr>
          <w:fldChar w:fldCharType="begin"/>
        </w:r>
        <w:r w:rsidR="006A49A8">
          <w:rPr>
            <w:webHidden/>
          </w:rPr>
          <w:instrText xml:space="preserve"> PAGEREF _Toc440906311 \h </w:instrText>
        </w:r>
        <w:r w:rsidR="006A49A8">
          <w:rPr>
            <w:webHidden/>
          </w:rPr>
        </w:r>
        <w:r w:rsidR="006A49A8">
          <w:rPr>
            <w:webHidden/>
          </w:rPr>
          <w:fldChar w:fldCharType="separate"/>
        </w:r>
        <w:r>
          <w:rPr>
            <w:webHidden/>
          </w:rPr>
          <w:t>49</w:t>
        </w:r>
        <w:r w:rsidR="006A49A8">
          <w:rPr>
            <w:webHidden/>
          </w:rPr>
          <w:fldChar w:fldCharType="end"/>
        </w:r>
      </w:hyperlink>
    </w:p>
    <w:p w14:paraId="6B1E5527" w14:textId="67420B51" w:rsidR="006A49A8" w:rsidRDefault="00024E24">
      <w:pPr>
        <w:pStyle w:val="TOC3"/>
        <w:rPr>
          <w:rFonts w:asciiTheme="minorHAnsi" w:eastAsiaTheme="minorEastAsia" w:hAnsiTheme="minorHAnsi" w:cstheme="minorBidi"/>
          <w:szCs w:val="22"/>
        </w:rPr>
      </w:pPr>
      <w:hyperlink w:anchor="_Toc440906312" w:history="1">
        <w:r w:rsidR="006A49A8" w:rsidRPr="00712F19">
          <w:rPr>
            <w:rStyle w:val="Hyperlink"/>
          </w:rPr>
          <w:t>8.3.3</w:t>
        </w:r>
        <w:r w:rsidR="006A49A8">
          <w:rPr>
            <w:rFonts w:asciiTheme="minorHAnsi" w:eastAsiaTheme="minorEastAsia" w:hAnsiTheme="minorHAnsi" w:cstheme="minorBidi"/>
            <w:szCs w:val="22"/>
          </w:rPr>
          <w:tab/>
        </w:r>
        <w:r w:rsidR="006A49A8" w:rsidRPr="00712F19">
          <w:rPr>
            <w:rStyle w:val="Hyperlink"/>
          </w:rPr>
          <w:t>Specimen Preparation, Handling, and Shipping</w:t>
        </w:r>
        <w:r w:rsidR="006A49A8">
          <w:rPr>
            <w:webHidden/>
          </w:rPr>
          <w:tab/>
        </w:r>
        <w:r w:rsidR="006A49A8">
          <w:rPr>
            <w:webHidden/>
          </w:rPr>
          <w:fldChar w:fldCharType="begin"/>
        </w:r>
        <w:r w:rsidR="006A49A8">
          <w:rPr>
            <w:webHidden/>
          </w:rPr>
          <w:instrText xml:space="preserve"> PAGEREF _Toc440906312 \h </w:instrText>
        </w:r>
        <w:r w:rsidR="006A49A8">
          <w:rPr>
            <w:webHidden/>
          </w:rPr>
        </w:r>
        <w:r w:rsidR="006A49A8">
          <w:rPr>
            <w:webHidden/>
          </w:rPr>
          <w:fldChar w:fldCharType="separate"/>
        </w:r>
        <w:r>
          <w:rPr>
            <w:webHidden/>
          </w:rPr>
          <w:t>51</w:t>
        </w:r>
        <w:r w:rsidR="006A49A8">
          <w:rPr>
            <w:webHidden/>
          </w:rPr>
          <w:fldChar w:fldCharType="end"/>
        </w:r>
      </w:hyperlink>
    </w:p>
    <w:p w14:paraId="05B5B687" w14:textId="36DCFE65" w:rsidR="006A49A8" w:rsidRDefault="00024E24">
      <w:pPr>
        <w:pStyle w:val="TOC1"/>
        <w:rPr>
          <w:rFonts w:asciiTheme="minorHAnsi" w:eastAsiaTheme="minorEastAsia" w:hAnsiTheme="minorHAnsi" w:cstheme="minorBidi"/>
          <w:szCs w:val="22"/>
        </w:rPr>
      </w:pPr>
      <w:hyperlink w:anchor="_Toc440906313" w:history="1">
        <w:r w:rsidR="006A49A8" w:rsidRPr="00712F19">
          <w:rPr>
            <w:rStyle w:val="Hyperlink"/>
          </w:rPr>
          <w:t>9</w:t>
        </w:r>
        <w:r w:rsidR="006A49A8">
          <w:rPr>
            <w:rFonts w:asciiTheme="minorHAnsi" w:eastAsiaTheme="minorEastAsia" w:hAnsiTheme="minorHAnsi" w:cstheme="minorBidi"/>
            <w:szCs w:val="22"/>
          </w:rPr>
          <w:tab/>
        </w:r>
        <w:r w:rsidR="006A49A8" w:rsidRPr="00712F19">
          <w:rPr>
            <w:rStyle w:val="Hyperlink"/>
          </w:rPr>
          <w:t>Assessment of Safety</w:t>
        </w:r>
        <w:r w:rsidR="006A49A8">
          <w:rPr>
            <w:webHidden/>
          </w:rPr>
          <w:tab/>
        </w:r>
        <w:r w:rsidR="006A49A8">
          <w:rPr>
            <w:webHidden/>
          </w:rPr>
          <w:fldChar w:fldCharType="begin"/>
        </w:r>
        <w:r w:rsidR="006A49A8">
          <w:rPr>
            <w:webHidden/>
          </w:rPr>
          <w:instrText xml:space="preserve"> PAGEREF _Toc440906313 \h </w:instrText>
        </w:r>
        <w:r w:rsidR="006A49A8">
          <w:rPr>
            <w:webHidden/>
          </w:rPr>
        </w:r>
        <w:r w:rsidR="006A49A8">
          <w:rPr>
            <w:webHidden/>
          </w:rPr>
          <w:fldChar w:fldCharType="separate"/>
        </w:r>
        <w:r>
          <w:rPr>
            <w:webHidden/>
          </w:rPr>
          <w:t>52</w:t>
        </w:r>
        <w:r w:rsidR="006A49A8">
          <w:rPr>
            <w:webHidden/>
          </w:rPr>
          <w:fldChar w:fldCharType="end"/>
        </w:r>
      </w:hyperlink>
    </w:p>
    <w:p w14:paraId="2728082D" w14:textId="59866406" w:rsidR="006A49A8" w:rsidRDefault="00024E24">
      <w:pPr>
        <w:pStyle w:val="TOC2"/>
        <w:rPr>
          <w:rFonts w:asciiTheme="minorHAnsi" w:eastAsiaTheme="minorEastAsia" w:hAnsiTheme="minorHAnsi" w:cstheme="minorBidi"/>
          <w:szCs w:val="22"/>
        </w:rPr>
      </w:pPr>
      <w:hyperlink w:anchor="_Toc440906314" w:history="1">
        <w:r w:rsidR="006A49A8" w:rsidRPr="00712F19">
          <w:rPr>
            <w:rStyle w:val="Hyperlink"/>
          </w:rPr>
          <w:t>9.1</w:t>
        </w:r>
        <w:r w:rsidR="006A49A8">
          <w:rPr>
            <w:rFonts w:asciiTheme="minorHAnsi" w:eastAsiaTheme="minorEastAsia" w:hAnsiTheme="minorHAnsi" w:cstheme="minorBidi"/>
            <w:szCs w:val="22"/>
          </w:rPr>
          <w:tab/>
        </w:r>
        <w:r w:rsidR="006A49A8" w:rsidRPr="00712F19">
          <w:rPr>
            <w:rStyle w:val="Hyperlink"/>
          </w:rPr>
          <w:t>Specification of Safety Parameters</w:t>
        </w:r>
        <w:r w:rsidR="006A49A8">
          <w:rPr>
            <w:webHidden/>
          </w:rPr>
          <w:tab/>
        </w:r>
        <w:r w:rsidR="006A49A8">
          <w:rPr>
            <w:webHidden/>
          </w:rPr>
          <w:fldChar w:fldCharType="begin"/>
        </w:r>
        <w:r w:rsidR="006A49A8">
          <w:rPr>
            <w:webHidden/>
          </w:rPr>
          <w:instrText xml:space="preserve"> PAGEREF _Toc440906314 \h </w:instrText>
        </w:r>
        <w:r w:rsidR="006A49A8">
          <w:rPr>
            <w:webHidden/>
          </w:rPr>
        </w:r>
        <w:r w:rsidR="006A49A8">
          <w:rPr>
            <w:webHidden/>
          </w:rPr>
          <w:fldChar w:fldCharType="separate"/>
        </w:r>
        <w:r>
          <w:rPr>
            <w:webHidden/>
          </w:rPr>
          <w:t>52</w:t>
        </w:r>
        <w:r w:rsidR="006A49A8">
          <w:rPr>
            <w:webHidden/>
          </w:rPr>
          <w:fldChar w:fldCharType="end"/>
        </w:r>
      </w:hyperlink>
    </w:p>
    <w:p w14:paraId="45CE637D" w14:textId="1A96B674" w:rsidR="006A49A8" w:rsidRDefault="00024E24">
      <w:pPr>
        <w:pStyle w:val="TOC2"/>
        <w:rPr>
          <w:rFonts w:asciiTheme="minorHAnsi" w:eastAsiaTheme="minorEastAsia" w:hAnsiTheme="minorHAnsi" w:cstheme="minorBidi"/>
          <w:szCs w:val="22"/>
        </w:rPr>
      </w:pPr>
      <w:hyperlink w:anchor="_Toc440906315" w:history="1">
        <w:r w:rsidR="006A49A8" w:rsidRPr="00712F19">
          <w:rPr>
            <w:rStyle w:val="Hyperlink"/>
          </w:rPr>
          <w:t>9.2</w:t>
        </w:r>
        <w:r w:rsidR="006A49A8">
          <w:rPr>
            <w:rFonts w:asciiTheme="minorHAnsi" w:eastAsiaTheme="minorEastAsia" w:hAnsiTheme="minorHAnsi" w:cstheme="minorBidi"/>
            <w:szCs w:val="22"/>
          </w:rPr>
          <w:tab/>
        </w:r>
        <w:r w:rsidR="006A49A8" w:rsidRPr="00712F19">
          <w:rPr>
            <w:rStyle w:val="Hyperlink"/>
          </w:rPr>
          <w:t>Methods and Timing for Assessing, Recording, and Analyzing Safety Parameters</w:t>
        </w:r>
        <w:r w:rsidR="006A49A8">
          <w:rPr>
            <w:webHidden/>
          </w:rPr>
          <w:tab/>
        </w:r>
        <w:r w:rsidR="006A49A8">
          <w:rPr>
            <w:webHidden/>
          </w:rPr>
          <w:fldChar w:fldCharType="begin"/>
        </w:r>
        <w:r w:rsidR="006A49A8">
          <w:rPr>
            <w:webHidden/>
          </w:rPr>
          <w:instrText xml:space="preserve"> PAGEREF _Toc440906315 \h </w:instrText>
        </w:r>
        <w:r w:rsidR="006A49A8">
          <w:rPr>
            <w:webHidden/>
          </w:rPr>
        </w:r>
        <w:r w:rsidR="006A49A8">
          <w:rPr>
            <w:webHidden/>
          </w:rPr>
          <w:fldChar w:fldCharType="separate"/>
        </w:r>
        <w:r>
          <w:rPr>
            <w:webHidden/>
          </w:rPr>
          <w:t>52</w:t>
        </w:r>
        <w:r w:rsidR="006A49A8">
          <w:rPr>
            <w:webHidden/>
          </w:rPr>
          <w:fldChar w:fldCharType="end"/>
        </w:r>
      </w:hyperlink>
    </w:p>
    <w:p w14:paraId="19CB94A5" w14:textId="5C13B85C" w:rsidR="006A49A8" w:rsidRDefault="00024E24">
      <w:pPr>
        <w:pStyle w:val="TOC2"/>
        <w:rPr>
          <w:rFonts w:asciiTheme="minorHAnsi" w:eastAsiaTheme="minorEastAsia" w:hAnsiTheme="minorHAnsi" w:cstheme="minorBidi"/>
          <w:szCs w:val="22"/>
        </w:rPr>
      </w:pPr>
      <w:hyperlink w:anchor="_Toc440906316" w:history="1">
        <w:r w:rsidR="006A49A8" w:rsidRPr="00712F19">
          <w:rPr>
            <w:rStyle w:val="Hyperlink"/>
          </w:rPr>
          <w:t>9.3</w:t>
        </w:r>
        <w:r w:rsidR="006A49A8">
          <w:rPr>
            <w:rFonts w:asciiTheme="minorHAnsi" w:eastAsiaTheme="minorEastAsia" w:hAnsiTheme="minorHAnsi" w:cstheme="minorBidi"/>
            <w:szCs w:val="22"/>
          </w:rPr>
          <w:tab/>
        </w:r>
        <w:r w:rsidR="006A49A8" w:rsidRPr="00712F19">
          <w:rPr>
            <w:rStyle w:val="Hyperlink"/>
          </w:rPr>
          <w:t>Adverse Events</w:t>
        </w:r>
        <w:r w:rsidR="006A49A8">
          <w:rPr>
            <w:webHidden/>
          </w:rPr>
          <w:tab/>
        </w:r>
        <w:r w:rsidR="006A49A8">
          <w:rPr>
            <w:webHidden/>
          </w:rPr>
          <w:fldChar w:fldCharType="begin"/>
        </w:r>
        <w:r w:rsidR="006A49A8">
          <w:rPr>
            <w:webHidden/>
          </w:rPr>
          <w:instrText xml:space="preserve"> PAGEREF _Toc440906316 \h </w:instrText>
        </w:r>
        <w:r w:rsidR="006A49A8">
          <w:rPr>
            <w:webHidden/>
          </w:rPr>
        </w:r>
        <w:r w:rsidR="006A49A8">
          <w:rPr>
            <w:webHidden/>
          </w:rPr>
          <w:fldChar w:fldCharType="separate"/>
        </w:r>
        <w:r>
          <w:rPr>
            <w:webHidden/>
          </w:rPr>
          <w:t>53</w:t>
        </w:r>
        <w:r w:rsidR="006A49A8">
          <w:rPr>
            <w:webHidden/>
          </w:rPr>
          <w:fldChar w:fldCharType="end"/>
        </w:r>
      </w:hyperlink>
    </w:p>
    <w:p w14:paraId="32123670" w14:textId="0DBEE32F" w:rsidR="006A49A8" w:rsidRDefault="00024E24">
      <w:pPr>
        <w:pStyle w:val="TOC3"/>
        <w:rPr>
          <w:rFonts w:asciiTheme="minorHAnsi" w:eastAsiaTheme="minorEastAsia" w:hAnsiTheme="minorHAnsi" w:cstheme="minorBidi"/>
          <w:szCs w:val="22"/>
        </w:rPr>
      </w:pPr>
      <w:hyperlink w:anchor="_Toc440906317" w:history="1">
        <w:r w:rsidR="006A49A8" w:rsidRPr="00712F19">
          <w:rPr>
            <w:rStyle w:val="Hyperlink"/>
          </w:rPr>
          <w:t>9.3.1</w:t>
        </w:r>
        <w:r w:rsidR="006A49A8">
          <w:rPr>
            <w:rFonts w:asciiTheme="minorHAnsi" w:eastAsiaTheme="minorEastAsia" w:hAnsiTheme="minorHAnsi" w:cstheme="minorBidi"/>
            <w:szCs w:val="22"/>
          </w:rPr>
          <w:tab/>
        </w:r>
        <w:r w:rsidR="006A49A8" w:rsidRPr="00712F19">
          <w:rPr>
            <w:rStyle w:val="Hyperlink"/>
          </w:rPr>
          <w:t>Definitions</w:t>
        </w:r>
        <w:r w:rsidR="006A49A8">
          <w:rPr>
            <w:webHidden/>
          </w:rPr>
          <w:tab/>
        </w:r>
        <w:r w:rsidR="006A49A8">
          <w:rPr>
            <w:webHidden/>
          </w:rPr>
          <w:fldChar w:fldCharType="begin"/>
        </w:r>
        <w:r w:rsidR="006A49A8">
          <w:rPr>
            <w:webHidden/>
          </w:rPr>
          <w:instrText xml:space="preserve"> PAGEREF _Toc440906317 \h </w:instrText>
        </w:r>
        <w:r w:rsidR="006A49A8">
          <w:rPr>
            <w:webHidden/>
          </w:rPr>
        </w:r>
        <w:r w:rsidR="006A49A8">
          <w:rPr>
            <w:webHidden/>
          </w:rPr>
          <w:fldChar w:fldCharType="separate"/>
        </w:r>
        <w:r>
          <w:rPr>
            <w:webHidden/>
          </w:rPr>
          <w:t>53</w:t>
        </w:r>
        <w:r w:rsidR="006A49A8">
          <w:rPr>
            <w:webHidden/>
          </w:rPr>
          <w:fldChar w:fldCharType="end"/>
        </w:r>
      </w:hyperlink>
    </w:p>
    <w:p w14:paraId="7FBF3EE0" w14:textId="746F3A19" w:rsidR="006A49A8" w:rsidRDefault="00024E24">
      <w:pPr>
        <w:pStyle w:val="TOC3"/>
        <w:rPr>
          <w:rFonts w:asciiTheme="minorHAnsi" w:eastAsiaTheme="minorEastAsia" w:hAnsiTheme="minorHAnsi" w:cstheme="minorBidi"/>
          <w:szCs w:val="22"/>
        </w:rPr>
      </w:pPr>
      <w:hyperlink w:anchor="_Toc440906318" w:history="1">
        <w:r w:rsidR="006A49A8" w:rsidRPr="00712F19">
          <w:rPr>
            <w:rStyle w:val="Hyperlink"/>
          </w:rPr>
          <w:t>9.3.2</w:t>
        </w:r>
        <w:r w:rsidR="006A49A8">
          <w:rPr>
            <w:rFonts w:asciiTheme="minorHAnsi" w:eastAsiaTheme="minorEastAsia" w:hAnsiTheme="minorHAnsi" w:cstheme="minorBidi"/>
            <w:szCs w:val="22"/>
          </w:rPr>
          <w:tab/>
        </w:r>
        <w:r w:rsidR="006A49A8" w:rsidRPr="00712F19">
          <w:rPr>
            <w:rStyle w:val="Hyperlink"/>
          </w:rPr>
          <w:t>Assessment of Severity (Grading)</w:t>
        </w:r>
        <w:r w:rsidR="006A49A8">
          <w:rPr>
            <w:webHidden/>
          </w:rPr>
          <w:tab/>
        </w:r>
        <w:r w:rsidR="006A49A8">
          <w:rPr>
            <w:webHidden/>
          </w:rPr>
          <w:fldChar w:fldCharType="begin"/>
        </w:r>
        <w:r w:rsidR="006A49A8">
          <w:rPr>
            <w:webHidden/>
          </w:rPr>
          <w:instrText xml:space="preserve"> PAGEREF _Toc440906318 \h </w:instrText>
        </w:r>
        <w:r w:rsidR="006A49A8">
          <w:rPr>
            <w:webHidden/>
          </w:rPr>
        </w:r>
        <w:r w:rsidR="006A49A8">
          <w:rPr>
            <w:webHidden/>
          </w:rPr>
          <w:fldChar w:fldCharType="separate"/>
        </w:r>
        <w:r>
          <w:rPr>
            <w:webHidden/>
          </w:rPr>
          <w:t>55</w:t>
        </w:r>
        <w:r w:rsidR="006A49A8">
          <w:rPr>
            <w:webHidden/>
          </w:rPr>
          <w:fldChar w:fldCharType="end"/>
        </w:r>
      </w:hyperlink>
    </w:p>
    <w:p w14:paraId="66DC0F8F" w14:textId="3C882570" w:rsidR="006A49A8" w:rsidRDefault="00024E24">
      <w:pPr>
        <w:pStyle w:val="TOC3"/>
        <w:rPr>
          <w:rFonts w:asciiTheme="minorHAnsi" w:eastAsiaTheme="minorEastAsia" w:hAnsiTheme="minorHAnsi" w:cstheme="minorBidi"/>
          <w:szCs w:val="22"/>
        </w:rPr>
      </w:pPr>
      <w:hyperlink w:anchor="_Toc440906319" w:history="1">
        <w:r w:rsidR="006A49A8" w:rsidRPr="00712F19">
          <w:rPr>
            <w:rStyle w:val="Hyperlink"/>
          </w:rPr>
          <w:t>9.3.3</w:t>
        </w:r>
        <w:r w:rsidR="006A49A8">
          <w:rPr>
            <w:rFonts w:asciiTheme="minorHAnsi" w:eastAsiaTheme="minorEastAsia" w:hAnsiTheme="minorHAnsi" w:cstheme="minorBidi"/>
            <w:szCs w:val="22"/>
          </w:rPr>
          <w:tab/>
        </w:r>
        <w:r w:rsidR="006A49A8" w:rsidRPr="00712F19">
          <w:rPr>
            <w:rStyle w:val="Hyperlink"/>
          </w:rPr>
          <w:t>Assessment of Causality (Relatedness to Study Injection)</w:t>
        </w:r>
        <w:r w:rsidR="006A49A8">
          <w:rPr>
            <w:webHidden/>
          </w:rPr>
          <w:tab/>
        </w:r>
        <w:r w:rsidR="006A49A8">
          <w:rPr>
            <w:webHidden/>
          </w:rPr>
          <w:fldChar w:fldCharType="begin"/>
        </w:r>
        <w:r w:rsidR="006A49A8">
          <w:rPr>
            <w:webHidden/>
          </w:rPr>
          <w:instrText xml:space="preserve"> PAGEREF _Toc440906319 \h </w:instrText>
        </w:r>
        <w:r w:rsidR="006A49A8">
          <w:rPr>
            <w:webHidden/>
          </w:rPr>
        </w:r>
        <w:r w:rsidR="006A49A8">
          <w:rPr>
            <w:webHidden/>
          </w:rPr>
          <w:fldChar w:fldCharType="separate"/>
        </w:r>
        <w:r>
          <w:rPr>
            <w:webHidden/>
          </w:rPr>
          <w:t>56</w:t>
        </w:r>
        <w:r w:rsidR="006A49A8">
          <w:rPr>
            <w:webHidden/>
          </w:rPr>
          <w:fldChar w:fldCharType="end"/>
        </w:r>
      </w:hyperlink>
    </w:p>
    <w:p w14:paraId="234DC847" w14:textId="002F9355" w:rsidR="006A49A8" w:rsidRDefault="00024E24">
      <w:pPr>
        <w:pStyle w:val="TOC3"/>
        <w:rPr>
          <w:rFonts w:asciiTheme="minorHAnsi" w:eastAsiaTheme="minorEastAsia" w:hAnsiTheme="minorHAnsi" w:cstheme="minorBidi"/>
          <w:szCs w:val="22"/>
        </w:rPr>
      </w:pPr>
      <w:hyperlink w:anchor="_Toc440906320" w:history="1">
        <w:r w:rsidR="006A49A8" w:rsidRPr="00712F19">
          <w:rPr>
            <w:rStyle w:val="Hyperlink"/>
          </w:rPr>
          <w:t>9.3.4</w:t>
        </w:r>
        <w:r w:rsidR="006A49A8">
          <w:rPr>
            <w:rFonts w:asciiTheme="minorHAnsi" w:eastAsiaTheme="minorEastAsia" w:hAnsiTheme="minorHAnsi" w:cstheme="minorBidi"/>
            <w:szCs w:val="22"/>
          </w:rPr>
          <w:tab/>
        </w:r>
        <w:r w:rsidR="006A49A8" w:rsidRPr="00712F19">
          <w:rPr>
            <w:rStyle w:val="Hyperlink"/>
          </w:rPr>
          <w:t>Evaluation of Expectedness</w:t>
        </w:r>
        <w:r w:rsidR="006A49A8">
          <w:rPr>
            <w:webHidden/>
          </w:rPr>
          <w:tab/>
        </w:r>
        <w:r w:rsidR="006A49A8">
          <w:rPr>
            <w:webHidden/>
          </w:rPr>
          <w:fldChar w:fldCharType="begin"/>
        </w:r>
        <w:r w:rsidR="006A49A8">
          <w:rPr>
            <w:webHidden/>
          </w:rPr>
          <w:instrText xml:space="preserve"> PAGEREF _Toc440906320 \h </w:instrText>
        </w:r>
        <w:r w:rsidR="006A49A8">
          <w:rPr>
            <w:webHidden/>
          </w:rPr>
        </w:r>
        <w:r w:rsidR="006A49A8">
          <w:rPr>
            <w:webHidden/>
          </w:rPr>
          <w:fldChar w:fldCharType="separate"/>
        </w:r>
        <w:r>
          <w:rPr>
            <w:webHidden/>
          </w:rPr>
          <w:t>57</w:t>
        </w:r>
        <w:r w:rsidR="006A49A8">
          <w:rPr>
            <w:webHidden/>
          </w:rPr>
          <w:fldChar w:fldCharType="end"/>
        </w:r>
      </w:hyperlink>
    </w:p>
    <w:p w14:paraId="7A0911C6" w14:textId="29EE05D9" w:rsidR="006A49A8" w:rsidRDefault="00024E24">
      <w:pPr>
        <w:pStyle w:val="TOC2"/>
        <w:rPr>
          <w:rFonts w:asciiTheme="minorHAnsi" w:eastAsiaTheme="minorEastAsia" w:hAnsiTheme="minorHAnsi" w:cstheme="minorBidi"/>
          <w:szCs w:val="22"/>
        </w:rPr>
      </w:pPr>
      <w:hyperlink w:anchor="_Toc440906321" w:history="1">
        <w:r w:rsidR="006A49A8" w:rsidRPr="00712F19">
          <w:rPr>
            <w:rStyle w:val="Hyperlink"/>
          </w:rPr>
          <w:t>9.4</w:t>
        </w:r>
        <w:r w:rsidR="006A49A8">
          <w:rPr>
            <w:rFonts w:asciiTheme="minorHAnsi" w:eastAsiaTheme="minorEastAsia" w:hAnsiTheme="minorHAnsi" w:cstheme="minorBidi"/>
            <w:szCs w:val="22"/>
          </w:rPr>
          <w:tab/>
        </w:r>
        <w:r w:rsidR="006A49A8" w:rsidRPr="00712F19">
          <w:rPr>
            <w:rStyle w:val="Hyperlink"/>
          </w:rPr>
          <w:t>Reactogenicity</w:t>
        </w:r>
        <w:r w:rsidR="006A49A8">
          <w:rPr>
            <w:webHidden/>
          </w:rPr>
          <w:tab/>
        </w:r>
        <w:r w:rsidR="006A49A8">
          <w:rPr>
            <w:webHidden/>
          </w:rPr>
          <w:fldChar w:fldCharType="begin"/>
        </w:r>
        <w:r w:rsidR="006A49A8">
          <w:rPr>
            <w:webHidden/>
          </w:rPr>
          <w:instrText xml:space="preserve"> PAGEREF _Toc440906321 \h </w:instrText>
        </w:r>
        <w:r w:rsidR="006A49A8">
          <w:rPr>
            <w:webHidden/>
          </w:rPr>
        </w:r>
        <w:r w:rsidR="006A49A8">
          <w:rPr>
            <w:webHidden/>
          </w:rPr>
          <w:fldChar w:fldCharType="separate"/>
        </w:r>
        <w:r>
          <w:rPr>
            <w:webHidden/>
          </w:rPr>
          <w:t>57</w:t>
        </w:r>
        <w:r w:rsidR="006A49A8">
          <w:rPr>
            <w:webHidden/>
          </w:rPr>
          <w:fldChar w:fldCharType="end"/>
        </w:r>
      </w:hyperlink>
    </w:p>
    <w:p w14:paraId="48FBCBCB" w14:textId="159EDCE0" w:rsidR="006A49A8" w:rsidRDefault="00024E24">
      <w:pPr>
        <w:pStyle w:val="TOC2"/>
        <w:rPr>
          <w:rFonts w:asciiTheme="minorHAnsi" w:eastAsiaTheme="minorEastAsia" w:hAnsiTheme="minorHAnsi" w:cstheme="minorBidi"/>
          <w:szCs w:val="22"/>
        </w:rPr>
      </w:pPr>
      <w:hyperlink w:anchor="_Toc440906322" w:history="1">
        <w:r w:rsidR="006A49A8" w:rsidRPr="00712F19">
          <w:rPr>
            <w:rStyle w:val="Hyperlink"/>
          </w:rPr>
          <w:t>9.5</w:t>
        </w:r>
        <w:r w:rsidR="006A49A8">
          <w:rPr>
            <w:rFonts w:asciiTheme="minorHAnsi" w:eastAsiaTheme="minorEastAsia" w:hAnsiTheme="minorHAnsi" w:cstheme="minorBidi"/>
            <w:szCs w:val="22"/>
          </w:rPr>
          <w:tab/>
        </w:r>
        <w:r w:rsidR="006A49A8" w:rsidRPr="00712F19">
          <w:rPr>
            <w:rStyle w:val="Hyperlink"/>
          </w:rPr>
          <w:t>Serious Adverse Events</w:t>
        </w:r>
        <w:r w:rsidR="006A49A8">
          <w:rPr>
            <w:webHidden/>
          </w:rPr>
          <w:tab/>
        </w:r>
        <w:r w:rsidR="006A49A8">
          <w:rPr>
            <w:webHidden/>
          </w:rPr>
          <w:fldChar w:fldCharType="begin"/>
        </w:r>
        <w:r w:rsidR="006A49A8">
          <w:rPr>
            <w:webHidden/>
          </w:rPr>
          <w:instrText xml:space="preserve"> PAGEREF _Toc440906322 \h </w:instrText>
        </w:r>
        <w:r w:rsidR="006A49A8">
          <w:rPr>
            <w:webHidden/>
          </w:rPr>
        </w:r>
        <w:r w:rsidR="006A49A8">
          <w:rPr>
            <w:webHidden/>
          </w:rPr>
          <w:fldChar w:fldCharType="separate"/>
        </w:r>
        <w:r>
          <w:rPr>
            <w:webHidden/>
          </w:rPr>
          <w:t>57</w:t>
        </w:r>
        <w:r w:rsidR="006A49A8">
          <w:rPr>
            <w:webHidden/>
          </w:rPr>
          <w:fldChar w:fldCharType="end"/>
        </w:r>
      </w:hyperlink>
    </w:p>
    <w:p w14:paraId="7EC6161D" w14:textId="43489E2E" w:rsidR="006A49A8" w:rsidRDefault="00024E24">
      <w:pPr>
        <w:pStyle w:val="TOC3"/>
        <w:rPr>
          <w:rFonts w:asciiTheme="minorHAnsi" w:eastAsiaTheme="minorEastAsia" w:hAnsiTheme="minorHAnsi" w:cstheme="minorBidi"/>
          <w:szCs w:val="22"/>
        </w:rPr>
      </w:pPr>
      <w:hyperlink w:anchor="_Toc440906323" w:history="1">
        <w:r w:rsidR="006A49A8" w:rsidRPr="00712F19">
          <w:rPr>
            <w:rStyle w:val="Hyperlink"/>
          </w:rPr>
          <w:t>9.5.1</w:t>
        </w:r>
        <w:r w:rsidR="006A49A8">
          <w:rPr>
            <w:rFonts w:asciiTheme="minorHAnsi" w:eastAsiaTheme="minorEastAsia" w:hAnsiTheme="minorHAnsi" w:cstheme="minorBidi"/>
            <w:szCs w:val="22"/>
          </w:rPr>
          <w:tab/>
        </w:r>
        <w:r w:rsidR="006A49A8" w:rsidRPr="00712F19">
          <w:rPr>
            <w:rStyle w:val="Hyperlink"/>
          </w:rPr>
          <w:t>Procedures to be Followed in the Event of Abnormal Laboratory Test Values or Abnormal Clinical Findings</w:t>
        </w:r>
        <w:r w:rsidR="006A49A8">
          <w:rPr>
            <w:webHidden/>
          </w:rPr>
          <w:tab/>
        </w:r>
        <w:r w:rsidR="006A49A8">
          <w:rPr>
            <w:webHidden/>
          </w:rPr>
          <w:fldChar w:fldCharType="begin"/>
        </w:r>
        <w:r w:rsidR="006A49A8">
          <w:rPr>
            <w:webHidden/>
          </w:rPr>
          <w:instrText xml:space="preserve"> PAGEREF _Toc440906323 \h </w:instrText>
        </w:r>
        <w:r w:rsidR="006A49A8">
          <w:rPr>
            <w:webHidden/>
          </w:rPr>
        </w:r>
        <w:r w:rsidR="006A49A8">
          <w:rPr>
            <w:webHidden/>
          </w:rPr>
          <w:fldChar w:fldCharType="separate"/>
        </w:r>
        <w:r>
          <w:rPr>
            <w:webHidden/>
          </w:rPr>
          <w:t>58</w:t>
        </w:r>
        <w:r w:rsidR="006A49A8">
          <w:rPr>
            <w:webHidden/>
          </w:rPr>
          <w:fldChar w:fldCharType="end"/>
        </w:r>
      </w:hyperlink>
    </w:p>
    <w:p w14:paraId="104B61E8" w14:textId="335F990F" w:rsidR="006A49A8" w:rsidRDefault="00024E24">
      <w:pPr>
        <w:pStyle w:val="TOC2"/>
        <w:rPr>
          <w:rFonts w:asciiTheme="minorHAnsi" w:eastAsiaTheme="minorEastAsia" w:hAnsiTheme="minorHAnsi" w:cstheme="minorBidi"/>
          <w:szCs w:val="22"/>
        </w:rPr>
      </w:pPr>
      <w:hyperlink w:anchor="_Toc440906324" w:history="1">
        <w:r w:rsidR="006A49A8" w:rsidRPr="00712F19">
          <w:rPr>
            <w:rStyle w:val="Hyperlink"/>
          </w:rPr>
          <w:t>9.6</w:t>
        </w:r>
        <w:r w:rsidR="006A49A8">
          <w:rPr>
            <w:rFonts w:asciiTheme="minorHAnsi" w:eastAsiaTheme="minorEastAsia" w:hAnsiTheme="minorHAnsi" w:cstheme="minorBidi"/>
            <w:szCs w:val="22"/>
          </w:rPr>
          <w:tab/>
        </w:r>
        <w:r w:rsidR="006A49A8" w:rsidRPr="00712F19">
          <w:rPr>
            <w:rStyle w:val="Hyperlink"/>
          </w:rPr>
          <w:t>Reporting Procedures</w:t>
        </w:r>
        <w:r w:rsidR="006A49A8">
          <w:rPr>
            <w:webHidden/>
          </w:rPr>
          <w:tab/>
        </w:r>
        <w:r w:rsidR="006A49A8">
          <w:rPr>
            <w:webHidden/>
          </w:rPr>
          <w:fldChar w:fldCharType="begin"/>
        </w:r>
        <w:r w:rsidR="006A49A8">
          <w:rPr>
            <w:webHidden/>
          </w:rPr>
          <w:instrText xml:space="preserve"> PAGEREF _Toc440906324 \h </w:instrText>
        </w:r>
        <w:r w:rsidR="006A49A8">
          <w:rPr>
            <w:webHidden/>
          </w:rPr>
        </w:r>
        <w:r w:rsidR="006A49A8">
          <w:rPr>
            <w:webHidden/>
          </w:rPr>
          <w:fldChar w:fldCharType="separate"/>
        </w:r>
        <w:r>
          <w:rPr>
            <w:webHidden/>
          </w:rPr>
          <w:t>58</w:t>
        </w:r>
        <w:r w:rsidR="006A49A8">
          <w:rPr>
            <w:webHidden/>
          </w:rPr>
          <w:fldChar w:fldCharType="end"/>
        </w:r>
      </w:hyperlink>
    </w:p>
    <w:p w14:paraId="36F7AF10" w14:textId="3B65A00D" w:rsidR="006A49A8" w:rsidRDefault="00024E24">
      <w:pPr>
        <w:pStyle w:val="TOC3"/>
        <w:rPr>
          <w:rFonts w:asciiTheme="minorHAnsi" w:eastAsiaTheme="minorEastAsia" w:hAnsiTheme="minorHAnsi" w:cstheme="minorBidi"/>
          <w:szCs w:val="22"/>
        </w:rPr>
      </w:pPr>
      <w:hyperlink w:anchor="_Toc440906325" w:history="1">
        <w:r w:rsidR="006A49A8" w:rsidRPr="00712F19">
          <w:rPr>
            <w:rStyle w:val="Hyperlink"/>
          </w:rPr>
          <w:t>9.6.1</w:t>
        </w:r>
        <w:r w:rsidR="006A49A8">
          <w:rPr>
            <w:rFonts w:asciiTheme="minorHAnsi" w:eastAsiaTheme="minorEastAsia" w:hAnsiTheme="minorHAnsi" w:cstheme="minorBidi"/>
            <w:szCs w:val="22"/>
          </w:rPr>
          <w:tab/>
        </w:r>
        <w:r w:rsidR="006A49A8" w:rsidRPr="00712F19">
          <w:rPr>
            <w:rStyle w:val="Hyperlink"/>
          </w:rPr>
          <w:t>Serious Adverse Events</w:t>
        </w:r>
        <w:r w:rsidR="006A49A8">
          <w:rPr>
            <w:webHidden/>
          </w:rPr>
          <w:tab/>
        </w:r>
        <w:r w:rsidR="006A49A8">
          <w:rPr>
            <w:webHidden/>
          </w:rPr>
          <w:fldChar w:fldCharType="begin"/>
        </w:r>
        <w:r w:rsidR="006A49A8">
          <w:rPr>
            <w:webHidden/>
          </w:rPr>
          <w:instrText xml:space="preserve"> PAGEREF _Toc440906325 \h </w:instrText>
        </w:r>
        <w:r w:rsidR="006A49A8">
          <w:rPr>
            <w:webHidden/>
          </w:rPr>
        </w:r>
        <w:r w:rsidR="006A49A8">
          <w:rPr>
            <w:webHidden/>
          </w:rPr>
          <w:fldChar w:fldCharType="separate"/>
        </w:r>
        <w:r>
          <w:rPr>
            <w:webHidden/>
          </w:rPr>
          <w:t>58</w:t>
        </w:r>
        <w:r w:rsidR="006A49A8">
          <w:rPr>
            <w:webHidden/>
          </w:rPr>
          <w:fldChar w:fldCharType="end"/>
        </w:r>
      </w:hyperlink>
    </w:p>
    <w:p w14:paraId="5703D1FA" w14:textId="2AA12E67" w:rsidR="006A49A8" w:rsidRDefault="00024E24">
      <w:pPr>
        <w:pStyle w:val="TOC3"/>
        <w:rPr>
          <w:rFonts w:asciiTheme="minorHAnsi" w:eastAsiaTheme="minorEastAsia" w:hAnsiTheme="minorHAnsi" w:cstheme="minorBidi"/>
          <w:szCs w:val="22"/>
        </w:rPr>
      </w:pPr>
      <w:hyperlink w:anchor="_Toc440906326" w:history="1">
        <w:r w:rsidR="006A49A8" w:rsidRPr="00712F19">
          <w:rPr>
            <w:rStyle w:val="Hyperlink"/>
          </w:rPr>
          <w:t>9.6.2</w:t>
        </w:r>
        <w:r w:rsidR="006A49A8">
          <w:rPr>
            <w:rFonts w:asciiTheme="minorHAnsi" w:eastAsiaTheme="minorEastAsia" w:hAnsiTheme="minorHAnsi" w:cstheme="minorBidi"/>
            <w:szCs w:val="22"/>
          </w:rPr>
          <w:tab/>
        </w:r>
        <w:r w:rsidR="006A49A8" w:rsidRPr="00712F19">
          <w:rPr>
            <w:rStyle w:val="Hyperlink"/>
          </w:rPr>
          <w:t>Regulatory Reporting</w:t>
        </w:r>
        <w:r w:rsidR="006A49A8">
          <w:rPr>
            <w:webHidden/>
          </w:rPr>
          <w:tab/>
        </w:r>
        <w:r w:rsidR="006A49A8">
          <w:rPr>
            <w:webHidden/>
          </w:rPr>
          <w:fldChar w:fldCharType="begin"/>
        </w:r>
        <w:r w:rsidR="006A49A8">
          <w:rPr>
            <w:webHidden/>
          </w:rPr>
          <w:instrText xml:space="preserve"> PAGEREF _Toc440906326 \h </w:instrText>
        </w:r>
        <w:r w:rsidR="006A49A8">
          <w:rPr>
            <w:webHidden/>
          </w:rPr>
        </w:r>
        <w:r w:rsidR="006A49A8">
          <w:rPr>
            <w:webHidden/>
          </w:rPr>
          <w:fldChar w:fldCharType="separate"/>
        </w:r>
        <w:r>
          <w:rPr>
            <w:webHidden/>
          </w:rPr>
          <w:t>59</w:t>
        </w:r>
        <w:r w:rsidR="006A49A8">
          <w:rPr>
            <w:webHidden/>
          </w:rPr>
          <w:fldChar w:fldCharType="end"/>
        </w:r>
      </w:hyperlink>
    </w:p>
    <w:p w14:paraId="489B4381" w14:textId="6CB146F2" w:rsidR="006A49A8" w:rsidRDefault="00024E24">
      <w:pPr>
        <w:pStyle w:val="TOC3"/>
        <w:rPr>
          <w:rFonts w:asciiTheme="minorHAnsi" w:eastAsiaTheme="minorEastAsia" w:hAnsiTheme="minorHAnsi" w:cstheme="minorBidi"/>
          <w:szCs w:val="22"/>
        </w:rPr>
      </w:pPr>
      <w:hyperlink w:anchor="_Toc440906327" w:history="1">
        <w:r w:rsidR="006A49A8" w:rsidRPr="00712F19">
          <w:rPr>
            <w:rStyle w:val="Hyperlink"/>
          </w:rPr>
          <w:t>9.6.3</w:t>
        </w:r>
        <w:r w:rsidR="006A49A8">
          <w:rPr>
            <w:rFonts w:asciiTheme="minorHAnsi" w:eastAsiaTheme="minorEastAsia" w:hAnsiTheme="minorHAnsi" w:cstheme="minorBidi"/>
            <w:szCs w:val="22"/>
          </w:rPr>
          <w:tab/>
        </w:r>
        <w:r w:rsidR="006A49A8" w:rsidRPr="00712F19">
          <w:rPr>
            <w:rStyle w:val="Hyperlink"/>
          </w:rPr>
          <w:t>Other Adverse Events (if applicable)</w:t>
        </w:r>
        <w:r w:rsidR="006A49A8">
          <w:rPr>
            <w:webHidden/>
          </w:rPr>
          <w:tab/>
        </w:r>
        <w:r w:rsidR="006A49A8">
          <w:rPr>
            <w:webHidden/>
          </w:rPr>
          <w:fldChar w:fldCharType="begin"/>
        </w:r>
        <w:r w:rsidR="006A49A8">
          <w:rPr>
            <w:webHidden/>
          </w:rPr>
          <w:instrText xml:space="preserve"> PAGEREF _Toc440906327 \h </w:instrText>
        </w:r>
        <w:r w:rsidR="006A49A8">
          <w:rPr>
            <w:webHidden/>
          </w:rPr>
        </w:r>
        <w:r w:rsidR="006A49A8">
          <w:rPr>
            <w:webHidden/>
          </w:rPr>
          <w:fldChar w:fldCharType="separate"/>
        </w:r>
        <w:r>
          <w:rPr>
            <w:webHidden/>
          </w:rPr>
          <w:t>60</w:t>
        </w:r>
        <w:r w:rsidR="006A49A8">
          <w:rPr>
            <w:webHidden/>
          </w:rPr>
          <w:fldChar w:fldCharType="end"/>
        </w:r>
      </w:hyperlink>
    </w:p>
    <w:p w14:paraId="077983FC" w14:textId="3ABC9F60" w:rsidR="006A49A8" w:rsidRDefault="00024E24">
      <w:pPr>
        <w:pStyle w:val="TOC3"/>
        <w:rPr>
          <w:rFonts w:asciiTheme="minorHAnsi" w:eastAsiaTheme="minorEastAsia" w:hAnsiTheme="minorHAnsi" w:cstheme="minorBidi"/>
          <w:szCs w:val="22"/>
        </w:rPr>
      </w:pPr>
      <w:hyperlink w:anchor="_Toc440906328" w:history="1">
        <w:r w:rsidR="006A49A8" w:rsidRPr="00712F19">
          <w:rPr>
            <w:rStyle w:val="Hyperlink"/>
          </w:rPr>
          <w:t>9.6.4</w:t>
        </w:r>
        <w:r w:rsidR="006A49A8">
          <w:rPr>
            <w:rFonts w:asciiTheme="minorHAnsi" w:eastAsiaTheme="minorEastAsia" w:hAnsiTheme="minorHAnsi" w:cstheme="minorBidi"/>
            <w:szCs w:val="22"/>
          </w:rPr>
          <w:tab/>
        </w:r>
        <w:r w:rsidR="006A49A8" w:rsidRPr="00712F19">
          <w:rPr>
            <w:rStyle w:val="Hyperlink"/>
          </w:rPr>
          <w:t>Reporting of Pregnancy</w:t>
        </w:r>
        <w:r w:rsidR="006A49A8">
          <w:rPr>
            <w:webHidden/>
          </w:rPr>
          <w:tab/>
        </w:r>
        <w:r w:rsidR="006A49A8">
          <w:rPr>
            <w:webHidden/>
          </w:rPr>
          <w:fldChar w:fldCharType="begin"/>
        </w:r>
        <w:r w:rsidR="006A49A8">
          <w:rPr>
            <w:webHidden/>
          </w:rPr>
          <w:instrText xml:space="preserve"> PAGEREF _Toc440906328 \h </w:instrText>
        </w:r>
        <w:r w:rsidR="006A49A8">
          <w:rPr>
            <w:webHidden/>
          </w:rPr>
        </w:r>
        <w:r w:rsidR="006A49A8">
          <w:rPr>
            <w:webHidden/>
          </w:rPr>
          <w:fldChar w:fldCharType="separate"/>
        </w:r>
        <w:r>
          <w:rPr>
            <w:webHidden/>
          </w:rPr>
          <w:t>61</w:t>
        </w:r>
        <w:r w:rsidR="006A49A8">
          <w:rPr>
            <w:webHidden/>
          </w:rPr>
          <w:fldChar w:fldCharType="end"/>
        </w:r>
      </w:hyperlink>
    </w:p>
    <w:p w14:paraId="5BC8FF09" w14:textId="7D96967D" w:rsidR="006A49A8" w:rsidRDefault="00024E24">
      <w:pPr>
        <w:pStyle w:val="TOC2"/>
        <w:rPr>
          <w:rFonts w:asciiTheme="minorHAnsi" w:eastAsiaTheme="minorEastAsia" w:hAnsiTheme="minorHAnsi" w:cstheme="minorBidi"/>
          <w:szCs w:val="22"/>
        </w:rPr>
      </w:pPr>
      <w:hyperlink w:anchor="_Toc440906329" w:history="1">
        <w:r w:rsidR="006A49A8" w:rsidRPr="00712F19">
          <w:rPr>
            <w:rStyle w:val="Hyperlink"/>
          </w:rPr>
          <w:t>9.7</w:t>
        </w:r>
        <w:r w:rsidR="006A49A8">
          <w:rPr>
            <w:rFonts w:asciiTheme="minorHAnsi" w:eastAsiaTheme="minorEastAsia" w:hAnsiTheme="minorHAnsi" w:cstheme="minorBidi"/>
            <w:szCs w:val="22"/>
          </w:rPr>
          <w:tab/>
        </w:r>
        <w:r w:rsidR="006A49A8" w:rsidRPr="00712F19">
          <w:rPr>
            <w:rStyle w:val="Hyperlink"/>
          </w:rPr>
          <w:t>Type and Duration of Follow-up of Subjects after Adverse Events</w:t>
        </w:r>
        <w:r w:rsidR="006A49A8">
          <w:rPr>
            <w:webHidden/>
          </w:rPr>
          <w:tab/>
        </w:r>
        <w:r w:rsidR="006A49A8">
          <w:rPr>
            <w:webHidden/>
          </w:rPr>
          <w:fldChar w:fldCharType="begin"/>
        </w:r>
        <w:r w:rsidR="006A49A8">
          <w:rPr>
            <w:webHidden/>
          </w:rPr>
          <w:instrText xml:space="preserve"> PAGEREF _Toc440906329 \h </w:instrText>
        </w:r>
        <w:r w:rsidR="006A49A8">
          <w:rPr>
            <w:webHidden/>
          </w:rPr>
        </w:r>
        <w:r w:rsidR="006A49A8">
          <w:rPr>
            <w:webHidden/>
          </w:rPr>
          <w:fldChar w:fldCharType="separate"/>
        </w:r>
        <w:r>
          <w:rPr>
            <w:webHidden/>
          </w:rPr>
          <w:t>61</w:t>
        </w:r>
        <w:r w:rsidR="006A49A8">
          <w:rPr>
            <w:webHidden/>
          </w:rPr>
          <w:fldChar w:fldCharType="end"/>
        </w:r>
      </w:hyperlink>
    </w:p>
    <w:p w14:paraId="48ECE7B7" w14:textId="5BC360AA" w:rsidR="006A49A8" w:rsidRDefault="00024E24">
      <w:pPr>
        <w:pStyle w:val="TOC2"/>
        <w:rPr>
          <w:rFonts w:asciiTheme="minorHAnsi" w:eastAsiaTheme="minorEastAsia" w:hAnsiTheme="minorHAnsi" w:cstheme="minorBidi"/>
          <w:szCs w:val="22"/>
        </w:rPr>
      </w:pPr>
      <w:hyperlink w:anchor="_Toc440906330" w:history="1">
        <w:r w:rsidR="006A49A8" w:rsidRPr="00712F19">
          <w:rPr>
            <w:rStyle w:val="Hyperlink"/>
          </w:rPr>
          <w:t>9.8</w:t>
        </w:r>
        <w:r w:rsidR="006A49A8">
          <w:rPr>
            <w:rFonts w:asciiTheme="minorHAnsi" w:eastAsiaTheme="minorEastAsia" w:hAnsiTheme="minorHAnsi" w:cstheme="minorBidi"/>
            <w:szCs w:val="22"/>
          </w:rPr>
          <w:tab/>
        </w:r>
        <w:r w:rsidR="006A49A8" w:rsidRPr="00712F19">
          <w:rPr>
            <w:rStyle w:val="Hyperlink"/>
          </w:rPr>
          <w:t>Halting Rules</w:t>
        </w:r>
        <w:r w:rsidR="006A49A8">
          <w:rPr>
            <w:webHidden/>
          </w:rPr>
          <w:tab/>
        </w:r>
        <w:r w:rsidR="006A49A8">
          <w:rPr>
            <w:webHidden/>
          </w:rPr>
          <w:fldChar w:fldCharType="begin"/>
        </w:r>
        <w:r w:rsidR="006A49A8">
          <w:rPr>
            <w:webHidden/>
          </w:rPr>
          <w:instrText xml:space="preserve"> PAGEREF _Toc440906330 \h </w:instrText>
        </w:r>
        <w:r w:rsidR="006A49A8">
          <w:rPr>
            <w:webHidden/>
          </w:rPr>
        </w:r>
        <w:r w:rsidR="006A49A8">
          <w:rPr>
            <w:webHidden/>
          </w:rPr>
          <w:fldChar w:fldCharType="separate"/>
        </w:r>
        <w:r>
          <w:rPr>
            <w:webHidden/>
          </w:rPr>
          <w:t>62</w:t>
        </w:r>
        <w:r w:rsidR="006A49A8">
          <w:rPr>
            <w:webHidden/>
          </w:rPr>
          <w:fldChar w:fldCharType="end"/>
        </w:r>
      </w:hyperlink>
    </w:p>
    <w:p w14:paraId="43824374" w14:textId="11D0AFF5" w:rsidR="006A49A8" w:rsidRDefault="00024E24">
      <w:pPr>
        <w:pStyle w:val="TOC3"/>
        <w:rPr>
          <w:rFonts w:asciiTheme="minorHAnsi" w:eastAsiaTheme="minorEastAsia" w:hAnsiTheme="minorHAnsi" w:cstheme="minorBidi"/>
          <w:szCs w:val="22"/>
        </w:rPr>
      </w:pPr>
      <w:hyperlink w:anchor="_Toc440906331" w:history="1">
        <w:r w:rsidR="006A49A8" w:rsidRPr="00712F19">
          <w:rPr>
            <w:rStyle w:val="Hyperlink"/>
          </w:rPr>
          <w:t>9.8.1</w:t>
        </w:r>
        <w:r w:rsidR="006A49A8">
          <w:rPr>
            <w:rFonts w:asciiTheme="minorHAnsi" w:eastAsiaTheme="minorEastAsia" w:hAnsiTheme="minorHAnsi" w:cstheme="minorBidi"/>
            <w:szCs w:val="22"/>
          </w:rPr>
          <w:tab/>
        </w:r>
        <w:r w:rsidR="006A49A8" w:rsidRPr="00712F19">
          <w:rPr>
            <w:rStyle w:val="Hyperlink"/>
          </w:rPr>
          <w:t>Rules for Dose Escalation</w:t>
        </w:r>
        <w:r w:rsidR="006A49A8">
          <w:rPr>
            <w:webHidden/>
          </w:rPr>
          <w:tab/>
        </w:r>
        <w:r w:rsidR="006A49A8">
          <w:rPr>
            <w:webHidden/>
          </w:rPr>
          <w:fldChar w:fldCharType="begin"/>
        </w:r>
        <w:r w:rsidR="006A49A8">
          <w:rPr>
            <w:webHidden/>
          </w:rPr>
          <w:instrText xml:space="preserve"> PAGEREF _Toc440906331 \h </w:instrText>
        </w:r>
        <w:r w:rsidR="006A49A8">
          <w:rPr>
            <w:webHidden/>
          </w:rPr>
        </w:r>
        <w:r w:rsidR="006A49A8">
          <w:rPr>
            <w:webHidden/>
          </w:rPr>
          <w:fldChar w:fldCharType="separate"/>
        </w:r>
        <w:r>
          <w:rPr>
            <w:webHidden/>
          </w:rPr>
          <w:t>62</w:t>
        </w:r>
        <w:r w:rsidR="006A49A8">
          <w:rPr>
            <w:webHidden/>
          </w:rPr>
          <w:fldChar w:fldCharType="end"/>
        </w:r>
      </w:hyperlink>
    </w:p>
    <w:p w14:paraId="77628929" w14:textId="71202640" w:rsidR="006A49A8" w:rsidRDefault="00024E24">
      <w:pPr>
        <w:pStyle w:val="TOC3"/>
        <w:rPr>
          <w:rFonts w:asciiTheme="minorHAnsi" w:eastAsiaTheme="minorEastAsia" w:hAnsiTheme="minorHAnsi" w:cstheme="minorBidi"/>
          <w:szCs w:val="22"/>
        </w:rPr>
      </w:pPr>
      <w:hyperlink w:anchor="_Toc440906332" w:history="1">
        <w:r w:rsidR="006A49A8" w:rsidRPr="00712F19">
          <w:rPr>
            <w:rStyle w:val="Hyperlink"/>
          </w:rPr>
          <w:t>9.8.2</w:t>
        </w:r>
        <w:r w:rsidR="006A49A8">
          <w:rPr>
            <w:rFonts w:asciiTheme="minorHAnsi" w:eastAsiaTheme="minorEastAsia" w:hAnsiTheme="minorHAnsi" w:cstheme="minorBidi"/>
            <w:szCs w:val="22"/>
          </w:rPr>
          <w:tab/>
        </w:r>
        <w:r w:rsidR="006A49A8" w:rsidRPr="00712F19">
          <w:rPr>
            <w:rStyle w:val="Hyperlink"/>
          </w:rPr>
          <w:t>Rules for Discontinuing Study injection in an Individual Subject</w:t>
        </w:r>
        <w:r w:rsidR="006A49A8">
          <w:rPr>
            <w:webHidden/>
          </w:rPr>
          <w:tab/>
        </w:r>
        <w:r w:rsidR="006A49A8">
          <w:rPr>
            <w:webHidden/>
          </w:rPr>
          <w:fldChar w:fldCharType="begin"/>
        </w:r>
        <w:r w:rsidR="006A49A8">
          <w:rPr>
            <w:webHidden/>
          </w:rPr>
          <w:instrText xml:space="preserve"> PAGEREF _Toc440906332 \h </w:instrText>
        </w:r>
        <w:r w:rsidR="006A49A8">
          <w:rPr>
            <w:webHidden/>
          </w:rPr>
        </w:r>
        <w:r w:rsidR="006A49A8">
          <w:rPr>
            <w:webHidden/>
          </w:rPr>
          <w:fldChar w:fldCharType="separate"/>
        </w:r>
        <w:r>
          <w:rPr>
            <w:webHidden/>
          </w:rPr>
          <w:t>63</w:t>
        </w:r>
        <w:r w:rsidR="006A49A8">
          <w:rPr>
            <w:webHidden/>
          </w:rPr>
          <w:fldChar w:fldCharType="end"/>
        </w:r>
      </w:hyperlink>
    </w:p>
    <w:p w14:paraId="1A34E9CD" w14:textId="31A4CBF2" w:rsidR="006A49A8" w:rsidRDefault="00024E24">
      <w:pPr>
        <w:pStyle w:val="TOC3"/>
        <w:rPr>
          <w:rFonts w:asciiTheme="minorHAnsi" w:eastAsiaTheme="minorEastAsia" w:hAnsiTheme="minorHAnsi" w:cstheme="minorBidi"/>
          <w:szCs w:val="22"/>
        </w:rPr>
      </w:pPr>
      <w:hyperlink w:anchor="_Toc440906333" w:history="1">
        <w:r w:rsidR="006A49A8" w:rsidRPr="00712F19">
          <w:rPr>
            <w:rStyle w:val="Hyperlink"/>
          </w:rPr>
          <w:t>9.8.3</w:t>
        </w:r>
        <w:r w:rsidR="006A49A8">
          <w:rPr>
            <w:rFonts w:asciiTheme="minorHAnsi" w:eastAsiaTheme="minorEastAsia" w:hAnsiTheme="minorHAnsi" w:cstheme="minorBidi"/>
            <w:szCs w:val="22"/>
          </w:rPr>
          <w:tab/>
        </w:r>
        <w:r w:rsidR="006A49A8" w:rsidRPr="00712F19">
          <w:rPr>
            <w:rStyle w:val="Hyperlink"/>
          </w:rPr>
          <w:t>Rules for Suspension of the Entire Study</w:t>
        </w:r>
        <w:r w:rsidR="006A49A8">
          <w:rPr>
            <w:webHidden/>
          </w:rPr>
          <w:tab/>
        </w:r>
        <w:r w:rsidR="006A49A8">
          <w:rPr>
            <w:webHidden/>
          </w:rPr>
          <w:fldChar w:fldCharType="begin"/>
        </w:r>
        <w:r w:rsidR="006A49A8">
          <w:rPr>
            <w:webHidden/>
          </w:rPr>
          <w:instrText xml:space="preserve"> PAGEREF _Toc440906333 \h </w:instrText>
        </w:r>
        <w:r w:rsidR="006A49A8">
          <w:rPr>
            <w:webHidden/>
          </w:rPr>
        </w:r>
        <w:r w:rsidR="006A49A8">
          <w:rPr>
            <w:webHidden/>
          </w:rPr>
          <w:fldChar w:fldCharType="separate"/>
        </w:r>
        <w:r>
          <w:rPr>
            <w:webHidden/>
          </w:rPr>
          <w:t>64</w:t>
        </w:r>
        <w:r w:rsidR="006A49A8">
          <w:rPr>
            <w:webHidden/>
          </w:rPr>
          <w:fldChar w:fldCharType="end"/>
        </w:r>
      </w:hyperlink>
    </w:p>
    <w:p w14:paraId="7AFA1358" w14:textId="5D588364" w:rsidR="006A49A8" w:rsidRDefault="00024E24">
      <w:pPr>
        <w:pStyle w:val="TOC2"/>
        <w:rPr>
          <w:rFonts w:asciiTheme="minorHAnsi" w:eastAsiaTheme="minorEastAsia" w:hAnsiTheme="minorHAnsi" w:cstheme="minorBidi"/>
          <w:szCs w:val="22"/>
        </w:rPr>
      </w:pPr>
      <w:hyperlink w:anchor="_Toc440906334" w:history="1">
        <w:r w:rsidR="006A49A8" w:rsidRPr="00712F19">
          <w:rPr>
            <w:rStyle w:val="Hyperlink"/>
          </w:rPr>
          <w:t>9.9</w:t>
        </w:r>
        <w:r w:rsidR="006A49A8">
          <w:rPr>
            <w:rFonts w:asciiTheme="minorHAnsi" w:eastAsiaTheme="minorEastAsia" w:hAnsiTheme="minorHAnsi" w:cstheme="minorBidi"/>
            <w:szCs w:val="22"/>
          </w:rPr>
          <w:tab/>
        </w:r>
        <w:r w:rsidR="006A49A8" w:rsidRPr="00712F19">
          <w:rPr>
            <w:rStyle w:val="Hyperlink"/>
          </w:rPr>
          <w:t>Safety Oversight (LMM plus DSM)</w:t>
        </w:r>
        <w:r w:rsidR="006A49A8">
          <w:rPr>
            <w:webHidden/>
          </w:rPr>
          <w:tab/>
        </w:r>
        <w:r w:rsidR="006A49A8">
          <w:rPr>
            <w:webHidden/>
          </w:rPr>
          <w:fldChar w:fldCharType="begin"/>
        </w:r>
        <w:r w:rsidR="006A49A8">
          <w:rPr>
            <w:webHidden/>
          </w:rPr>
          <w:instrText xml:space="preserve"> PAGEREF _Toc440906334 \h </w:instrText>
        </w:r>
        <w:r w:rsidR="006A49A8">
          <w:rPr>
            <w:webHidden/>
          </w:rPr>
        </w:r>
        <w:r w:rsidR="006A49A8">
          <w:rPr>
            <w:webHidden/>
          </w:rPr>
          <w:fldChar w:fldCharType="separate"/>
        </w:r>
        <w:r>
          <w:rPr>
            <w:webHidden/>
          </w:rPr>
          <w:t>65</w:t>
        </w:r>
        <w:r w:rsidR="006A49A8">
          <w:rPr>
            <w:webHidden/>
          </w:rPr>
          <w:fldChar w:fldCharType="end"/>
        </w:r>
      </w:hyperlink>
    </w:p>
    <w:p w14:paraId="66C507CF" w14:textId="77A54B38" w:rsidR="006A49A8" w:rsidRDefault="00024E24">
      <w:pPr>
        <w:pStyle w:val="TOC1"/>
        <w:rPr>
          <w:rFonts w:asciiTheme="minorHAnsi" w:eastAsiaTheme="minorEastAsia" w:hAnsiTheme="minorHAnsi" w:cstheme="minorBidi"/>
          <w:szCs w:val="22"/>
        </w:rPr>
      </w:pPr>
      <w:hyperlink w:anchor="_Toc440906335" w:history="1">
        <w:r w:rsidR="006A49A8" w:rsidRPr="00712F19">
          <w:rPr>
            <w:rStyle w:val="Hyperlink"/>
          </w:rPr>
          <w:t>10</w:t>
        </w:r>
        <w:r w:rsidR="006A49A8">
          <w:rPr>
            <w:rFonts w:asciiTheme="minorHAnsi" w:eastAsiaTheme="minorEastAsia" w:hAnsiTheme="minorHAnsi" w:cstheme="minorBidi"/>
            <w:szCs w:val="22"/>
          </w:rPr>
          <w:tab/>
        </w:r>
        <w:r w:rsidR="006A49A8" w:rsidRPr="00712F19">
          <w:rPr>
            <w:rStyle w:val="Hyperlink"/>
          </w:rPr>
          <w:t>Clinical Monitoring</w:t>
        </w:r>
        <w:r w:rsidR="006A49A8">
          <w:rPr>
            <w:webHidden/>
          </w:rPr>
          <w:tab/>
        </w:r>
        <w:r w:rsidR="006A49A8">
          <w:rPr>
            <w:webHidden/>
          </w:rPr>
          <w:fldChar w:fldCharType="begin"/>
        </w:r>
        <w:r w:rsidR="006A49A8">
          <w:rPr>
            <w:webHidden/>
          </w:rPr>
          <w:instrText xml:space="preserve"> PAGEREF _Toc440906335 \h </w:instrText>
        </w:r>
        <w:r w:rsidR="006A49A8">
          <w:rPr>
            <w:webHidden/>
          </w:rPr>
        </w:r>
        <w:r w:rsidR="006A49A8">
          <w:rPr>
            <w:webHidden/>
          </w:rPr>
          <w:fldChar w:fldCharType="separate"/>
        </w:r>
        <w:r>
          <w:rPr>
            <w:webHidden/>
          </w:rPr>
          <w:t>66</w:t>
        </w:r>
        <w:r w:rsidR="006A49A8">
          <w:rPr>
            <w:webHidden/>
          </w:rPr>
          <w:fldChar w:fldCharType="end"/>
        </w:r>
      </w:hyperlink>
    </w:p>
    <w:p w14:paraId="2FC97F2B" w14:textId="0BCC5049" w:rsidR="006A49A8" w:rsidRDefault="00024E24">
      <w:pPr>
        <w:pStyle w:val="TOC2"/>
        <w:rPr>
          <w:rFonts w:asciiTheme="minorHAnsi" w:eastAsiaTheme="minorEastAsia" w:hAnsiTheme="minorHAnsi" w:cstheme="minorBidi"/>
          <w:szCs w:val="22"/>
        </w:rPr>
      </w:pPr>
      <w:hyperlink w:anchor="_Toc440906336" w:history="1">
        <w:r w:rsidR="006A49A8" w:rsidRPr="00712F19">
          <w:rPr>
            <w:rStyle w:val="Hyperlink"/>
          </w:rPr>
          <w:t>10.1</w:t>
        </w:r>
        <w:r w:rsidR="006A49A8">
          <w:rPr>
            <w:rFonts w:asciiTheme="minorHAnsi" w:eastAsiaTheme="minorEastAsia" w:hAnsiTheme="minorHAnsi" w:cstheme="minorBidi"/>
            <w:szCs w:val="22"/>
          </w:rPr>
          <w:tab/>
        </w:r>
        <w:r w:rsidR="006A49A8" w:rsidRPr="00712F19">
          <w:rPr>
            <w:rStyle w:val="Hyperlink"/>
          </w:rPr>
          <w:t>Site Monitoring</w:t>
        </w:r>
        <w:r w:rsidR="006A49A8">
          <w:rPr>
            <w:webHidden/>
          </w:rPr>
          <w:tab/>
        </w:r>
        <w:r w:rsidR="006A49A8">
          <w:rPr>
            <w:webHidden/>
          </w:rPr>
          <w:fldChar w:fldCharType="begin"/>
        </w:r>
        <w:r w:rsidR="006A49A8">
          <w:rPr>
            <w:webHidden/>
          </w:rPr>
          <w:instrText xml:space="preserve"> PAGEREF _Toc440906336 \h </w:instrText>
        </w:r>
        <w:r w:rsidR="006A49A8">
          <w:rPr>
            <w:webHidden/>
          </w:rPr>
        </w:r>
        <w:r w:rsidR="006A49A8">
          <w:rPr>
            <w:webHidden/>
          </w:rPr>
          <w:fldChar w:fldCharType="separate"/>
        </w:r>
        <w:r>
          <w:rPr>
            <w:webHidden/>
          </w:rPr>
          <w:t>66</w:t>
        </w:r>
        <w:r w:rsidR="006A49A8">
          <w:rPr>
            <w:webHidden/>
          </w:rPr>
          <w:fldChar w:fldCharType="end"/>
        </w:r>
      </w:hyperlink>
    </w:p>
    <w:p w14:paraId="60206ED5" w14:textId="3DB8835B" w:rsidR="006A49A8" w:rsidRDefault="00024E24">
      <w:pPr>
        <w:pStyle w:val="TOC1"/>
        <w:rPr>
          <w:rFonts w:asciiTheme="minorHAnsi" w:eastAsiaTheme="minorEastAsia" w:hAnsiTheme="minorHAnsi" w:cstheme="minorBidi"/>
          <w:szCs w:val="22"/>
        </w:rPr>
      </w:pPr>
      <w:hyperlink w:anchor="_Toc440906337" w:history="1">
        <w:r w:rsidR="006A49A8" w:rsidRPr="00712F19">
          <w:rPr>
            <w:rStyle w:val="Hyperlink"/>
          </w:rPr>
          <w:t>11</w:t>
        </w:r>
        <w:r w:rsidR="006A49A8">
          <w:rPr>
            <w:rFonts w:asciiTheme="minorHAnsi" w:eastAsiaTheme="minorEastAsia" w:hAnsiTheme="minorHAnsi" w:cstheme="minorBidi"/>
            <w:szCs w:val="22"/>
          </w:rPr>
          <w:tab/>
        </w:r>
        <w:r w:rsidR="006A49A8" w:rsidRPr="00712F19">
          <w:rPr>
            <w:rStyle w:val="Hyperlink"/>
          </w:rPr>
          <w:t>Statistical Considerations</w:t>
        </w:r>
        <w:r w:rsidR="006A49A8">
          <w:rPr>
            <w:webHidden/>
          </w:rPr>
          <w:tab/>
        </w:r>
        <w:r w:rsidR="006A49A8">
          <w:rPr>
            <w:webHidden/>
          </w:rPr>
          <w:fldChar w:fldCharType="begin"/>
        </w:r>
        <w:r w:rsidR="006A49A8">
          <w:rPr>
            <w:webHidden/>
          </w:rPr>
          <w:instrText xml:space="preserve"> PAGEREF _Toc440906337 \h </w:instrText>
        </w:r>
        <w:r w:rsidR="006A49A8">
          <w:rPr>
            <w:webHidden/>
          </w:rPr>
        </w:r>
        <w:r w:rsidR="006A49A8">
          <w:rPr>
            <w:webHidden/>
          </w:rPr>
          <w:fldChar w:fldCharType="separate"/>
        </w:r>
        <w:r>
          <w:rPr>
            <w:webHidden/>
          </w:rPr>
          <w:t>67</w:t>
        </w:r>
        <w:r w:rsidR="006A49A8">
          <w:rPr>
            <w:webHidden/>
          </w:rPr>
          <w:fldChar w:fldCharType="end"/>
        </w:r>
      </w:hyperlink>
    </w:p>
    <w:p w14:paraId="5748D5E4" w14:textId="4BB86827" w:rsidR="006A49A8" w:rsidRDefault="00024E24">
      <w:pPr>
        <w:pStyle w:val="TOC2"/>
        <w:rPr>
          <w:rFonts w:asciiTheme="minorHAnsi" w:eastAsiaTheme="minorEastAsia" w:hAnsiTheme="minorHAnsi" w:cstheme="minorBidi"/>
          <w:szCs w:val="22"/>
        </w:rPr>
      </w:pPr>
      <w:hyperlink w:anchor="_Toc440906338" w:history="1">
        <w:r w:rsidR="006A49A8" w:rsidRPr="00712F19">
          <w:rPr>
            <w:rStyle w:val="Hyperlink"/>
          </w:rPr>
          <w:t>11.1</w:t>
        </w:r>
        <w:r w:rsidR="006A49A8">
          <w:rPr>
            <w:rFonts w:asciiTheme="minorHAnsi" w:eastAsiaTheme="minorEastAsia" w:hAnsiTheme="minorHAnsi" w:cstheme="minorBidi"/>
            <w:szCs w:val="22"/>
          </w:rPr>
          <w:tab/>
        </w:r>
        <w:r w:rsidR="006A49A8" w:rsidRPr="00712F19">
          <w:rPr>
            <w:rStyle w:val="Hyperlink"/>
          </w:rPr>
          <w:t>Study Hypotheses</w:t>
        </w:r>
        <w:r w:rsidR="006A49A8">
          <w:rPr>
            <w:webHidden/>
          </w:rPr>
          <w:tab/>
        </w:r>
        <w:r w:rsidR="006A49A8">
          <w:rPr>
            <w:webHidden/>
          </w:rPr>
          <w:fldChar w:fldCharType="begin"/>
        </w:r>
        <w:r w:rsidR="006A49A8">
          <w:rPr>
            <w:webHidden/>
          </w:rPr>
          <w:instrText xml:space="preserve"> PAGEREF _Toc440906338 \h </w:instrText>
        </w:r>
        <w:r w:rsidR="006A49A8">
          <w:rPr>
            <w:webHidden/>
          </w:rPr>
        </w:r>
        <w:r w:rsidR="006A49A8">
          <w:rPr>
            <w:webHidden/>
          </w:rPr>
          <w:fldChar w:fldCharType="separate"/>
        </w:r>
        <w:r>
          <w:rPr>
            <w:webHidden/>
          </w:rPr>
          <w:t>67</w:t>
        </w:r>
        <w:r w:rsidR="006A49A8">
          <w:rPr>
            <w:webHidden/>
          </w:rPr>
          <w:fldChar w:fldCharType="end"/>
        </w:r>
      </w:hyperlink>
    </w:p>
    <w:p w14:paraId="204276FA" w14:textId="67095994" w:rsidR="006A49A8" w:rsidRDefault="00024E24">
      <w:pPr>
        <w:pStyle w:val="TOC2"/>
        <w:rPr>
          <w:rFonts w:asciiTheme="minorHAnsi" w:eastAsiaTheme="minorEastAsia" w:hAnsiTheme="minorHAnsi" w:cstheme="minorBidi"/>
          <w:szCs w:val="22"/>
        </w:rPr>
      </w:pPr>
      <w:hyperlink w:anchor="_Toc440906339" w:history="1">
        <w:r w:rsidR="006A49A8" w:rsidRPr="00712F19">
          <w:rPr>
            <w:rStyle w:val="Hyperlink"/>
          </w:rPr>
          <w:t>11.2</w:t>
        </w:r>
        <w:r w:rsidR="006A49A8">
          <w:rPr>
            <w:rFonts w:asciiTheme="minorHAnsi" w:eastAsiaTheme="minorEastAsia" w:hAnsiTheme="minorHAnsi" w:cstheme="minorBidi"/>
            <w:szCs w:val="22"/>
          </w:rPr>
          <w:tab/>
        </w:r>
        <w:r w:rsidR="006A49A8" w:rsidRPr="00712F19">
          <w:rPr>
            <w:rStyle w:val="Hyperlink"/>
          </w:rPr>
          <w:t>Sample Size Considerations</w:t>
        </w:r>
        <w:r w:rsidR="006A49A8">
          <w:rPr>
            <w:webHidden/>
          </w:rPr>
          <w:tab/>
        </w:r>
        <w:r w:rsidR="006A49A8">
          <w:rPr>
            <w:webHidden/>
          </w:rPr>
          <w:fldChar w:fldCharType="begin"/>
        </w:r>
        <w:r w:rsidR="006A49A8">
          <w:rPr>
            <w:webHidden/>
          </w:rPr>
          <w:instrText xml:space="preserve"> PAGEREF _Toc440906339 \h </w:instrText>
        </w:r>
        <w:r w:rsidR="006A49A8">
          <w:rPr>
            <w:webHidden/>
          </w:rPr>
        </w:r>
        <w:r w:rsidR="006A49A8">
          <w:rPr>
            <w:webHidden/>
          </w:rPr>
          <w:fldChar w:fldCharType="separate"/>
        </w:r>
        <w:r>
          <w:rPr>
            <w:webHidden/>
          </w:rPr>
          <w:t>67</w:t>
        </w:r>
        <w:r w:rsidR="006A49A8">
          <w:rPr>
            <w:webHidden/>
          </w:rPr>
          <w:fldChar w:fldCharType="end"/>
        </w:r>
      </w:hyperlink>
    </w:p>
    <w:p w14:paraId="30DB24EB" w14:textId="617FCF1D" w:rsidR="006A49A8" w:rsidRDefault="00024E24">
      <w:pPr>
        <w:pStyle w:val="TOC2"/>
        <w:rPr>
          <w:rFonts w:asciiTheme="minorHAnsi" w:eastAsiaTheme="minorEastAsia" w:hAnsiTheme="minorHAnsi" w:cstheme="minorBidi"/>
          <w:szCs w:val="22"/>
        </w:rPr>
      </w:pPr>
      <w:hyperlink w:anchor="_Toc440906340" w:history="1">
        <w:r w:rsidR="006A49A8" w:rsidRPr="00712F19">
          <w:rPr>
            <w:rStyle w:val="Hyperlink"/>
          </w:rPr>
          <w:t>11.3</w:t>
        </w:r>
        <w:r w:rsidR="006A49A8">
          <w:rPr>
            <w:rFonts w:asciiTheme="minorHAnsi" w:eastAsiaTheme="minorEastAsia" w:hAnsiTheme="minorHAnsi" w:cstheme="minorBidi"/>
            <w:szCs w:val="22"/>
          </w:rPr>
          <w:tab/>
        </w:r>
        <w:r w:rsidR="006A49A8" w:rsidRPr="00712F19">
          <w:rPr>
            <w:rStyle w:val="Hyperlink"/>
          </w:rPr>
          <w:t>Planned Interim Analyses</w:t>
        </w:r>
        <w:r w:rsidR="006A49A8">
          <w:rPr>
            <w:webHidden/>
          </w:rPr>
          <w:tab/>
        </w:r>
        <w:r w:rsidR="006A49A8">
          <w:rPr>
            <w:webHidden/>
          </w:rPr>
          <w:fldChar w:fldCharType="begin"/>
        </w:r>
        <w:r w:rsidR="006A49A8">
          <w:rPr>
            <w:webHidden/>
          </w:rPr>
          <w:instrText xml:space="preserve"> PAGEREF _Toc440906340 \h </w:instrText>
        </w:r>
        <w:r w:rsidR="006A49A8">
          <w:rPr>
            <w:webHidden/>
          </w:rPr>
        </w:r>
        <w:r w:rsidR="006A49A8">
          <w:rPr>
            <w:webHidden/>
          </w:rPr>
          <w:fldChar w:fldCharType="separate"/>
        </w:r>
        <w:r>
          <w:rPr>
            <w:webHidden/>
          </w:rPr>
          <w:t>67</w:t>
        </w:r>
        <w:r w:rsidR="006A49A8">
          <w:rPr>
            <w:webHidden/>
          </w:rPr>
          <w:fldChar w:fldCharType="end"/>
        </w:r>
      </w:hyperlink>
    </w:p>
    <w:p w14:paraId="62242BE1" w14:textId="5837E271" w:rsidR="006A49A8" w:rsidRDefault="00024E24">
      <w:pPr>
        <w:pStyle w:val="TOC2"/>
        <w:rPr>
          <w:rFonts w:asciiTheme="minorHAnsi" w:eastAsiaTheme="minorEastAsia" w:hAnsiTheme="minorHAnsi" w:cstheme="minorBidi"/>
          <w:szCs w:val="22"/>
        </w:rPr>
      </w:pPr>
      <w:hyperlink w:anchor="_Toc440906341" w:history="1">
        <w:r w:rsidR="006A49A8" w:rsidRPr="00712F19">
          <w:rPr>
            <w:rStyle w:val="Hyperlink"/>
          </w:rPr>
          <w:t>11.4</w:t>
        </w:r>
        <w:r w:rsidR="006A49A8">
          <w:rPr>
            <w:rFonts w:asciiTheme="minorHAnsi" w:eastAsiaTheme="minorEastAsia" w:hAnsiTheme="minorHAnsi" w:cstheme="minorBidi"/>
            <w:szCs w:val="22"/>
          </w:rPr>
          <w:tab/>
        </w:r>
        <w:r w:rsidR="006A49A8" w:rsidRPr="00712F19">
          <w:rPr>
            <w:rStyle w:val="Hyperlink"/>
          </w:rPr>
          <w:t>Final Analysis Plan</w:t>
        </w:r>
        <w:r w:rsidR="006A49A8">
          <w:rPr>
            <w:webHidden/>
          </w:rPr>
          <w:tab/>
        </w:r>
        <w:r w:rsidR="006A49A8">
          <w:rPr>
            <w:webHidden/>
          </w:rPr>
          <w:fldChar w:fldCharType="begin"/>
        </w:r>
        <w:r w:rsidR="006A49A8">
          <w:rPr>
            <w:webHidden/>
          </w:rPr>
          <w:instrText xml:space="preserve"> PAGEREF _Toc440906341 \h </w:instrText>
        </w:r>
        <w:r w:rsidR="006A49A8">
          <w:rPr>
            <w:webHidden/>
          </w:rPr>
        </w:r>
        <w:r w:rsidR="006A49A8">
          <w:rPr>
            <w:webHidden/>
          </w:rPr>
          <w:fldChar w:fldCharType="separate"/>
        </w:r>
        <w:r>
          <w:rPr>
            <w:webHidden/>
          </w:rPr>
          <w:t>67</w:t>
        </w:r>
        <w:r w:rsidR="006A49A8">
          <w:rPr>
            <w:webHidden/>
          </w:rPr>
          <w:fldChar w:fldCharType="end"/>
        </w:r>
      </w:hyperlink>
    </w:p>
    <w:p w14:paraId="20B42EC8" w14:textId="06CC7B16" w:rsidR="006A49A8" w:rsidRDefault="00024E24">
      <w:pPr>
        <w:pStyle w:val="TOC1"/>
        <w:rPr>
          <w:rFonts w:asciiTheme="minorHAnsi" w:eastAsiaTheme="minorEastAsia" w:hAnsiTheme="minorHAnsi" w:cstheme="minorBidi"/>
          <w:szCs w:val="22"/>
        </w:rPr>
      </w:pPr>
      <w:hyperlink w:anchor="_Toc440906342" w:history="1">
        <w:r w:rsidR="006A49A8" w:rsidRPr="00712F19">
          <w:rPr>
            <w:rStyle w:val="Hyperlink"/>
          </w:rPr>
          <w:t>12</w:t>
        </w:r>
        <w:r w:rsidR="006A49A8">
          <w:rPr>
            <w:rFonts w:asciiTheme="minorHAnsi" w:eastAsiaTheme="minorEastAsia" w:hAnsiTheme="minorHAnsi" w:cstheme="minorBidi"/>
            <w:szCs w:val="22"/>
          </w:rPr>
          <w:tab/>
        </w:r>
        <w:r w:rsidR="006A49A8" w:rsidRPr="00712F19">
          <w:rPr>
            <w:rStyle w:val="Hyperlink"/>
          </w:rPr>
          <w:t>Source Documents and Access to Source Data/Documents</w:t>
        </w:r>
        <w:r w:rsidR="006A49A8">
          <w:rPr>
            <w:webHidden/>
          </w:rPr>
          <w:tab/>
        </w:r>
        <w:r w:rsidR="006A49A8">
          <w:rPr>
            <w:webHidden/>
          </w:rPr>
          <w:fldChar w:fldCharType="begin"/>
        </w:r>
        <w:r w:rsidR="006A49A8">
          <w:rPr>
            <w:webHidden/>
          </w:rPr>
          <w:instrText xml:space="preserve"> PAGEREF _Toc440906342 \h </w:instrText>
        </w:r>
        <w:r w:rsidR="006A49A8">
          <w:rPr>
            <w:webHidden/>
          </w:rPr>
        </w:r>
        <w:r w:rsidR="006A49A8">
          <w:rPr>
            <w:webHidden/>
          </w:rPr>
          <w:fldChar w:fldCharType="separate"/>
        </w:r>
        <w:r>
          <w:rPr>
            <w:webHidden/>
          </w:rPr>
          <w:t>70</w:t>
        </w:r>
        <w:r w:rsidR="006A49A8">
          <w:rPr>
            <w:webHidden/>
          </w:rPr>
          <w:fldChar w:fldCharType="end"/>
        </w:r>
      </w:hyperlink>
    </w:p>
    <w:p w14:paraId="3B73728B" w14:textId="6365F4C7" w:rsidR="006A49A8" w:rsidRDefault="00024E24">
      <w:pPr>
        <w:pStyle w:val="TOC1"/>
        <w:rPr>
          <w:rFonts w:asciiTheme="minorHAnsi" w:eastAsiaTheme="minorEastAsia" w:hAnsiTheme="minorHAnsi" w:cstheme="minorBidi"/>
          <w:szCs w:val="22"/>
        </w:rPr>
      </w:pPr>
      <w:hyperlink w:anchor="_Toc440906343" w:history="1">
        <w:r w:rsidR="006A49A8" w:rsidRPr="00712F19">
          <w:rPr>
            <w:rStyle w:val="Hyperlink"/>
          </w:rPr>
          <w:t>13</w:t>
        </w:r>
        <w:r w:rsidR="006A49A8">
          <w:rPr>
            <w:rFonts w:asciiTheme="minorHAnsi" w:eastAsiaTheme="minorEastAsia" w:hAnsiTheme="minorHAnsi" w:cstheme="minorBidi"/>
            <w:szCs w:val="22"/>
          </w:rPr>
          <w:tab/>
        </w:r>
        <w:r w:rsidR="006A49A8" w:rsidRPr="00712F19">
          <w:rPr>
            <w:rStyle w:val="Hyperlink"/>
          </w:rPr>
          <w:t>Quality Control and Quality Assurance</w:t>
        </w:r>
        <w:r w:rsidR="006A49A8">
          <w:rPr>
            <w:webHidden/>
          </w:rPr>
          <w:tab/>
        </w:r>
        <w:r w:rsidR="006A49A8">
          <w:rPr>
            <w:webHidden/>
          </w:rPr>
          <w:fldChar w:fldCharType="begin"/>
        </w:r>
        <w:r w:rsidR="006A49A8">
          <w:rPr>
            <w:webHidden/>
          </w:rPr>
          <w:instrText xml:space="preserve"> PAGEREF _Toc440906343 \h </w:instrText>
        </w:r>
        <w:r w:rsidR="006A49A8">
          <w:rPr>
            <w:webHidden/>
          </w:rPr>
        </w:r>
        <w:r w:rsidR="006A49A8">
          <w:rPr>
            <w:webHidden/>
          </w:rPr>
          <w:fldChar w:fldCharType="separate"/>
        </w:r>
        <w:r>
          <w:rPr>
            <w:webHidden/>
          </w:rPr>
          <w:t>71</w:t>
        </w:r>
        <w:r w:rsidR="006A49A8">
          <w:rPr>
            <w:webHidden/>
          </w:rPr>
          <w:fldChar w:fldCharType="end"/>
        </w:r>
      </w:hyperlink>
    </w:p>
    <w:p w14:paraId="56FE07B3" w14:textId="30D13A65" w:rsidR="006A49A8" w:rsidRDefault="00024E24">
      <w:pPr>
        <w:pStyle w:val="TOC1"/>
        <w:rPr>
          <w:rFonts w:asciiTheme="minorHAnsi" w:eastAsiaTheme="minorEastAsia" w:hAnsiTheme="minorHAnsi" w:cstheme="minorBidi"/>
          <w:szCs w:val="22"/>
        </w:rPr>
      </w:pPr>
      <w:hyperlink w:anchor="_Toc440906344" w:history="1">
        <w:r w:rsidR="006A49A8" w:rsidRPr="00712F19">
          <w:rPr>
            <w:rStyle w:val="Hyperlink"/>
          </w:rPr>
          <w:t>14</w:t>
        </w:r>
        <w:r w:rsidR="006A49A8">
          <w:rPr>
            <w:rFonts w:asciiTheme="minorHAnsi" w:eastAsiaTheme="minorEastAsia" w:hAnsiTheme="minorHAnsi" w:cstheme="minorBidi"/>
            <w:szCs w:val="22"/>
          </w:rPr>
          <w:tab/>
        </w:r>
        <w:r w:rsidR="006A49A8" w:rsidRPr="00712F19">
          <w:rPr>
            <w:rStyle w:val="Hyperlink"/>
          </w:rPr>
          <w:t>Ethics/Protection of Human Subjects</w:t>
        </w:r>
        <w:r w:rsidR="006A49A8">
          <w:rPr>
            <w:webHidden/>
          </w:rPr>
          <w:tab/>
        </w:r>
        <w:r w:rsidR="006A49A8">
          <w:rPr>
            <w:webHidden/>
          </w:rPr>
          <w:fldChar w:fldCharType="begin"/>
        </w:r>
        <w:r w:rsidR="006A49A8">
          <w:rPr>
            <w:webHidden/>
          </w:rPr>
          <w:instrText xml:space="preserve"> PAGEREF _Toc440906344 \h </w:instrText>
        </w:r>
        <w:r w:rsidR="006A49A8">
          <w:rPr>
            <w:webHidden/>
          </w:rPr>
        </w:r>
        <w:r w:rsidR="006A49A8">
          <w:rPr>
            <w:webHidden/>
          </w:rPr>
          <w:fldChar w:fldCharType="separate"/>
        </w:r>
        <w:r>
          <w:rPr>
            <w:webHidden/>
          </w:rPr>
          <w:t>72</w:t>
        </w:r>
        <w:r w:rsidR="006A49A8">
          <w:rPr>
            <w:webHidden/>
          </w:rPr>
          <w:fldChar w:fldCharType="end"/>
        </w:r>
      </w:hyperlink>
    </w:p>
    <w:p w14:paraId="6A7A499F" w14:textId="2E958007" w:rsidR="006A49A8" w:rsidRDefault="00024E24">
      <w:pPr>
        <w:pStyle w:val="TOC2"/>
        <w:rPr>
          <w:rFonts w:asciiTheme="minorHAnsi" w:eastAsiaTheme="minorEastAsia" w:hAnsiTheme="minorHAnsi" w:cstheme="minorBidi"/>
          <w:szCs w:val="22"/>
        </w:rPr>
      </w:pPr>
      <w:hyperlink w:anchor="_Toc440906345" w:history="1">
        <w:r w:rsidR="006A49A8" w:rsidRPr="00712F19">
          <w:rPr>
            <w:rStyle w:val="Hyperlink"/>
          </w:rPr>
          <w:t>14.1</w:t>
        </w:r>
        <w:r w:rsidR="006A49A8">
          <w:rPr>
            <w:rFonts w:asciiTheme="minorHAnsi" w:eastAsiaTheme="minorEastAsia" w:hAnsiTheme="minorHAnsi" w:cstheme="minorBidi"/>
            <w:szCs w:val="22"/>
          </w:rPr>
          <w:tab/>
        </w:r>
        <w:r w:rsidR="006A49A8" w:rsidRPr="00712F19">
          <w:rPr>
            <w:rStyle w:val="Hyperlink"/>
          </w:rPr>
          <w:t>Ethical Standard</w:t>
        </w:r>
        <w:r w:rsidR="006A49A8">
          <w:rPr>
            <w:webHidden/>
          </w:rPr>
          <w:tab/>
        </w:r>
        <w:r w:rsidR="006A49A8">
          <w:rPr>
            <w:webHidden/>
          </w:rPr>
          <w:fldChar w:fldCharType="begin"/>
        </w:r>
        <w:r w:rsidR="006A49A8">
          <w:rPr>
            <w:webHidden/>
          </w:rPr>
          <w:instrText xml:space="preserve"> PAGEREF _Toc440906345 \h </w:instrText>
        </w:r>
        <w:r w:rsidR="006A49A8">
          <w:rPr>
            <w:webHidden/>
          </w:rPr>
        </w:r>
        <w:r w:rsidR="006A49A8">
          <w:rPr>
            <w:webHidden/>
          </w:rPr>
          <w:fldChar w:fldCharType="separate"/>
        </w:r>
        <w:r>
          <w:rPr>
            <w:webHidden/>
          </w:rPr>
          <w:t>72</w:t>
        </w:r>
        <w:r w:rsidR="006A49A8">
          <w:rPr>
            <w:webHidden/>
          </w:rPr>
          <w:fldChar w:fldCharType="end"/>
        </w:r>
      </w:hyperlink>
    </w:p>
    <w:p w14:paraId="706752AB" w14:textId="6F1FB273" w:rsidR="006A49A8" w:rsidRDefault="00024E24">
      <w:pPr>
        <w:pStyle w:val="TOC2"/>
        <w:rPr>
          <w:rFonts w:asciiTheme="minorHAnsi" w:eastAsiaTheme="minorEastAsia" w:hAnsiTheme="minorHAnsi" w:cstheme="minorBidi"/>
          <w:szCs w:val="22"/>
        </w:rPr>
      </w:pPr>
      <w:hyperlink w:anchor="_Toc440906346" w:history="1">
        <w:r w:rsidR="006A49A8" w:rsidRPr="00712F19">
          <w:rPr>
            <w:rStyle w:val="Hyperlink"/>
          </w:rPr>
          <w:t>14.2</w:t>
        </w:r>
        <w:r w:rsidR="006A49A8">
          <w:rPr>
            <w:rFonts w:asciiTheme="minorHAnsi" w:eastAsiaTheme="minorEastAsia" w:hAnsiTheme="minorHAnsi" w:cstheme="minorBidi"/>
            <w:szCs w:val="22"/>
          </w:rPr>
          <w:tab/>
        </w:r>
        <w:r w:rsidR="006A49A8" w:rsidRPr="00712F19">
          <w:rPr>
            <w:rStyle w:val="Hyperlink"/>
          </w:rPr>
          <w:t>Institutional Review Board</w:t>
        </w:r>
        <w:r w:rsidR="006A49A8">
          <w:rPr>
            <w:webHidden/>
          </w:rPr>
          <w:tab/>
        </w:r>
        <w:r w:rsidR="006A49A8">
          <w:rPr>
            <w:webHidden/>
          </w:rPr>
          <w:fldChar w:fldCharType="begin"/>
        </w:r>
        <w:r w:rsidR="006A49A8">
          <w:rPr>
            <w:webHidden/>
          </w:rPr>
          <w:instrText xml:space="preserve"> PAGEREF _Toc440906346 \h </w:instrText>
        </w:r>
        <w:r w:rsidR="006A49A8">
          <w:rPr>
            <w:webHidden/>
          </w:rPr>
        </w:r>
        <w:r w:rsidR="006A49A8">
          <w:rPr>
            <w:webHidden/>
          </w:rPr>
          <w:fldChar w:fldCharType="separate"/>
        </w:r>
        <w:r>
          <w:rPr>
            <w:webHidden/>
          </w:rPr>
          <w:t>72</w:t>
        </w:r>
        <w:r w:rsidR="006A49A8">
          <w:rPr>
            <w:webHidden/>
          </w:rPr>
          <w:fldChar w:fldCharType="end"/>
        </w:r>
      </w:hyperlink>
    </w:p>
    <w:p w14:paraId="46DB5844" w14:textId="61AD946F" w:rsidR="006A49A8" w:rsidRDefault="00024E24">
      <w:pPr>
        <w:pStyle w:val="TOC2"/>
        <w:rPr>
          <w:rFonts w:asciiTheme="minorHAnsi" w:eastAsiaTheme="minorEastAsia" w:hAnsiTheme="minorHAnsi" w:cstheme="minorBidi"/>
          <w:szCs w:val="22"/>
        </w:rPr>
      </w:pPr>
      <w:hyperlink w:anchor="_Toc440906347" w:history="1">
        <w:r w:rsidR="006A49A8" w:rsidRPr="00712F19">
          <w:rPr>
            <w:rStyle w:val="Hyperlink"/>
          </w:rPr>
          <w:t>14.3</w:t>
        </w:r>
        <w:r w:rsidR="006A49A8">
          <w:rPr>
            <w:rFonts w:asciiTheme="minorHAnsi" w:eastAsiaTheme="minorEastAsia" w:hAnsiTheme="minorHAnsi" w:cstheme="minorBidi"/>
            <w:szCs w:val="22"/>
          </w:rPr>
          <w:tab/>
        </w:r>
        <w:r w:rsidR="006A49A8" w:rsidRPr="00712F19">
          <w:rPr>
            <w:rStyle w:val="Hyperlink"/>
          </w:rPr>
          <w:t>Informed Consent Process</w:t>
        </w:r>
        <w:r w:rsidR="006A49A8">
          <w:rPr>
            <w:webHidden/>
          </w:rPr>
          <w:tab/>
        </w:r>
        <w:r w:rsidR="006A49A8">
          <w:rPr>
            <w:webHidden/>
          </w:rPr>
          <w:fldChar w:fldCharType="begin"/>
        </w:r>
        <w:r w:rsidR="006A49A8">
          <w:rPr>
            <w:webHidden/>
          </w:rPr>
          <w:instrText xml:space="preserve"> PAGEREF _Toc440906347 \h </w:instrText>
        </w:r>
        <w:r w:rsidR="006A49A8">
          <w:rPr>
            <w:webHidden/>
          </w:rPr>
        </w:r>
        <w:r w:rsidR="006A49A8">
          <w:rPr>
            <w:webHidden/>
          </w:rPr>
          <w:fldChar w:fldCharType="separate"/>
        </w:r>
        <w:r>
          <w:rPr>
            <w:webHidden/>
          </w:rPr>
          <w:t>73</w:t>
        </w:r>
        <w:r w:rsidR="006A49A8">
          <w:rPr>
            <w:webHidden/>
          </w:rPr>
          <w:fldChar w:fldCharType="end"/>
        </w:r>
      </w:hyperlink>
    </w:p>
    <w:p w14:paraId="67D602FD" w14:textId="1D3F0913" w:rsidR="006A49A8" w:rsidRDefault="00024E24">
      <w:pPr>
        <w:pStyle w:val="TOC3"/>
        <w:rPr>
          <w:rFonts w:asciiTheme="minorHAnsi" w:eastAsiaTheme="minorEastAsia" w:hAnsiTheme="minorHAnsi" w:cstheme="minorBidi"/>
          <w:szCs w:val="22"/>
        </w:rPr>
      </w:pPr>
      <w:hyperlink w:anchor="_Toc440906348" w:history="1">
        <w:r w:rsidR="006A49A8" w:rsidRPr="00712F19">
          <w:rPr>
            <w:rStyle w:val="Hyperlink"/>
          </w:rPr>
          <w:t>14.3.1</w:t>
        </w:r>
        <w:r w:rsidR="006A49A8">
          <w:rPr>
            <w:rFonts w:asciiTheme="minorHAnsi" w:eastAsiaTheme="minorEastAsia" w:hAnsiTheme="minorHAnsi" w:cstheme="minorBidi"/>
            <w:szCs w:val="22"/>
          </w:rPr>
          <w:tab/>
        </w:r>
        <w:r w:rsidR="006A49A8" w:rsidRPr="00712F19">
          <w:rPr>
            <w:rStyle w:val="Hyperlink"/>
          </w:rPr>
          <w:t>Informed Consent/Assent Process (in Case of a Minor)</w:t>
        </w:r>
        <w:r w:rsidR="006A49A8">
          <w:rPr>
            <w:webHidden/>
          </w:rPr>
          <w:tab/>
        </w:r>
        <w:r w:rsidR="006A49A8">
          <w:rPr>
            <w:webHidden/>
          </w:rPr>
          <w:fldChar w:fldCharType="begin"/>
        </w:r>
        <w:r w:rsidR="006A49A8">
          <w:rPr>
            <w:webHidden/>
          </w:rPr>
          <w:instrText xml:space="preserve"> PAGEREF _Toc440906348 \h </w:instrText>
        </w:r>
        <w:r w:rsidR="006A49A8">
          <w:rPr>
            <w:webHidden/>
          </w:rPr>
        </w:r>
        <w:r w:rsidR="006A49A8">
          <w:rPr>
            <w:webHidden/>
          </w:rPr>
          <w:fldChar w:fldCharType="separate"/>
        </w:r>
        <w:r>
          <w:rPr>
            <w:webHidden/>
          </w:rPr>
          <w:t>74</w:t>
        </w:r>
        <w:r w:rsidR="006A49A8">
          <w:rPr>
            <w:webHidden/>
          </w:rPr>
          <w:fldChar w:fldCharType="end"/>
        </w:r>
      </w:hyperlink>
    </w:p>
    <w:p w14:paraId="183D9F65" w14:textId="752AEDBA" w:rsidR="006A49A8" w:rsidRDefault="00024E24">
      <w:pPr>
        <w:pStyle w:val="TOC2"/>
        <w:rPr>
          <w:rFonts w:asciiTheme="minorHAnsi" w:eastAsiaTheme="minorEastAsia" w:hAnsiTheme="minorHAnsi" w:cstheme="minorBidi"/>
          <w:szCs w:val="22"/>
        </w:rPr>
      </w:pPr>
      <w:hyperlink w:anchor="_Toc440906349" w:history="1">
        <w:r w:rsidR="006A49A8" w:rsidRPr="00712F19">
          <w:rPr>
            <w:rStyle w:val="Hyperlink"/>
          </w:rPr>
          <w:t>14.4</w:t>
        </w:r>
        <w:r w:rsidR="006A49A8">
          <w:rPr>
            <w:rFonts w:asciiTheme="minorHAnsi" w:eastAsiaTheme="minorEastAsia" w:hAnsiTheme="minorHAnsi" w:cstheme="minorBidi"/>
            <w:szCs w:val="22"/>
          </w:rPr>
          <w:tab/>
        </w:r>
        <w:r w:rsidR="006A49A8" w:rsidRPr="00712F19">
          <w:rPr>
            <w:rStyle w:val="Hyperlink"/>
          </w:rPr>
          <w:t>Exclusion of Women, Minorities, and Children (Special Populations)</w:t>
        </w:r>
        <w:r w:rsidR="006A49A8">
          <w:rPr>
            <w:webHidden/>
          </w:rPr>
          <w:tab/>
        </w:r>
        <w:r w:rsidR="006A49A8">
          <w:rPr>
            <w:webHidden/>
          </w:rPr>
          <w:fldChar w:fldCharType="begin"/>
        </w:r>
        <w:r w:rsidR="006A49A8">
          <w:rPr>
            <w:webHidden/>
          </w:rPr>
          <w:instrText xml:space="preserve"> PAGEREF _Toc440906349 \h </w:instrText>
        </w:r>
        <w:r w:rsidR="006A49A8">
          <w:rPr>
            <w:webHidden/>
          </w:rPr>
        </w:r>
        <w:r w:rsidR="006A49A8">
          <w:rPr>
            <w:webHidden/>
          </w:rPr>
          <w:fldChar w:fldCharType="separate"/>
        </w:r>
        <w:r>
          <w:rPr>
            <w:webHidden/>
          </w:rPr>
          <w:t>74</w:t>
        </w:r>
        <w:r w:rsidR="006A49A8">
          <w:rPr>
            <w:webHidden/>
          </w:rPr>
          <w:fldChar w:fldCharType="end"/>
        </w:r>
      </w:hyperlink>
    </w:p>
    <w:p w14:paraId="0F18A65C" w14:textId="0BC50160" w:rsidR="006A49A8" w:rsidRDefault="00024E24">
      <w:pPr>
        <w:pStyle w:val="TOC2"/>
        <w:rPr>
          <w:rFonts w:asciiTheme="minorHAnsi" w:eastAsiaTheme="minorEastAsia" w:hAnsiTheme="minorHAnsi" w:cstheme="minorBidi"/>
          <w:szCs w:val="22"/>
        </w:rPr>
      </w:pPr>
      <w:hyperlink w:anchor="_Toc440906350" w:history="1">
        <w:r w:rsidR="006A49A8" w:rsidRPr="00712F19">
          <w:rPr>
            <w:rStyle w:val="Hyperlink"/>
          </w:rPr>
          <w:t>14.5</w:t>
        </w:r>
        <w:r w:rsidR="006A49A8">
          <w:rPr>
            <w:rFonts w:asciiTheme="minorHAnsi" w:eastAsiaTheme="minorEastAsia" w:hAnsiTheme="minorHAnsi" w:cstheme="minorBidi"/>
            <w:szCs w:val="22"/>
          </w:rPr>
          <w:tab/>
        </w:r>
        <w:r w:rsidR="006A49A8" w:rsidRPr="00712F19">
          <w:rPr>
            <w:rStyle w:val="Hyperlink"/>
          </w:rPr>
          <w:t>Subject Confidentiality</w:t>
        </w:r>
        <w:r w:rsidR="006A49A8">
          <w:rPr>
            <w:webHidden/>
          </w:rPr>
          <w:tab/>
        </w:r>
        <w:r w:rsidR="006A49A8">
          <w:rPr>
            <w:webHidden/>
          </w:rPr>
          <w:fldChar w:fldCharType="begin"/>
        </w:r>
        <w:r w:rsidR="006A49A8">
          <w:rPr>
            <w:webHidden/>
          </w:rPr>
          <w:instrText xml:space="preserve"> PAGEREF _Toc440906350 \h </w:instrText>
        </w:r>
        <w:r w:rsidR="006A49A8">
          <w:rPr>
            <w:webHidden/>
          </w:rPr>
        </w:r>
        <w:r w:rsidR="006A49A8">
          <w:rPr>
            <w:webHidden/>
          </w:rPr>
          <w:fldChar w:fldCharType="separate"/>
        </w:r>
        <w:r>
          <w:rPr>
            <w:webHidden/>
          </w:rPr>
          <w:t>74</w:t>
        </w:r>
        <w:r w:rsidR="006A49A8">
          <w:rPr>
            <w:webHidden/>
          </w:rPr>
          <w:fldChar w:fldCharType="end"/>
        </w:r>
      </w:hyperlink>
    </w:p>
    <w:p w14:paraId="3FB2C188" w14:textId="66444503" w:rsidR="006A49A8" w:rsidRDefault="00024E24">
      <w:pPr>
        <w:pStyle w:val="TOC2"/>
        <w:rPr>
          <w:rFonts w:asciiTheme="minorHAnsi" w:eastAsiaTheme="minorEastAsia" w:hAnsiTheme="minorHAnsi" w:cstheme="minorBidi"/>
          <w:szCs w:val="22"/>
        </w:rPr>
      </w:pPr>
      <w:hyperlink w:anchor="_Toc440906351" w:history="1">
        <w:r w:rsidR="006A49A8" w:rsidRPr="00712F19">
          <w:rPr>
            <w:rStyle w:val="Hyperlink"/>
          </w:rPr>
          <w:t>14.6</w:t>
        </w:r>
        <w:r w:rsidR="006A49A8">
          <w:rPr>
            <w:rFonts w:asciiTheme="minorHAnsi" w:eastAsiaTheme="minorEastAsia" w:hAnsiTheme="minorHAnsi" w:cstheme="minorBidi"/>
            <w:szCs w:val="22"/>
          </w:rPr>
          <w:tab/>
        </w:r>
        <w:r w:rsidR="006A49A8" w:rsidRPr="00712F19">
          <w:rPr>
            <w:rStyle w:val="Hyperlink"/>
          </w:rPr>
          <w:t>Future Use of Stored Specimens</w:t>
        </w:r>
        <w:r w:rsidR="006A49A8">
          <w:rPr>
            <w:webHidden/>
          </w:rPr>
          <w:tab/>
        </w:r>
        <w:r w:rsidR="006A49A8">
          <w:rPr>
            <w:webHidden/>
          </w:rPr>
          <w:fldChar w:fldCharType="begin"/>
        </w:r>
        <w:r w:rsidR="006A49A8">
          <w:rPr>
            <w:webHidden/>
          </w:rPr>
          <w:instrText xml:space="preserve"> PAGEREF _Toc440906351 \h </w:instrText>
        </w:r>
        <w:r w:rsidR="006A49A8">
          <w:rPr>
            <w:webHidden/>
          </w:rPr>
        </w:r>
        <w:r w:rsidR="006A49A8">
          <w:rPr>
            <w:webHidden/>
          </w:rPr>
          <w:fldChar w:fldCharType="separate"/>
        </w:r>
        <w:r>
          <w:rPr>
            <w:webHidden/>
          </w:rPr>
          <w:t>74</w:t>
        </w:r>
        <w:r w:rsidR="006A49A8">
          <w:rPr>
            <w:webHidden/>
          </w:rPr>
          <w:fldChar w:fldCharType="end"/>
        </w:r>
      </w:hyperlink>
    </w:p>
    <w:p w14:paraId="47B75B64" w14:textId="1B83E3D3" w:rsidR="006A49A8" w:rsidRDefault="00024E24">
      <w:pPr>
        <w:pStyle w:val="TOC2"/>
        <w:rPr>
          <w:rFonts w:asciiTheme="minorHAnsi" w:eastAsiaTheme="minorEastAsia" w:hAnsiTheme="minorHAnsi" w:cstheme="minorBidi"/>
          <w:szCs w:val="22"/>
        </w:rPr>
      </w:pPr>
      <w:hyperlink w:anchor="_Toc440906352" w:history="1">
        <w:r w:rsidR="006A49A8" w:rsidRPr="00712F19">
          <w:rPr>
            <w:rStyle w:val="Hyperlink"/>
          </w:rPr>
          <w:t>14.7</w:t>
        </w:r>
        <w:r w:rsidR="006A49A8">
          <w:rPr>
            <w:rFonts w:asciiTheme="minorHAnsi" w:eastAsiaTheme="minorEastAsia" w:hAnsiTheme="minorHAnsi" w:cstheme="minorBidi"/>
            <w:szCs w:val="22"/>
          </w:rPr>
          <w:tab/>
        </w:r>
        <w:r w:rsidR="006A49A8" w:rsidRPr="00712F19">
          <w:rPr>
            <w:rStyle w:val="Hyperlink"/>
          </w:rPr>
          <w:t>Modification of Protocol</w:t>
        </w:r>
        <w:r w:rsidR="006A49A8">
          <w:rPr>
            <w:webHidden/>
          </w:rPr>
          <w:tab/>
        </w:r>
        <w:r w:rsidR="006A49A8">
          <w:rPr>
            <w:webHidden/>
          </w:rPr>
          <w:fldChar w:fldCharType="begin"/>
        </w:r>
        <w:r w:rsidR="006A49A8">
          <w:rPr>
            <w:webHidden/>
          </w:rPr>
          <w:instrText xml:space="preserve"> PAGEREF _Toc440906352 \h </w:instrText>
        </w:r>
        <w:r w:rsidR="006A49A8">
          <w:rPr>
            <w:webHidden/>
          </w:rPr>
        </w:r>
        <w:r w:rsidR="006A49A8">
          <w:rPr>
            <w:webHidden/>
          </w:rPr>
          <w:fldChar w:fldCharType="separate"/>
        </w:r>
        <w:r>
          <w:rPr>
            <w:webHidden/>
          </w:rPr>
          <w:t>75</w:t>
        </w:r>
        <w:r w:rsidR="006A49A8">
          <w:rPr>
            <w:webHidden/>
          </w:rPr>
          <w:fldChar w:fldCharType="end"/>
        </w:r>
      </w:hyperlink>
    </w:p>
    <w:p w14:paraId="6039F520" w14:textId="68BD37A5" w:rsidR="006A49A8" w:rsidRDefault="00024E24">
      <w:pPr>
        <w:pStyle w:val="TOC2"/>
        <w:rPr>
          <w:rFonts w:asciiTheme="minorHAnsi" w:eastAsiaTheme="minorEastAsia" w:hAnsiTheme="minorHAnsi" w:cstheme="minorBidi"/>
          <w:szCs w:val="22"/>
        </w:rPr>
      </w:pPr>
      <w:hyperlink w:anchor="_Toc440906353" w:history="1">
        <w:r w:rsidR="006A49A8" w:rsidRPr="00712F19">
          <w:rPr>
            <w:rStyle w:val="Hyperlink"/>
          </w:rPr>
          <w:t>14.8</w:t>
        </w:r>
        <w:r w:rsidR="006A49A8">
          <w:rPr>
            <w:rFonts w:asciiTheme="minorHAnsi" w:eastAsiaTheme="minorEastAsia" w:hAnsiTheme="minorHAnsi" w:cstheme="minorBidi"/>
            <w:szCs w:val="22"/>
          </w:rPr>
          <w:tab/>
        </w:r>
        <w:r w:rsidR="006A49A8" w:rsidRPr="00712F19">
          <w:rPr>
            <w:rStyle w:val="Hyperlink"/>
          </w:rPr>
          <w:t>Departure from Protocol</w:t>
        </w:r>
        <w:r w:rsidR="006A49A8">
          <w:rPr>
            <w:webHidden/>
          </w:rPr>
          <w:tab/>
        </w:r>
        <w:r w:rsidR="006A49A8">
          <w:rPr>
            <w:webHidden/>
          </w:rPr>
          <w:fldChar w:fldCharType="begin"/>
        </w:r>
        <w:r w:rsidR="006A49A8">
          <w:rPr>
            <w:webHidden/>
          </w:rPr>
          <w:instrText xml:space="preserve"> PAGEREF _Toc440906353 \h </w:instrText>
        </w:r>
        <w:r w:rsidR="006A49A8">
          <w:rPr>
            <w:webHidden/>
          </w:rPr>
        </w:r>
        <w:r w:rsidR="006A49A8">
          <w:rPr>
            <w:webHidden/>
          </w:rPr>
          <w:fldChar w:fldCharType="separate"/>
        </w:r>
        <w:r>
          <w:rPr>
            <w:webHidden/>
          </w:rPr>
          <w:t>75</w:t>
        </w:r>
        <w:r w:rsidR="006A49A8">
          <w:rPr>
            <w:webHidden/>
          </w:rPr>
          <w:fldChar w:fldCharType="end"/>
        </w:r>
      </w:hyperlink>
    </w:p>
    <w:p w14:paraId="2A7DB8C0" w14:textId="0463AE19" w:rsidR="006A49A8" w:rsidRDefault="00024E24">
      <w:pPr>
        <w:pStyle w:val="TOC2"/>
        <w:rPr>
          <w:rFonts w:asciiTheme="minorHAnsi" w:eastAsiaTheme="minorEastAsia" w:hAnsiTheme="minorHAnsi" w:cstheme="minorBidi"/>
          <w:szCs w:val="22"/>
        </w:rPr>
      </w:pPr>
      <w:hyperlink w:anchor="_Toc440906354" w:history="1">
        <w:r w:rsidR="006A49A8" w:rsidRPr="00712F19">
          <w:rPr>
            <w:rStyle w:val="Hyperlink"/>
          </w:rPr>
          <w:t>14.9</w:t>
        </w:r>
        <w:r w:rsidR="006A49A8">
          <w:rPr>
            <w:rFonts w:asciiTheme="minorHAnsi" w:eastAsiaTheme="minorEastAsia" w:hAnsiTheme="minorHAnsi" w:cstheme="minorBidi"/>
            <w:szCs w:val="22"/>
          </w:rPr>
          <w:tab/>
        </w:r>
        <w:r w:rsidR="006A49A8" w:rsidRPr="00712F19">
          <w:rPr>
            <w:rStyle w:val="Hyperlink"/>
          </w:rPr>
          <w:t>Suspension of Study</w:t>
        </w:r>
        <w:r w:rsidR="006A49A8">
          <w:rPr>
            <w:webHidden/>
          </w:rPr>
          <w:tab/>
        </w:r>
        <w:r w:rsidR="006A49A8">
          <w:rPr>
            <w:webHidden/>
          </w:rPr>
          <w:fldChar w:fldCharType="begin"/>
        </w:r>
        <w:r w:rsidR="006A49A8">
          <w:rPr>
            <w:webHidden/>
          </w:rPr>
          <w:instrText xml:space="preserve"> PAGEREF _Toc440906354 \h </w:instrText>
        </w:r>
        <w:r w:rsidR="006A49A8">
          <w:rPr>
            <w:webHidden/>
          </w:rPr>
        </w:r>
        <w:r w:rsidR="006A49A8">
          <w:rPr>
            <w:webHidden/>
          </w:rPr>
          <w:fldChar w:fldCharType="separate"/>
        </w:r>
        <w:r>
          <w:rPr>
            <w:webHidden/>
          </w:rPr>
          <w:t>75</w:t>
        </w:r>
        <w:r w:rsidR="006A49A8">
          <w:rPr>
            <w:webHidden/>
          </w:rPr>
          <w:fldChar w:fldCharType="end"/>
        </w:r>
      </w:hyperlink>
    </w:p>
    <w:p w14:paraId="34255559" w14:textId="3BD87219" w:rsidR="006A49A8" w:rsidRDefault="00024E24">
      <w:pPr>
        <w:pStyle w:val="TOC2"/>
        <w:rPr>
          <w:rFonts w:asciiTheme="minorHAnsi" w:eastAsiaTheme="minorEastAsia" w:hAnsiTheme="minorHAnsi" w:cstheme="minorBidi"/>
          <w:szCs w:val="22"/>
        </w:rPr>
      </w:pPr>
      <w:hyperlink w:anchor="_Toc440906355" w:history="1">
        <w:r w:rsidR="006A49A8" w:rsidRPr="00712F19">
          <w:rPr>
            <w:rStyle w:val="Hyperlink"/>
          </w:rPr>
          <w:t>14.10</w:t>
        </w:r>
        <w:r w:rsidR="006A49A8">
          <w:rPr>
            <w:rFonts w:asciiTheme="minorHAnsi" w:eastAsiaTheme="minorEastAsia" w:hAnsiTheme="minorHAnsi" w:cstheme="minorBidi"/>
            <w:szCs w:val="22"/>
          </w:rPr>
          <w:tab/>
        </w:r>
        <w:r w:rsidR="006A49A8" w:rsidRPr="00712F19">
          <w:rPr>
            <w:rStyle w:val="Hyperlink"/>
          </w:rPr>
          <w:t>Study Termination by the Sponsor</w:t>
        </w:r>
        <w:r w:rsidR="006A49A8">
          <w:rPr>
            <w:webHidden/>
          </w:rPr>
          <w:tab/>
        </w:r>
        <w:r w:rsidR="006A49A8">
          <w:rPr>
            <w:webHidden/>
          </w:rPr>
          <w:fldChar w:fldCharType="begin"/>
        </w:r>
        <w:r w:rsidR="006A49A8">
          <w:rPr>
            <w:webHidden/>
          </w:rPr>
          <w:instrText xml:space="preserve"> PAGEREF _Toc440906355 \h </w:instrText>
        </w:r>
        <w:r w:rsidR="006A49A8">
          <w:rPr>
            <w:webHidden/>
          </w:rPr>
        </w:r>
        <w:r w:rsidR="006A49A8">
          <w:rPr>
            <w:webHidden/>
          </w:rPr>
          <w:fldChar w:fldCharType="separate"/>
        </w:r>
        <w:r>
          <w:rPr>
            <w:webHidden/>
          </w:rPr>
          <w:t>75</w:t>
        </w:r>
        <w:r w:rsidR="006A49A8">
          <w:rPr>
            <w:webHidden/>
          </w:rPr>
          <w:fldChar w:fldCharType="end"/>
        </w:r>
      </w:hyperlink>
    </w:p>
    <w:p w14:paraId="174808A2" w14:textId="3C1CBDD7" w:rsidR="006A49A8" w:rsidRDefault="00024E24">
      <w:pPr>
        <w:pStyle w:val="TOC1"/>
        <w:rPr>
          <w:rFonts w:asciiTheme="minorHAnsi" w:eastAsiaTheme="minorEastAsia" w:hAnsiTheme="minorHAnsi" w:cstheme="minorBidi"/>
          <w:szCs w:val="22"/>
        </w:rPr>
      </w:pPr>
      <w:hyperlink w:anchor="_Toc440906356" w:history="1">
        <w:r w:rsidR="006A49A8" w:rsidRPr="00712F19">
          <w:rPr>
            <w:rStyle w:val="Hyperlink"/>
          </w:rPr>
          <w:t>15</w:t>
        </w:r>
        <w:r w:rsidR="006A49A8">
          <w:rPr>
            <w:rFonts w:asciiTheme="minorHAnsi" w:eastAsiaTheme="minorEastAsia" w:hAnsiTheme="minorHAnsi" w:cstheme="minorBidi"/>
            <w:szCs w:val="22"/>
          </w:rPr>
          <w:tab/>
        </w:r>
        <w:r w:rsidR="006A49A8" w:rsidRPr="00712F19">
          <w:rPr>
            <w:rStyle w:val="Hyperlink"/>
          </w:rPr>
          <w:t>Data Handling and Record Keeping</w:t>
        </w:r>
        <w:r w:rsidR="006A49A8">
          <w:rPr>
            <w:webHidden/>
          </w:rPr>
          <w:tab/>
        </w:r>
        <w:r w:rsidR="006A49A8">
          <w:rPr>
            <w:webHidden/>
          </w:rPr>
          <w:fldChar w:fldCharType="begin"/>
        </w:r>
        <w:r w:rsidR="006A49A8">
          <w:rPr>
            <w:webHidden/>
          </w:rPr>
          <w:instrText xml:space="preserve"> PAGEREF _Toc440906356 \h </w:instrText>
        </w:r>
        <w:r w:rsidR="006A49A8">
          <w:rPr>
            <w:webHidden/>
          </w:rPr>
        </w:r>
        <w:r w:rsidR="006A49A8">
          <w:rPr>
            <w:webHidden/>
          </w:rPr>
          <w:fldChar w:fldCharType="separate"/>
        </w:r>
        <w:r>
          <w:rPr>
            <w:webHidden/>
          </w:rPr>
          <w:t>76</w:t>
        </w:r>
        <w:r w:rsidR="006A49A8">
          <w:rPr>
            <w:webHidden/>
          </w:rPr>
          <w:fldChar w:fldCharType="end"/>
        </w:r>
      </w:hyperlink>
    </w:p>
    <w:p w14:paraId="417FE566" w14:textId="17F62A2D" w:rsidR="006A49A8" w:rsidRDefault="00024E24">
      <w:pPr>
        <w:pStyle w:val="TOC2"/>
        <w:rPr>
          <w:rFonts w:asciiTheme="minorHAnsi" w:eastAsiaTheme="minorEastAsia" w:hAnsiTheme="minorHAnsi" w:cstheme="minorBidi"/>
          <w:szCs w:val="22"/>
        </w:rPr>
      </w:pPr>
      <w:hyperlink w:anchor="_Toc440906357" w:history="1">
        <w:r w:rsidR="006A49A8" w:rsidRPr="00712F19">
          <w:rPr>
            <w:rStyle w:val="Hyperlink"/>
          </w:rPr>
          <w:t>15.1</w:t>
        </w:r>
        <w:r w:rsidR="006A49A8">
          <w:rPr>
            <w:rFonts w:asciiTheme="minorHAnsi" w:eastAsiaTheme="minorEastAsia" w:hAnsiTheme="minorHAnsi" w:cstheme="minorBidi"/>
            <w:szCs w:val="22"/>
          </w:rPr>
          <w:tab/>
        </w:r>
        <w:r w:rsidR="006A49A8" w:rsidRPr="00712F19">
          <w:rPr>
            <w:rStyle w:val="Hyperlink"/>
          </w:rPr>
          <w:t>Direct Access to Source Data/Documents and Study Monitoring</w:t>
        </w:r>
        <w:r w:rsidR="006A49A8">
          <w:rPr>
            <w:webHidden/>
          </w:rPr>
          <w:tab/>
        </w:r>
        <w:r w:rsidR="006A49A8">
          <w:rPr>
            <w:webHidden/>
          </w:rPr>
          <w:fldChar w:fldCharType="begin"/>
        </w:r>
        <w:r w:rsidR="006A49A8">
          <w:rPr>
            <w:webHidden/>
          </w:rPr>
          <w:instrText xml:space="preserve"> PAGEREF _Toc440906357 \h </w:instrText>
        </w:r>
        <w:r w:rsidR="006A49A8">
          <w:rPr>
            <w:webHidden/>
          </w:rPr>
        </w:r>
        <w:r w:rsidR="006A49A8">
          <w:rPr>
            <w:webHidden/>
          </w:rPr>
          <w:fldChar w:fldCharType="separate"/>
        </w:r>
        <w:r>
          <w:rPr>
            <w:webHidden/>
          </w:rPr>
          <w:t>76</w:t>
        </w:r>
        <w:r w:rsidR="006A49A8">
          <w:rPr>
            <w:webHidden/>
          </w:rPr>
          <w:fldChar w:fldCharType="end"/>
        </w:r>
      </w:hyperlink>
    </w:p>
    <w:p w14:paraId="62905CE2" w14:textId="3814AE46" w:rsidR="006A49A8" w:rsidRDefault="00024E24">
      <w:pPr>
        <w:pStyle w:val="TOC2"/>
        <w:rPr>
          <w:rFonts w:asciiTheme="minorHAnsi" w:eastAsiaTheme="minorEastAsia" w:hAnsiTheme="minorHAnsi" w:cstheme="minorBidi"/>
          <w:szCs w:val="22"/>
        </w:rPr>
      </w:pPr>
      <w:hyperlink w:anchor="_Toc440906358" w:history="1">
        <w:r w:rsidR="006A49A8" w:rsidRPr="00712F19">
          <w:rPr>
            <w:rStyle w:val="Hyperlink"/>
          </w:rPr>
          <w:t>15.2</w:t>
        </w:r>
        <w:r w:rsidR="006A49A8">
          <w:rPr>
            <w:rFonts w:asciiTheme="minorHAnsi" w:eastAsiaTheme="minorEastAsia" w:hAnsiTheme="minorHAnsi" w:cstheme="minorBidi"/>
            <w:szCs w:val="22"/>
          </w:rPr>
          <w:tab/>
        </w:r>
        <w:r w:rsidR="006A49A8" w:rsidRPr="00712F19">
          <w:rPr>
            <w:rStyle w:val="Hyperlink"/>
          </w:rPr>
          <w:t>Record Retention</w:t>
        </w:r>
        <w:r w:rsidR="006A49A8">
          <w:rPr>
            <w:webHidden/>
          </w:rPr>
          <w:tab/>
        </w:r>
        <w:r w:rsidR="006A49A8">
          <w:rPr>
            <w:webHidden/>
          </w:rPr>
          <w:fldChar w:fldCharType="begin"/>
        </w:r>
        <w:r w:rsidR="006A49A8">
          <w:rPr>
            <w:webHidden/>
          </w:rPr>
          <w:instrText xml:space="preserve"> PAGEREF _Toc440906358 \h </w:instrText>
        </w:r>
        <w:r w:rsidR="006A49A8">
          <w:rPr>
            <w:webHidden/>
          </w:rPr>
        </w:r>
        <w:r w:rsidR="006A49A8">
          <w:rPr>
            <w:webHidden/>
          </w:rPr>
          <w:fldChar w:fldCharType="separate"/>
        </w:r>
        <w:r>
          <w:rPr>
            <w:webHidden/>
          </w:rPr>
          <w:t>76</w:t>
        </w:r>
        <w:r w:rsidR="006A49A8">
          <w:rPr>
            <w:webHidden/>
          </w:rPr>
          <w:fldChar w:fldCharType="end"/>
        </w:r>
      </w:hyperlink>
    </w:p>
    <w:p w14:paraId="57483A58" w14:textId="052084EB" w:rsidR="006A49A8" w:rsidRDefault="00024E24">
      <w:pPr>
        <w:pStyle w:val="TOC1"/>
        <w:rPr>
          <w:rFonts w:asciiTheme="minorHAnsi" w:eastAsiaTheme="minorEastAsia" w:hAnsiTheme="minorHAnsi" w:cstheme="minorBidi"/>
          <w:szCs w:val="22"/>
        </w:rPr>
      </w:pPr>
      <w:hyperlink w:anchor="_Toc440906359" w:history="1">
        <w:r w:rsidR="006A49A8" w:rsidRPr="00712F19">
          <w:rPr>
            <w:rStyle w:val="Hyperlink"/>
          </w:rPr>
          <w:t>16</w:t>
        </w:r>
        <w:r w:rsidR="006A49A8">
          <w:rPr>
            <w:rFonts w:asciiTheme="minorHAnsi" w:eastAsiaTheme="minorEastAsia" w:hAnsiTheme="minorHAnsi" w:cstheme="minorBidi"/>
            <w:szCs w:val="22"/>
          </w:rPr>
          <w:tab/>
        </w:r>
        <w:r w:rsidR="006A49A8" w:rsidRPr="00712F19">
          <w:rPr>
            <w:rStyle w:val="Hyperlink"/>
          </w:rPr>
          <w:t>Publication Policy</w:t>
        </w:r>
        <w:r w:rsidR="006A49A8">
          <w:rPr>
            <w:webHidden/>
          </w:rPr>
          <w:tab/>
        </w:r>
        <w:r w:rsidR="006A49A8">
          <w:rPr>
            <w:webHidden/>
          </w:rPr>
          <w:fldChar w:fldCharType="begin"/>
        </w:r>
        <w:r w:rsidR="006A49A8">
          <w:rPr>
            <w:webHidden/>
          </w:rPr>
          <w:instrText xml:space="preserve"> PAGEREF _Toc440906359 \h </w:instrText>
        </w:r>
        <w:r w:rsidR="006A49A8">
          <w:rPr>
            <w:webHidden/>
          </w:rPr>
        </w:r>
        <w:r w:rsidR="006A49A8">
          <w:rPr>
            <w:webHidden/>
          </w:rPr>
          <w:fldChar w:fldCharType="separate"/>
        </w:r>
        <w:r>
          <w:rPr>
            <w:webHidden/>
          </w:rPr>
          <w:t>77</w:t>
        </w:r>
        <w:r w:rsidR="006A49A8">
          <w:rPr>
            <w:webHidden/>
          </w:rPr>
          <w:fldChar w:fldCharType="end"/>
        </w:r>
      </w:hyperlink>
    </w:p>
    <w:p w14:paraId="08F31F8F" w14:textId="1D7DAECC" w:rsidR="006A49A8" w:rsidRDefault="00024E24">
      <w:pPr>
        <w:pStyle w:val="TOC1"/>
        <w:rPr>
          <w:rFonts w:asciiTheme="minorHAnsi" w:eastAsiaTheme="minorEastAsia" w:hAnsiTheme="minorHAnsi" w:cstheme="minorBidi"/>
          <w:szCs w:val="22"/>
        </w:rPr>
      </w:pPr>
      <w:hyperlink w:anchor="_Toc440906360" w:history="1">
        <w:r w:rsidR="006A49A8" w:rsidRPr="00712F19">
          <w:rPr>
            <w:rStyle w:val="Hyperlink"/>
          </w:rPr>
          <w:t>17</w:t>
        </w:r>
        <w:r w:rsidR="006A49A8">
          <w:rPr>
            <w:rFonts w:asciiTheme="minorHAnsi" w:eastAsiaTheme="minorEastAsia" w:hAnsiTheme="minorHAnsi" w:cstheme="minorBidi"/>
            <w:szCs w:val="22"/>
          </w:rPr>
          <w:tab/>
        </w:r>
        <w:r w:rsidR="006A49A8" w:rsidRPr="00712F19">
          <w:rPr>
            <w:rStyle w:val="Hyperlink"/>
          </w:rPr>
          <w:t>Literature References</w:t>
        </w:r>
        <w:r w:rsidR="006A49A8">
          <w:rPr>
            <w:webHidden/>
          </w:rPr>
          <w:tab/>
        </w:r>
        <w:r w:rsidR="006A49A8">
          <w:rPr>
            <w:webHidden/>
          </w:rPr>
          <w:fldChar w:fldCharType="begin"/>
        </w:r>
        <w:r w:rsidR="006A49A8">
          <w:rPr>
            <w:webHidden/>
          </w:rPr>
          <w:instrText xml:space="preserve"> PAGEREF _Toc440906360 \h </w:instrText>
        </w:r>
        <w:r w:rsidR="006A49A8">
          <w:rPr>
            <w:webHidden/>
          </w:rPr>
        </w:r>
        <w:r w:rsidR="006A49A8">
          <w:rPr>
            <w:webHidden/>
          </w:rPr>
          <w:fldChar w:fldCharType="separate"/>
        </w:r>
        <w:r>
          <w:rPr>
            <w:webHidden/>
          </w:rPr>
          <w:t>78</w:t>
        </w:r>
        <w:r w:rsidR="006A49A8">
          <w:rPr>
            <w:webHidden/>
          </w:rPr>
          <w:fldChar w:fldCharType="end"/>
        </w:r>
      </w:hyperlink>
    </w:p>
    <w:p w14:paraId="720E5F67" w14:textId="2CB25355" w:rsidR="006A49A8" w:rsidRDefault="00024E24">
      <w:pPr>
        <w:pStyle w:val="TOC1"/>
        <w:rPr>
          <w:rFonts w:asciiTheme="minorHAnsi" w:eastAsiaTheme="minorEastAsia" w:hAnsiTheme="minorHAnsi" w:cstheme="minorBidi"/>
          <w:szCs w:val="22"/>
        </w:rPr>
      </w:pPr>
      <w:hyperlink w:anchor="_Toc440906361" w:history="1">
        <w:r w:rsidR="006A49A8" w:rsidRPr="00712F19">
          <w:rPr>
            <w:rStyle w:val="Hyperlink"/>
            <w:rFonts w:ascii="Times New Roman" w:hAnsi="Times New Roman"/>
          </w:rPr>
          <w:t>Appendix 1: Schedule of study visits and procedures</w:t>
        </w:r>
        <w:r w:rsidR="006A49A8">
          <w:rPr>
            <w:webHidden/>
          </w:rPr>
          <w:tab/>
        </w:r>
        <w:r w:rsidR="006A49A8">
          <w:rPr>
            <w:webHidden/>
          </w:rPr>
          <w:fldChar w:fldCharType="begin"/>
        </w:r>
        <w:r w:rsidR="006A49A8">
          <w:rPr>
            <w:webHidden/>
          </w:rPr>
          <w:instrText xml:space="preserve"> PAGEREF _Toc440906361 \h </w:instrText>
        </w:r>
        <w:r w:rsidR="006A49A8">
          <w:rPr>
            <w:webHidden/>
          </w:rPr>
        </w:r>
        <w:r w:rsidR="006A49A8">
          <w:rPr>
            <w:webHidden/>
          </w:rPr>
          <w:fldChar w:fldCharType="separate"/>
        </w:r>
        <w:r>
          <w:rPr>
            <w:webHidden/>
          </w:rPr>
          <w:t>79</w:t>
        </w:r>
        <w:r w:rsidR="006A49A8">
          <w:rPr>
            <w:webHidden/>
          </w:rPr>
          <w:fldChar w:fldCharType="end"/>
        </w:r>
      </w:hyperlink>
    </w:p>
    <w:p w14:paraId="2C6EE3F0" w14:textId="6B7813B9" w:rsidR="006A49A8" w:rsidRDefault="00024E24">
      <w:pPr>
        <w:pStyle w:val="TOC1"/>
        <w:rPr>
          <w:rFonts w:asciiTheme="minorHAnsi" w:eastAsiaTheme="minorEastAsia" w:hAnsiTheme="minorHAnsi" w:cstheme="minorBidi"/>
          <w:szCs w:val="22"/>
        </w:rPr>
      </w:pPr>
      <w:hyperlink w:anchor="_Toc440906362" w:history="1">
        <w:r w:rsidR="006A49A8" w:rsidRPr="00712F19">
          <w:rPr>
            <w:rStyle w:val="Hyperlink"/>
          </w:rPr>
          <w:t>Appendix 2: Schedule of blood draws and volumes</w:t>
        </w:r>
        <w:r w:rsidR="006A49A8">
          <w:rPr>
            <w:webHidden/>
          </w:rPr>
          <w:tab/>
        </w:r>
        <w:r w:rsidR="006A49A8">
          <w:rPr>
            <w:webHidden/>
          </w:rPr>
          <w:fldChar w:fldCharType="begin"/>
        </w:r>
        <w:r w:rsidR="006A49A8">
          <w:rPr>
            <w:webHidden/>
          </w:rPr>
          <w:instrText xml:space="preserve"> PAGEREF _Toc440906362 \h </w:instrText>
        </w:r>
        <w:r w:rsidR="006A49A8">
          <w:rPr>
            <w:webHidden/>
          </w:rPr>
        </w:r>
        <w:r w:rsidR="006A49A8">
          <w:rPr>
            <w:webHidden/>
          </w:rPr>
          <w:fldChar w:fldCharType="separate"/>
        </w:r>
        <w:r>
          <w:rPr>
            <w:webHidden/>
          </w:rPr>
          <w:t>80</w:t>
        </w:r>
        <w:r w:rsidR="006A49A8">
          <w:rPr>
            <w:webHidden/>
          </w:rPr>
          <w:fldChar w:fldCharType="end"/>
        </w:r>
      </w:hyperlink>
    </w:p>
    <w:p w14:paraId="352B28DB" w14:textId="33C0A689" w:rsidR="006A49A8" w:rsidRDefault="00024E24">
      <w:pPr>
        <w:pStyle w:val="TOC1"/>
        <w:rPr>
          <w:rFonts w:asciiTheme="minorHAnsi" w:eastAsiaTheme="minorEastAsia" w:hAnsiTheme="minorHAnsi" w:cstheme="minorBidi"/>
          <w:szCs w:val="22"/>
        </w:rPr>
      </w:pPr>
      <w:hyperlink w:anchor="_Toc440906363" w:history="1">
        <w:r w:rsidR="006A49A8" w:rsidRPr="00712F19">
          <w:rPr>
            <w:rStyle w:val="Hyperlink"/>
          </w:rPr>
          <w:t>Appendix 3: Schedule of physical exam, directed physical exam, TB screen and sputum sampling tests</w:t>
        </w:r>
        <w:r w:rsidR="006A49A8">
          <w:rPr>
            <w:webHidden/>
          </w:rPr>
          <w:tab/>
        </w:r>
        <w:r w:rsidR="006A49A8">
          <w:rPr>
            <w:webHidden/>
          </w:rPr>
          <w:fldChar w:fldCharType="begin"/>
        </w:r>
        <w:r w:rsidR="006A49A8">
          <w:rPr>
            <w:webHidden/>
          </w:rPr>
          <w:instrText xml:space="preserve"> PAGEREF _Toc440906363 \h </w:instrText>
        </w:r>
        <w:r w:rsidR="006A49A8">
          <w:rPr>
            <w:webHidden/>
          </w:rPr>
        </w:r>
        <w:r w:rsidR="006A49A8">
          <w:rPr>
            <w:webHidden/>
          </w:rPr>
          <w:fldChar w:fldCharType="separate"/>
        </w:r>
        <w:r>
          <w:rPr>
            <w:webHidden/>
          </w:rPr>
          <w:t>81</w:t>
        </w:r>
        <w:r w:rsidR="006A49A8">
          <w:rPr>
            <w:webHidden/>
          </w:rPr>
          <w:fldChar w:fldCharType="end"/>
        </w:r>
      </w:hyperlink>
    </w:p>
    <w:p w14:paraId="53CB3C03" w14:textId="22C2769A" w:rsidR="006A49A8" w:rsidRDefault="00024E24">
      <w:pPr>
        <w:pStyle w:val="TOC1"/>
        <w:rPr>
          <w:rFonts w:asciiTheme="minorHAnsi" w:eastAsiaTheme="minorEastAsia" w:hAnsiTheme="minorHAnsi" w:cstheme="minorBidi"/>
          <w:szCs w:val="22"/>
        </w:rPr>
      </w:pPr>
      <w:hyperlink w:anchor="_Toc440906364" w:history="1">
        <w:r w:rsidR="006A49A8" w:rsidRPr="00712F19">
          <w:rPr>
            <w:rStyle w:val="Hyperlink"/>
          </w:rPr>
          <w:t>Appendix 4: Grading scale for clinical laboratory values</w:t>
        </w:r>
        <w:r w:rsidR="006A49A8">
          <w:rPr>
            <w:webHidden/>
          </w:rPr>
          <w:tab/>
        </w:r>
        <w:r w:rsidR="006A49A8">
          <w:rPr>
            <w:webHidden/>
          </w:rPr>
          <w:fldChar w:fldCharType="begin"/>
        </w:r>
        <w:r w:rsidR="006A49A8">
          <w:rPr>
            <w:webHidden/>
          </w:rPr>
          <w:instrText xml:space="preserve"> PAGEREF _Toc440906364 \h </w:instrText>
        </w:r>
        <w:r w:rsidR="006A49A8">
          <w:rPr>
            <w:webHidden/>
          </w:rPr>
        </w:r>
        <w:r w:rsidR="006A49A8">
          <w:rPr>
            <w:webHidden/>
          </w:rPr>
          <w:fldChar w:fldCharType="separate"/>
        </w:r>
        <w:r>
          <w:rPr>
            <w:webHidden/>
          </w:rPr>
          <w:t>82</w:t>
        </w:r>
        <w:r w:rsidR="006A49A8">
          <w:rPr>
            <w:webHidden/>
          </w:rPr>
          <w:fldChar w:fldCharType="end"/>
        </w:r>
      </w:hyperlink>
    </w:p>
    <w:p w14:paraId="36CA32DB" w14:textId="30B74C44" w:rsidR="006A49A8" w:rsidRDefault="00024E24">
      <w:pPr>
        <w:pStyle w:val="TOC1"/>
        <w:rPr>
          <w:rFonts w:asciiTheme="minorHAnsi" w:eastAsiaTheme="minorEastAsia" w:hAnsiTheme="minorHAnsi" w:cstheme="minorBidi"/>
          <w:szCs w:val="22"/>
        </w:rPr>
      </w:pPr>
      <w:hyperlink w:anchor="_Toc440906365" w:history="1">
        <w:r w:rsidR="006A49A8" w:rsidRPr="00712F19">
          <w:rPr>
            <w:rStyle w:val="Hyperlink"/>
          </w:rPr>
          <w:t>Appendix 5: Grading scale for local (injection site) reactions by investigator</w:t>
        </w:r>
        <w:r w:rsidR="006A49A8">
          <w:rPr>
            <w:webHidden/>
          </w:rPr>
          <w:tab/>
        </w:r>
        <w:r w:rsidR="006A49A8">
          <w:rPr>
            <w:webHidden/>
          </w:rPr>
          <w:fldChar w:fldCharType="begin"/>
        </w:r>
        <w:r w:rsidR="006A49A8">
          <w:rPr>
            <w:webHidden/>
          </w:rPr>
          <w:instrText xml:space="preserve"> PAGEREF _Toc440906365 \h </w:instrText>
        </w:r>
        <w:r w:rsidR="006A49A8">
          <w:rPr>
            <w:webHidden/>
          </w:rPr>
        </w:r>
        <w:r w:rsidR="006A49A8">
          <w:rPr>
            <w:webHidden/>
          </w:rPr>
          <w:fldChar w:fldCharType="separate"/>
        </w:r>
        <w:r>
          <w:rPr>
            <w:webHidden/>
          </w:rPr>
          <w:t>83</w:t>
        </w:r>
        <w:r w:rsidR="006A49A8">
          <w:rPr>
            <w:webHidden/>
          </w:rPr>
          <w:fldChar w:fldCharType="end"/>
        </w:r>
      </w:hyperlink>
    </w:p>
    <w:p w14:paraId="060DC764" w14:textId="226C61FB" w:rsidR="006A49A8" w:rsidRDefault="00024E24">
      <w:pPr>
        <w:pStyle w:val="TOC1"/>
        <w:rPr>
          <w:rFonts w:asciiTheme="minorHAnsi" w:eastAsiaTheme="minorEastAsia" w:hAnsiTheme="minorHAnsi" w:cstheme="minorBidi"/>
          <w:szCs w:val="22"/>
        </w:rPr>
      </w:pPr>
      <w:hyperlink w:anchor="_Toc440906366" w:history="1">
        <w:r w:rsidR="006A49A8" w:rsidRPr="00712F19">
          <w:rPr>
            <w:rStyle w:val="Hyperlink"/>
          </w:rPr>
          <w:t>Appendix 6: Toxicity grading scale¹ for determining the severity of clinical AEs</w:t>
        </w:r>
        <w:r w:rsidR="006A49A8">
          <w:rPr>
            <w:webHidden/>
          </w:rPr>
          <w:tab/>
        </w:r>
        <w:r w:rsidR="006A49A8">
          <w:rPr>
            <w:webHidden/>
          </w:rPr>
          <w:fldChar w:fldCharType="begin"/>
        </w:r>
        <w:r w:rsidR="006A49A8">
          <w:rPr>
            <w:webHidden/>
          </w:rPr>
          <w:instrText xml:space="preserve"> PAGEREF _Toc440906366 \h </w:instrText>
        </w:r>
        <w:r w:rsidR="006A49A8">
          <w:rPr>
            <w:webHidden/>
          </w:rPr>
        </w:r>
        <w:r w:rsidR="006A49A8">
          <w:rPr>
            <w:webHidden/>
          </w:rPr>
          <w:fldChar w:fldCharType="separate"/>
        </w:r>
        <w:r>
          <w:rPr>
            <w:webHidden/>
          </w:rPr>
          <w:t>84</w:t>
        </w:r>
        <w:r w:rsidR="006A49A8">
          <w:rPr>
            <w:webHidden/>
          </w:rPr>
          <w:fldChar w:fldCharType="end"/>
        </w:r>
      </w:hyperlink>
    </w:p>
    <w:p w14:paraId="59A6F3E9" w14:textId="5F70F494" w:rsidR="006A49A8" w:rsidRDefault="00024E24">
      <w:pPr>
        <w:pStyle w:val="TOC1"/>
        <w:rPr>
          <w:rFonts w:asciiTheme="minorHAnsi" w:eastAsiaTheme="minorEastAsia" w:hAnsiTheme="minorHAnsi" w:cstheme="minorBidi"/>
          <w:szCs w:val="22"/>
        </w:rPr>
      </w:pPr>
      <w:hyperlink w:anchor="_Toc440906367" w:history="1">
        <w:r w:rsidR="006A49A8" w:rsidRPr="00712F19">
          <w:rPr>
            <w:rStyle w:val="Hyperlink"/>
          </w:rPr>
          <w:t xml:space="preserve">Appendix 7: </w:t>
        </w:r>
        <w:r w:rsidR="006A49A8" w:rsidRPr="00712F19">
          <w:rPr>
            <w:rStyle w:val="Hyperlink"/>
            <w:rFonts w:eastAsia="Batang"/>
          </w:rPr>
          <w:t>Toxicity grading scale for determining the severity of clinical AEs not</w:t>
        </w:r>
        <w:r w:rsidR="006A49A8" w:rsidRPr="00712F19">
          <w:rPr>
            <w:rStyle w:val="Hyperlink"/>
          </w:rPr>
          <w:t xml:space="preserve"> in Appendix 6</w:t>
        </w:r>
        <w:r w:rsidR="006A49A8">
          <w:rPr>
            <w:webHidden/>
          </w:rPr>
          <w:tab/>
        </w:r>
        <w:r w:rsidR="006A49A8">
          <w:rPr>
            <w:webHidden/>
          </w:rPr>
          <w:fldChar w:fldCharType="begin"/>
        </w:r>
        <w:r w:rsidR="006A49A8">
          <w:rPr>
            <w:webHidden/>
          </w:rPr>
          <w:instrText xml:space="preserve"> PAGEREF _Toc440906367 \h </w:instrText>
        </w:r>
        <w:r w:rsidR="006A49A8">
          <w:rPr>
            <w:webHidden/>
          </w:rPr>
        </w:r>
        <w:r w:rsidR="006A49A8">
          <w:rPr>
            <w:webHidden/>
          </w:rPr>
          <w:fldChar w:fldCharType="separate"/>
        </w:r>
        <w:r>
          <w:rPr>
            <w:webHidden/>
          </w:rPr>
          <w:t>85</w:t>
        </w:r>
        <w:r w:rsidR="006A49A8">
          <w:rPr>
            <w:webHidden/>
          </w:rPr>
          <w:fldChar w:fldCharType="end"/>
        </w:r>
      </w:hyperlink>
    </w:p>
    <w:p w14:paraId="74E80E67" w14:textId="0CECF627" w:rsidR="006A49A8" w:rsidRDefault="00024E24">
      <w:pPr>
        <w:pStyle w:val="TOC1"/>
        <w:rPr>
          <w:rFonts w:asciiTheme="minorHAnsi" w:eastAsiaTheme="minorEastAsia" w:hAnsiTheme="minorHAnsi" w:cstheme="minorBidi"/>
          <w:szCs w:val="22"/>
        </w:rPr>
      </w:pPr>
      <w:hyperlink w:anchor="_Toc440906368" w:history="1">
        <w:r w:rsidR="006A49A8" w:rsidRPr="00712F19">
          <w:rPr>
            <w:rStyle w:val="Hyperlink"/>
          </w:rPr>
          <w:t>Appendix 8: List of AESIs</w:t>
        </w:r>
        <w:r w:rsidR="006A49A8">
          <w:rPr>
            <w:webHidden/>
          </w:rPr>
          <w:tab/>
        </w:r>
        <w:r w:rsidR="006A49A8">
          <w:rPr>
            <w:webHidden/>
          </w:rPr>
          <w:fldChar w:fldCharType="begin"/>
        </w:r>
        <w:r w:rsidR="006A49A8">
          <w:rPr>
            <w:webHidden/>
          </w:rPr>
          <w:instrText xml:space="preserve"> PAGEREF _Toc440906368 \h </w:instrText>
        </w:r>
        <w:r w:rsidR="006A49A8">
          <w:rPr>
            <w:webHidden/>
          </w:rPr>
        </w:r>
        <w:r w:rsidR="006A49A8">
          <w:rPr>
            <w:webHidden/>
          </w:rPr>
          <w:fldChar w:fldCharType="separate"/>
        </w:r>
        <w:r>
          <w:rPr>
            <w:webHidden/>
          </w:rPr>
          <w:t>86</w:t>
        </w:r>
        <w:r w:rsidR="006A49A8">
          <w:rPr>
            <w:webHidden/>
          </w:rPr>
          <w:fldChar w:fldCharType="end"/>
        </w:r>
      </w:hyperlink>
    </w:p>
    <w:p w14:paraId="2AF63349" w14:textId="141EAD53" w:rsidR="00F43682" w:rsidRDefault="0040275E">
      <w:pPr>
        <w:tabs>
          <w:tab w:val="right" w:leader="dot" w:pos="9000"/>
        </w:tabs>
      </w:pPr>
      <w:r>
        <w:fldChar w:fldCharType="end"/>
      </w:r>
    </w:p>
    <w:p w14:paraId="288C6D8A" w14:textId="6CAB05F6" w:rsidR="00063DC0" w:rsidRPr="0040275E" w:rsidRDefault="0040275E" w:rsidP="0040275E">
      <w:pPr>
        <w:pStyle w:val="Heading1"/>
        <w:pageBreakBefore w:val="0"/>
        <w:numPr>
          <w:ilvl w:val="0"/>
          <w:numId w:val="0"/>
        </w:numPr>
        <w:spacing w:before="240" w:after="240"/>
        <w:jc w:val="center"/>
        <w:rPr>
          <w:sz w:val="24"/>
          <w:szCs w:val="24"/>
        </w:rPr>
      </w:pPr>
      <w:bookmarkStart w:id="8" w:name="_Toc440906236"/>
      <w:r w:rsidRPr="0040275E">
        <w:rPr>
          <w:caps w:val="0"/>
          <w:sz w:val="24"/>
          <w:szCs w:val="24"/>
        </w:rPr>
        <w:t>LIST OF TABLES</w:t>
      </w:r>
      <w:bookmarkEnd w:id="8"/>
    </w:p>
    <w:p w14:paraId="00F99DB6" w14:textId="77777777" w:rsidR="006A49A8" w:rsidRDefault="0040275E">
      <w:pPr>
        <w:pStyle w:val="TableofFigures"/>
        <w:tabs>
          <w:tab w:val="right" w:leader="dot" w:pos="9350"/>
        </w:tabs>
        <w:rPr>
          <w:rFonts w:asciiTheme="minorHAnsi" w:eastAsiaTheme="minorEastAsia" w:hAnsiTheme="minorHAnsi" w:cstheme="minorBidi"/>
          <w:noProof/>
          <w:szCs w:val="22"/>
        </w:rPr>
      </w:pPr>
      <w:r>
        <w:rPr>
          <w:b/>
        </w:rPr>
        <w:fldChar w:fldCharType="begin"/>
      </w:r>
      <w:r>
        <w:rPr>
          <w:b/>
        </w:rPr>
        <w:instrText xml:space="preserve"> TOC \n \h \z \c "Table" </w:instrText>
      </w:r>
      <w:r>
        <w:rPr>
          <w:b/>
        </w:rPr>
        <w:fldChar w:fldCharType="separate"/>
      </w:r>
      <w:hyperlink w:anchor="_Toc440906399" w:history="1">
        <w:r w:rsidR="006A49A8" w:rsidRPr="009945DF">
          <w:rPr>
            <w:rStyle w:val="Hyperlink"/>
            <w:noProof/>
          </w:rPr>
          <w:t>Table 1:</w:t>
        </w:r>
        <w:r w:rsidR="006A49A8">
          <w:rPr>
            <w:rFonts w:asciiTheme="minorHAnsi" w:eastAsiaTheme="minorEastAsia" w:hAnsiTheme="minorHAnsi" w:cstheme="minorBidi"/>
            <w:noProof/>
            <w:szCs w:val="22"/>
          </w:rPr>
          <w:tab/>
        </w:r>
        <w:r w:rsidR="006A49A8" w:rsidRPr="009945DF">
          <w:rPr>
            <w:rStyle w:val="Hyperlink"/>
            <w:noProof/>
          </w:rPr>
          <w:t>IDRI-TBVPX-113: Treatment Groups</w:t>
        </w:r>
      </w:hyperlink>
    </w:p>
    <w:p w14:paraId="0323FACE" w14:textId="77777777" w:rsidR="006A49A8" w:rsidRDefault="00024E24">
      <w:pPr>
        <w:pStyle w:val="TableofFigures"/>
        <w:tabs>
          <w:tab w:val="right" w:leader="dot" w:pos="9350"/>
        </w:tabs>
        <w:rPr>
          <w:rFonts w:asciiTheme="minorHAnsi" w:eastAsiaTheme="minorEastAsia" w:hAnsiTheme="minorHAnsi" w:cstheme="minorBidi"/>
          <w:noProof/>
          <w:szCs w:val="22"/>
        </w:rPr>
      </w:pPr>
      <w:hyperlink w:anchor="_Toc440906400" w:history="1">
        <w:r w:rsidR="006A49A8" w:rsidRPr="009945DF">
          <w:rPr>
            <w:rStyle w:val="Hyperlink"/>
            <w:noProof/>
          </w:rPr>
          <w:t>Table 2:</w:t>
        </w:r>
        <w:r w:rsidR="006A49A8">
          <w:rPr>
            <w:rFonts w:asciiTheme="minorHAnsi" w:eastAsiaTheme="minorEastAsia" w:hAnsiTheme="minorHAnsi" w:cstheme="minorBidi"/>
            <w:noProof/>
            <w:szCs w:val="22"/>
          </w:rPr>
          <w:tab/>
        </w:r>
        <w:r w:rsidR="006A49A8" w:rsidRPr="009945DF">
          <w:rPr>
            <w:rStyle w:val="Hyperlink"/>
            <w:noProof/>
          </w:rPr>
          <w:t>IDRI-TBVPX-113: Incidence of Local and Systemic Reactogenicity Adverse Events</w:t>
        </w:r>
      </w:hyperlink>
    </w:p>
    <w:p w14:paraId="16596058" w14:textId="77777777" w:rsidR="006A49A8" w:rsidRDefault="00024E24">
      <w:pPr>
        <w:pStyle w:val="TableofFigures"/>
        <w:tabs>
          <w:tab w:val="right" w:leader="dot" w:pos="9350"/>
        </w:tabs>
        <w:rPr>
          <w:rFonts w:asciiTheme="minorHAnsi" w:eastAsiaTheme="minorEastAsia" w:hAnsiTheme="minorHAnsi" w:cstheme="minorBidi"/>
          <w:noProof/>
          <w:szCs w:val="22"/>
        </w:rPr>
      </w:pPr>
      <w:hyperlink w:anchor="_Toc440906401" w:history="1">
        <w:r w:rsidR="006A49A8" w:rsidRPr="009945DF">
          <w:rPr>
            <w:rStyle w:val="Hyperlink"/>
            <w:noProof/>
          </w:rPr>
          <w:t>Table 3:</w:t>
        </w:r>
        <w:r w:rsidR="006A49A8">
          <w:rPr>
            <w:rFonts w:asciiTheme="minorHAnsi" w:eastAsiaTheme="minorEastAsia" w:hAnsiTheme="minorHAnsi" w:cstheme="minorBidi"/>
            <w:noProof/>
            <w:szCs w:val="22"/>
          </w:rPr>
          <w:tab/>
        </w:r>
        <w:r w:rsidR="006A49A8" w:rsidRPr="009945DF">
          <w:rPr>
            <w:rStyle w:val="Hyperlink"/>
            <w:noProof/>
          </w:rPr>
          <w:t>IDRI-TBVPX-113: Incidence of Systemic Reactogenicity Adverse Events</w:t>
        </w:r>
      </w:hyperlink>
    </w:p>
    <w:p w14:paraId="7DD1D516" w14:textId="77777777" w:rsidR="006A49A8" w:rsidRDefault="00024E24">
      <w:pPr>
        <w:pStyle w:val="TableofFigures"/>
        <w:tabs>
          <w:tab w:val="right" w:leader="dot" w:pos="9350"/>
        </w:tabs>
        <w:rPr>
          <w:rFonts w:asciiTheme="minorHAnsi" w:eastAsiaTheme="minorEastAsia" w:hAnsiTheme="minorHAnsi" w:cstheme="minorBidi"/>
          <w:noProof/>
          <w:szCs w:val="22"/>
        </w:rPr>
      </w:pPr>
      <w:hyperlink w:anchor="_Toc440906402" w:history="1">
        <w:r w:rsidR="006A49A8" w:rsidRPr="009945DF">
          <w:rPr>
            <w:rStyle w:val="Hyperlink"/>
            <w:noProof/>
          </w:rPr>
          <w:t>Table 4:</w:t>
        </w:r>
        <w:r w:rsidR="006A49A8">
          <w:rPr>
            <w:rFonts w:asciiTheme="minorHAnsi" w:eastAsiaTheme="minorEastAsia" w:hAnsiTheme="minorHAnsi" w:cstheme="minorBidi"/>
            <w:noProof/>
            <w:szCs w:val="22"/>
          </w:rPr>
          <w:tab/>
        </w:r>
        <w:r w:rsidR="006A49A8" w:rsidRPr="009945DF">
          <w:rPr>
            <w:rStyle w:val="Hyperlink"/>
            <w:noProof/>
          </w:rPr>
          <w:t>IDRI-TBVPX-113: Incidence of All Other Adverse Events and Laboratory Abnormalities Occurring in at Least 3 Subjects</w:t>
        </w:r>
      </w:hyperlink>
    </w:p>
    <w:p w14:paraId="75E898A0" w14:textId="77777777" w:rsidR="006A49A8" w:rsidRDefault="00024E24">
      <w:pPr>
        <w:pStyle w:val="TableofFigures"/>
        <w:tabs>
          <w:tab w:val="right" w:leader="dot" w:pos="9350"/>
        </w:tabs>
        <w:rPr>
          <w:rFonts w:asciiTheme="minorHAnsi" w:eastAsiaTheme="minorEastAsia" w:hAnsiTheme="minorHAnsi" w:cstheme="minorBidi"/>
          <w:noProof/>
          <w:szCs w:val="22"/>
        </w:rPr>
      </w:pPr>
      <w:hyperlink w:anchor="_Toc440906403" w:history="1">
        <w:r w:rsidR="006A49A8" w:rsidRPr="009945DF">
          <w:rPr>
            <w:rStyle w:val="Hyperlink"/>
            <w:noProof/>
          </w:rPr>
          <w:t>Table 5:</w:t>
        </w:r>
        <w:r w:rsidR="006A49A8">
          <w:rPr>
            <w:rFonts w:asciiTheme="minorHAnsi" w:eastAsiaTheme="minorEastAsia" w:hAnsiTheme="minorHAnsi" w:cstheme="minorBidi"/>
            <w:noProof/>
            <w:szCs w:val="22"/>
          </w:rPr>
          <w:tab/>
        </w:r>
        <w:r w:rsidR="006A49A8" w:rsidRPr="009945DF">
          <w:rPr>
            <w:rStyle w:val="Hyperlink"/>
            <w:noProof/>
          </w:rPr>
          <w:t>IDRI-TBVPX-114: Treatment Groups</w:t>
        </w:r>
      </w:hyperlink>
    </w:p>
    <w:p w14:paraId="77341C4C" w14:textId="77777777" w:rsidR="006A49A8" w:rsidRDefault="00024E24">
      <w:pPr>
        <w:pStyle w:val="TableofFigures"/>
        <w:tabs>
          <w:tab w:val="right" w:leader="dot" w:pos="9350"/>
        </w:tabs>
        <w:rPr>
          <w:rFonts w:asciiTheme="minorHAnsi" w:eastAsiaTheme="minorEastAsia" w:hAnsiTheme="minorHAnsi" w:cstheme="minorBidi"/>
          <w:noProof/>
          <w:szCs w:val="22"/>
        </w:rPr>
      </w:pPr>
      <w:hyperlink w:anchor="_Toc440906404" w:history="1">
        <w:r w:rsidR="006A49A8" w:rsidRPr="009945DF">
          <w:rPr>
            <w:rStyle w:val="Hyperlink"/>
            <w:noProof/>
          </w:rPr>
          <w:t>Table 6:</w:t>
        </w:r>
        <w:r w:rsidR="006A49A8">
          <w:rPr>
            <w:rFonts w:asciiTheme="minorHAnsi" w:eastAsiaTheme="minorEastAsia" w:hAnsiTheme="minorHAnsi" w:cstheme="minorBidi"/>
            <w:noProof/>
            <w:szCs w:val="22"/>
          </w:rPr>
          <w:tab/>
        </w:r>
        <w:r w:rsidR="006A49A8" w:rsidRPr="009945DF">
          <w:rPr>
            <w:rStyle w:val="Hyperlink"/>
            <w:noProof/>
          </w:rPr>
          <w:t>IDRI-TBVPX-114: Incidence of Local Reactogenicity Adverse Events</w:t>
        </w:r>
      </w:hyperlink>
    </w:p>
    <w:p w14:paraId="252E7849" w14:textId="77777777" w:rsidR="006A49A8" w:rsidRDefault="00024E24">
      <w:pPr>
        <w:pStyle w:val="TableofFigures"/>
        <w:tabs>
          <w:tab w:val="right" w:leader="dot" w:pos="9350"/>
        </w:tabs>
        <w:rPr>
          <w:rFonts w:asciiTheme="minorHAnsi" w:eastAsiaTheme="minorEastAsia" w:hAnsiTheme="minorHAnsi" w:cstheme="minorBidi"/>
          <w:noProof/>
          <w:szCs w:val="22"/>
        </w:rPr>
      </w:pPr>
      <w:hyperlink w:anchor="_Toc440906405" w:history="1">
        <w:r w:rsidR="006A49A8" w:rsidRPr="009945DF">
          <w:rPr>
            <w:rStyle w:val="Hyperlink"/>
            <w:noProof/>
          </w:rPr>
          <w:t>Table 7:</w:t>
        </w:r>
        <w:r w:rsidR="006A49A8">
          <w:rPr>
            <w:rFonts w:asciiTheme="minorHAnsi" w:eastAsiaTheme="minorEastAsia" w:hAnsiTheme="minorHAnsi" w:cstheme="minorBidi"/>
            <w:noProof/>
            <w:szCs w:val="22"/>
          </w:rPr>
          <w:tab/>
        </w:r>
        <w:r w:rsidR="006A49A8" w:rsidRPr="009945DF">
          <w:rPr>
            <w:rStyle w:val="Hyperlink"/>
            <w:noProof/>
          </w:rPr>
          <w:t>IDRI-TBVPX-114: Incidence of Systemic Reactogenicity Adverse Events</w:t>
        </w:r>
      </w:hyperlink>
    </w:p>
    <w:p w14:paraId="02C958EC" w14:textId="77777777" w:rsidR="006A49A8" w:rsidRDefault="00024E24">
      <w:pPr>
        <w:pStyle w:val="TableofFigures"/>
        <w:tabs>
          <w:tab w:val="right" w:leader="dot" w:pos="9350"/>
        </w:tabs>
        <w:rPr>
          <w:rFonts w:asciiTheme="minorHAnsi" w:eastAsiaTheme="minorEastAsia" w:hAnsiTheme="minorHAnsi" w:cstheme="minorBidi"/>
          <w:noProof/>
          <w:szCs w:val="22"/>
        </w:rPr>
      </w:pPr>
      <w:hyperlink w:anchor="_Toc440906406" w:history="1">
        <w:r w:rsidR="006A49A8" w:rsidRPr="009945DF">
          <w:rPr>
            <w:rStyle w:val="Hyperlink"/>
            <w:noProof/>
          </w:rPr>
          <w:t>Table 8:</w:t>
        </w:r>
        <w:r w:rsidR="006A49A8">
          <w:rPr>
            <w:rFonts w:asciiTheme="minorHAnsi" w:eastAsiaTheme="minorEastAsia" w:hAnsiTheme="minorHAnsi" w:cstheme="minorBidi"/>
            <w:noProof/>
            <w:szCs w:val="22"/>
          </w:rPr>
          <w:tab/>
        </w:r>
        <w:r w:rsidR="006A49A8" w:rsidRPr="009945DF">
          <w:rPr>
            <w:rStyle w:val="Hyperlink"/>
            <w:noProof/>
          </w:rPr>
          <w:t>IDRI-TBVPX-114: Incidence of All Other Adverse Events and Laboratory Abnormalities Occurring in at Least 3 Subjects</w:t>
        </w:r>
      </w:hyperlink>
    </w:p>
    <w:p w14:paraId="01650565" w14:textId="77777777" w:rsidR="006A49A8" w:rsidRDefault="00024E24">
      <w:pPr>
        <w:pStyle w:val="TableofFigures"/>
        <w:tabs>
          <w:tab w:val="right" w:leader="dot" w:pos="9350"/>
        </w:tabs>
        <w:rPr>
          <w:rFonts w:asciiTheme="minorHAnsi" w:eastAsiaTheme="minorEastAsia" w:hAnsiTheme="minorHAnsi" w:cstheme="minorBidi"/>
          <w:noProof/>
          <w:szCs w:val="22"/>
        </w:rPr>
      </w:pPr>
      <w:hyperlink w:anchor="_Toc440906407" w:history="1">
        <w:r w:rsidR="006A49A8" w:rsidRPr="009945DF">
          <w:rPr>
            <w:rStyle w:val="Hyperlink"/>
            <w:noProof/>
          </w:rPr>
          <w:t>Table 9:</w:t>
        </w:r>
        <w:r w:rsidR="006A49A8">
          <w:rPr>
            <w:rFonts w:asciiTheme="minorHAnsi" w:eastAsiaTheme="minorEastAsia" w:hAnsiTheme="minorHAnsi" w:cstheme="minorBidi"/>
            <w:noProof/>
            <w:szCs w:val="22"/>
          </w:rPr>
          <w:tab/>
        </w:r>
        <w:r w:rsidR="006A49A8" w:rsidRPr="009945DF">
          <w:rPr>
            <w:rStyle w:val="Hyperlink"/>
            <w:noProof/>
          </w:rPr>
          <w:t>IDRI-TBVPX-203: Treatment Assignments</w:t>
        </w:r>
      </w:hyperlink>
    </w:p>
    <w:p w14:paraId="1B8C94E4" w14:textId="77777777" w:rsidR="006A49A8" w:rsidRDefault="00024E24">
      <w:pPr>
        <w:pStyle w:val="TableofFigures"/>
        <w:tabs>
          <w:tab w:val="right" w:leader="dot" w:pos="9350"/>
        </w:tabs>
        <w:rPr>
          <w:rFonts w:asciiTheme="minorHAnsi" w:eastAsiaTheme="minorEastAsia" w:hAnsiTheme="minorHAnsi" w:cstheme="minorBidi"/>
          <w:noProof/>
          <w:szCs w:val="22"/>
        </w:rPr>
      </w:pPr>
      <w:hyperlink w:anchor="_Toc440906408" w:history="1">
        <w:r w:rsidR="006A49A8" w:rsidRPr="009945DF">
          <w:rPr>
            <w:rStyle w:val="Hyperlink"/>
            <w:noProof/>
          </w:rPr>
          <w:t>Table 10:</w:t>
        </w:r>
        <w:r w:rsidR="006A49A8">
          <w:rPr>
            <w:rFonts w:asciiTheme="minorHAnsi" w:eastAsiaTheme="minorEastAsia" w:hAnsiTheme="minorHAnsi" w:cstheme="minorBidi"/>
            <w:noProof/>
            <w:szCs w:val="22"/>
          </w:rPr>
          <w:tab/>
        </w:r>
        <w:r w:rsidR="006A49A8" w:rsidRPr="009945DF">
          <w:rPr>
            <w:rStyle w:val="Hyperlink"/>
            <w:noProof/>
          </w:rPr>
          <w:t>Summary of Immunology Laboratory Evaluations</w:t>
        </w:r>
      </w:hyperlink>
    </w:p>
    <w:p w14:paraId="4222904C" w14:textId="52036791" w:rsidR="00063DC0" w:rsidRDefault="0040275E" w:rsidP="00603CC2">
      <w:pPr>
        <w:tabs>
          <w:tab w:val="right" w:leader="dot" w:pos="9000"/>
        </w:tabs>
        <w:jc w:val="center"/>
        <w:rPr>
          <w:b/>
        </w:rPr>
      </w:pPr>
      <w:r>
        <w:rPr>
          <w:b/>
        </w:rPr>
        <w:fldChar w:fldCharType="end"/>
      </w:r>
    </w:p>
    <w:p w14:paraId="05CCF250" w14:textId="01530E40" w:rsidR="00F43682" w:rsidRPr="0040275E" w:rsidRDefault="0040275E" w:rsidP="0040275E">
      <w:pPr>
        <w:pStyle w:val="Heading1"/>
        <w:pageBreakBefore w:val="0"/>
        <w:numPr>
          <w:ilvl w:val="0"/>
          <w:numId w:val="0"/>
        </w:numPr>
        <w:spacing w:before="240" w:after="240"/>
        <w:jc w:val="center"/>
        <w:rPr>
          <w:sz w:val="24"/>
          <w:szCs w:val="24"/>
        </w:rPr>
      </w:pPr>
      <w:bookmarkStart w:id="9" w:name="_Toc389129936"/>
      <w:bookmarkStart w:id="10" w:name="_Toc440906237"/>
      <w:r w:rsidRPr="0040275E">
        <w:rPr>
          <w:caps w:val="0"/>
          <w:sz w:val="24"/>
          <w:szCs w:val="24"/>
        </w:rPr>
        <w:t>LIST OF ABBREVIATIONS</w:t>
      </w:r>
      <w:bookmarkEnd w:id="9"/>
      <w:bookmarkEnd w:id="10"/>
    </w:p>
    <w:tbl>
      <w:tblPr>
        <w:tblW w:w="0" w:type="auto"/>
        <w:tblLook w:val="0000" w:firstRow="0" w:lastRow="0" w:firstColumn="0" w:lastColumn="0" w:noHBand="0" w:noVBand="0"/>
      </w:tblPr>
      <w:tblGrid>
        <w:gridCol w:w="2319"/>
        <w:gridCol w:w="7041"/>
      </w:tblGrid>
      <w:tr w:rsidR="00D72FCE" w:rsidRPr="00CB6C59" w14:paraId="781A2B12" w14:textId="77777777" w:rsidTr="00DD3316">
        <w:tc>
          <w:tcPr>
            <w:tcW w:w="2358" w:type="dxa"/>
            <w:vAlign w:val="bottom"/>
          </w:tcPr>
          <w:p w14:paraId="4E41F1D1" w14:textId="77777777" w:rsidR="00D72FCE" w:rsidRPr="00CB6C59" w:rsidRDefault="00D72FCE" w:rsidP="00E624FD">
            <w:pPr>
              <w:pStyle w:val="Footer"/>
              <w:tabs>
                <w:tab w:val="clear" w:pos="4320"/>
                <w:tab w:val="clear" w:pos="8640"/>
              </w:tabs>
            </w:pPr>
            <w:r w:rsidRPr="00CB6C59">
              <w:t>AE</w:t>
            </w:r>
          </w:p>
        </w:tc>
        <w:tc>
          <w:tcPr>
            <w:tcW w:w="7218" w:type="dxa"/>
            <w:vAlign w:val="bottom"/>
          </w:tcPr>
          <w:p w14:paraId="52E6B77D" w14:textId="77777777" w:rsidR="00D72FCE" w:rsidRPr="00CB6C59" w:rsidRDefault="00D72FCE" w:rsidP="00E624FD">
            <w:r w:rsidRPr="00CB6C59">
              <w:t>Adverse event/adverse experience</w:t>
            </w:r>
          </w:p>
        </w:tc>
      </w:tr>
      <w:tr w:rsidR="00D72FCE" w:rsidRPr="00CB6C59" w14:paraId="0CD9B572" w14:textId="77777777" w:rsidTr="00DD3316">
        <w:tc>
          <w:tcPr>
            <w:tcW w:w="2358" w:type="dxa"/>
            <w:vAlign w:val="bottom"/>
          </w:tcPr>
          <w:p w14:paraId="1EF34AA0" w14:textId="77777777" w:rsidR="00D72FCE" w:rsidRPr="00CB6C59" w:rsidRDefault="00D72FCE" w:rsidP="00E624FD">
            <w:pPr>
              <w:pStyle w:val="Footer"/>
              <w:tabs>
                <w:tab w:val="clear" w:pos="4320"/>
                <w:tab w:val="clear" w:pos="8640"/>
              </w:tabs>
            </w:pPr>
            <w:r>
              <w:t>AESI</w:t>
            </w:r>
          </w:p>
        </w:tc>
        <w:tc>
          <w:tcPr>
            <w:tcW w:w="7218" w:type="dxa"/>
            <w:vAlign w:val="bottom"/>
          </w:tcPr>
          <w:p w14:paraId="7682A3FA" w14:textId="77777777" w:rsidR="00D72FCE" w:rsidRPr="00CB6C59" w:rsidRDefault="00D72FCE" w:rsidP="00E624FD">
            <w:r>
              <w:t>Adverse event of special interest</w:t>
            </w:r>
          </w:p>
        </w:tc>
      </w:tr>
      <w:tr w:rsidR="00D72FCE" w:rsidRPr="00CB6C59" w14:paraId="23D755CB" w14:textId="77777777" w:rsidTr="00DD3316">
        <w:tc>
          <w:tcPr>
            <w:tcW w:w="2358" w:type="dxa"/>
            <w:vAlign w:val="bottom"/>
          </w:tcPr>
          <w:p w14:paraId="1712810D" w14:textId="77777777" w:rsidR="00D72FCE" w:rsidRPr="00CB6C59" w:rsidRDefault="00D72FCE" w:rsidP="00E624FD">
            <w:pPr>
              <w:pStyle w:val="Footer"/>
              <w:tabs>
                <w:tab w:val="clear" w:pos="4320"/>
                <w:tab w:val="clear" w:pos="8640"/>
              </w:tabs>
            </w:pPr>
            <w:r>
              <w:t>ALT</w:t>
            </w:r>
          </w:p>
        </w:tc>
        <w:tc>
          <w:tcPr>
            <w:tcW w:w="7218" w:type="dxa"/>
            <w:vAlign w:val="bottom"/>
          </w:tcPr>
          <w:p w14:paraId="3BED90C3" w14:textId="77777777" w:rsidR="00D72FCE" w:rsidRPr="00CB6C59" w:rsidRDefault="00D72FCE" w:rsidP="00E624FD">
            <w:r>
              <w:t>Alanine aminotransferase</w:t>
            </w:r>
          </w:p>
        </w:tc>
      </w:tr>
      <w:tr w:rsidR="00D72FCE" w:rsidRPr="00CB6C59" w14:paraId="149E3620" w14:textId="77777777" w:rsidTr="00DD3316">
        <w:tc>
          <w:tcPr>
            <w:tcW w:w="2358" w:type="dxa"/>
            <w:vAlign w:val="bottom"/>
          </w:tcPr>
          <w:p w14:paraId="17031521" w14:textId="77777777" w:rsidR="00D72FCE" w:rsidRDefault="00D72FCE" w:rsidP="00E624FD">
            <w:pPr>
              <w:pStyle w:val="Footer"/>
              <w:tabs>
                <w:tab w:val="clear" w:pos="4320"/>
                <w:tab w:val="clear" w:pos="8640"/>
              </w:tabs>
            </w:pPr>
            <w:r>
              <w:t>AST</w:t>
            </w:r>
          </w:p>
        </w:tc>
        <w:tc>
          <w:tcPr>
            <w:tcW w:w="7218" w:type="dxa"/>
            <w:vAlign w:val="bottom"/>
          </w:tcPr>
          <w:p w14:paraId="6C4E584B" w14:textId="77777777" w:rsidR="00D72FCE" w:rsidRDefault="00D72FCE" w:rsidP="00E624FD">
            <w:r>
              <w:t>Aspartate aminotransferase</w:t>
            </w:r>
          </w:p>
        </w:tc>
      </w:tr>
      <w:tr w:rsidR="00D72FCE" w:rsidRPr="00CB6C59" w14:paraId="667DF0AB" w14:textId="77777777" w:rsidTr="00DD3316">
        <w:tc>
          <w:tcPr>
            <w:tcW w:w="2358" w:type="dxa"/>
            <w:vAlign w:val="bottom"/>
          </w:tcPr>
          <w:p w14:paraId="148F2D4A" w14:textId="77777777" w:rsidR="00D72FCE" w:rsidRPr="00CB6C59" w:rsidRDefault="00D72FCE" w:rsidP="00E624FD">
            <w:pPr>
              <w:pStyle w:val="Footer"/>
              <w:tabs>
                <w:tab w:val="clear" w:pos="4320"/>
                <w:tab w:val="clear" w:pos="8640"/>
              </w:tabs>
            </w:pPr>
            <w:r>
              <w:t>BCG</w:t>
            </w:r>
          </w:p>
        </w:tc>
        <w:tc>
          <w:tcPr>
            <w:tcW w:w="7218" w:type="dxa"/>
            <w:vAlign w:val="bottom"/>
          </w:tcPr>
          <w:p w14:paraId="53C9242F" w14:textId="08F0411E" w:rsidR="00D72FCE" w:rsidRPr="00CB6C59" w:rsidRDefault="00DD3316" w:rsidP="00E624FD">
            <w:r w:rsidRPr="00DD3316">
              <w:t>Bacille Calmette-Guérin</w:t>
            </w:r>
          </w:p>
        </w:tc>
      </w:tr>
      <w:tr w:rsidR="00D72FCE" w:rsidRPr="00CB6C59" w14:paraId="772D71DD" w14:textId="77777777" w:rsidTr="00DD3316">
        <w:tc>
          <w:tcPr>
            <w:tcW w:w="2358" w:type="dxa"/>
            <w:vAlign w:val="bottom"/>
          </w:tcPr>
          <w:p w14:paraId="0886C8E9" w14:textId="77777777" w:rsidR="00D72FCE" w:rsidRDefault="00D72FCE" w:rsidP="00E624FD">
            <w:pPr>
              <w:pStyle w:val="Footer"/>
              <w:tabs>
                <w:tab w:val="clear" w:pos="4320"/>
                <w:tab w:val="clear" w:pos="8640"/>
              </w:tabs>
            </w:pPr>
            <w:r>
              <w:t>BHCG</w:t>
            </w:r>
          </w:p>
        </w:tc>
        <w:tc>
          <w:tcPr>
            <w:tcW w:w="7218" w:type="dxa"/>
            <w:vAlign w:val="bottom"/>
          </w:tcPr>
          <w:p w14:paraId="35D63EA1" w14:textId="77777777" w:rsidR="00D72FCE" w:rsidRDefault="00D72FCE" w:rsidP="00E624FD">
            <w:r>
              <w:t>Beta human chorionic gonadotropin</w:t>
            </w:r>
          </w:p>
        </w:tc>
      </w:tr>
      <w:tr w:rsidR="00D72FCE" w:rsidRPr="00CB6C59" w14:paraId="6F08C5FA" w14:textId="77777777" w:rsidTr="00DD3316">
        <w:tc>
          <w:tcPr>
            <w:tcW w:w="2358" w:type="dxa"/>
            <w:vAlign w:val="bottom"/>
          </w:tcPr>
          <w:p w14:paraId="25762126" w14:textId="77777777" w:rsidR="00D72FCE" w:rsidRPr="00CB6C59" w:rsidRDefault="00D72FCE" w:rsidP="00E624FD">
            <w:r w:rsidRPr="00CB6C59">
              <w:t>CFR</w:t>
            </w:r>
          </w:p>
        </w:tc>
        <w:tc>
          <w:tcPr>
            <w:tcW w:w="7218" w:type="dxa"/>
            <w:vAlign w:val="bottom"/>
          </w:tcPr>
          <w:p w14:paraId="3FE27E01" w14:textId="77777777" w:rsidR="00D72FCE" w:rsidRPr="00CB6C59" w:rsidRDefault="00D72FCE" w:rsidP="00E624FD">
            <w:pPr>
              <w:rPr>
                <w:rFonts w:cs="Arial"/>
              </w:rPr>
            </w:pPr>
            <w:r w:rsidRPr="00CB6C59">
              <w:rPr>
                <w:rFonts w:cs="Arial"/>
              </w:rPr>
              <w:t>Code of Federal Regulations</w:t>
            </w:r>
          </w:p>
        </w:tc>
      </w:tr>
      <w:tr w:rsidR="00D72FCE" w:rsidRPr="00CB6C59" w:rsidDel="00FC74D1" w14:paraId="1F2BA9E1" w14:textId="77777777" w:rsidTr="00DD3316">
        <w:tc>
          <w:tcPr>
            <w:tcW w:w="2358" w:type="dxa"/>
            <w:vAlign w:val="bottom"/>
          </w:tcPr>
          <w:p w14:paraId="3E9FEAF3" w14:textId="77777777" w:rsidR="00D72FCE" w:rsidRPr="00CB6C59" w:rsidDel="00FC74D1" w:rsidRDefault="00D72FCE" w:rsidP="00E624FD">
            <w:r>
              <w:t>CRA</w:t>
            </w:r>
          </w:p>
        </w:tc>
        <w:tc>
          <w:tcPr>
            <w:tcW w:w="7218" w:type="dxa"/>
            <w:vAlign w:val="bottom"/>
          </w:tcPr>
          <w:p w14:paraId="1805521C" w14:textId="77777777" w:rsidR="00D72FCE" w:rsidRPr="00CB6C59" w:rsidDel="00FC74D1" w:rsidRDefault="00D72FCE" w:rsidP="00E624FD">
            <w:pPr>
              <w:rPr>
                <w:rFonts w:cs="Arial"/>
              </w:rPr>
            </w:pPr>
            <w:r>
              <w:rPr>
                <w:rFonts w:cs="Arial"/>
              </w:rPr>
              <w:t>Clinical research associate</w:t>
            </w:r>
          </w:p>
        </w:tc>
      </w:tr>
      <w:tr w:rsidR="00D72FCE" w:rsidRPr="00CB6C59" w14:paraId="231F3A3B" w14:textId="77777777" w:rsidTr="00DD3316">
        <w:tc>
          <w:tcPr>
            <w:tcW w:w="2358" w:type="dxa"/>
            <w:vAlign w:val="bottom"/>
          </w:tcPr>
          <w:p w14:paraId="6920EEEF" w14:textId="77777777" w:rsidR="00D72FCE" w:rsidRPr="00CB6C59" w:rsidRDefault="00D72FCE" w:rsidP="00E624FD">
            <w:r w:rsidRPr="00CB6C59">
              <w:t>CRF</w:t>
            </w:r>
          </w:p>
        </w:tc>
        <w:tc>
          <w:tcPr>
            <w:tcW w:w="7218" w:type="dxa"/>
            <w:vAlign w:val="bottom"/>
          </w:tcPr>
          <w:p w14:paraId="2F7B2AA1" w14:textId="77777777" w:rsidR="00D72FCE" w:rsidRPr="00CB6C59" w:rsidRDefault="00D72FCE" w:rsidP="00E624FD">
            <w:pPr>
              <w:rPr>
                <w:rFonts w:cs="Arial"/>
              </w:rPr>
            </w:pPr>
            <w:r w:rsidRPr="00CB6C59">
              <w:rPr>
                <w:rFonts w:cs="Arial"/>
              </w:rPr>
              <w:t>Case report form</w:t>
            </w:r>
          </w:p>
        </w:tc>
      </w:tr>
      <w:tr w:rsidR="00FF70DE" w:rsidRPr="00CB6C59" w14:paraId="7E669771" w14:textId="77777777" w:rsidTr="00DD3316">
        <w:tc>
          <w:tcPr>
            <w:tcW w:w="2358" w:type="dxa"/>
            <w:vAlign w:val="bottom"/>
          </w:tcPr>
          <w:p w14:paraId="68517EE1" w14:textId="2A96F6C3" w:rsidR="00FF70DE" w:rsidRPr="00CB6C59" w:rsidRDefault="00FF70DE" w:rsidP="00E624FD">
            <w:r>
              <w:t>CRP</w:t>
            </w:r>
          </w:p>
        </w:tc>
        <w:tc>
          <w:tcPr>
            <w:tcW w:w="7218" w:type="dxa"/>
            <w:vAlign w:val="bottom"/>
          </w:tcPr>
          <w:p w14:paraId="197D7E65" w14:textId="6030DBF1" w:rsidR="00FF70DE" w:rsidRPr="00CB6C59" w:rsidRDefault="00FF70DE" w:rsidP="00E624FD">
            <w:pPr>
              <w:rPr>
                <w:rFonts w:cs="Arial"/>
              </w:rPr>
            </w:pPr>
            <w:r>
              <w:rPr>
                <w:rFonts w:cs="Arial"/>
              </w:rPr>
              <w:t>C-reactive protein</w:t>
            </w:r>
          </w:p>
        </w:tc>
      </w:tr>
      <w:tr w:rsidR="00D72FCE" w:rsidRPr="00CB6C59" w:rsidDel="00FC74D1" w14:paraId="39CE4391" w14:textId="77777777" w:rsidTr="00DD3316">
        <w:tc>
          <w:tcPr>
            <w:tcW w:w="2358" w:type="dxa"/>
            <w:vAlign w:val="bottom"/>
          </w:tcPr>
          <w:p w14:paraId="0009B7D0" w14:textId="77777777" w:rsidR="00D72FCE" w:rsidRPr="00CB6C59" w:rsidDel="00FC74D1" w:rsidRDefault="00D72FCE" w:rsidP="00E624FD">
            <w:r>
              <w:t>CXR</w:t>
            </w:r>
          </w:p>
        </w:tc>
        <w:tc>
          <w:tcPr>
            <w:tcW w:w="7218" w:type="dxa"/>
            <w:vAlign w:val="bottom"/>
          </w:tcPr>
          <w:p w14:paraId="0FDD59E4" w14:textId="77777777" w:rsidR="00D72FCE" w:rsidRPr="00CB6C59" w:rsidDel="00FC74D1" w:rsidRDefault="00D72FCE" w:rsidP="00E624FD">
            <w:pPr>
              <w:rPr>
                <w:rFonts w:cs="Arial"/>
              </w:rPr>
            </w:pPr>
            <w:r>
              <w:rPr>
                <w:rFonts w:cs="Arial"/>
              </w:rPr>
              <w:t>Chest X-ray</w:t>
            </w:r>
          </w:p>
        </w:tc>
      </w:tr>
      <w:tr w:rsidR="00D72FCE" w:rsidRPr="00CB6C59" w14:paraId="07E7383E" w14:textId="77777777" w:rsidTr="00DD3316">
        <w:tc>
          <w:tcPr>
            <w:tcW w:w="2358" w:type="dxa"/>
            <w:vAlign w:val="bottom"/>
          </w:tcPr>
          <w:p w14:paraId="24E9A0EF" w14:textId="77777777" w:rsidR="00D72FCE" w:rsidRPr="00CB6C59" w:rsidRDefault="00D72FCE" w:rsidP="00E624FD">
            <w:r>
              <w:t>DLT</w:t>
            </w:r>
          </w:p>
        </w:tc>
        <w:tc>
          <w:tcPr>
            <w:tcW w:w="7218" w:type="dxa"/>
            <w:vAlign w:val="bottom"/>
          </w:tcPr>
          <w:p w14:paraId="31CFB1DD" w14:textId="77777777" w:rsidR="00D72FCE" w:rsidRPr="00CB6C59" w:rsidRDefault="00D72FCE" w:rsidP="00E624FD">
            <w:pPr>
              <w:rPr>
                <w:rFonts w:cs="Arial"/>
              </w:rPr>
            </w:pPr>
            <w:r>
              <w:rPr>
                <w:rFonts w:cs="Arial"/>
              </w:rPr>
              <w:t>Dose limiting toxicity</w:t>
            </w:r>
          </w:p>
        </w:tc>
      </w:tr>
      <w:tr w:rsidR="00D72FCE" w:rsidRPr="00CB6C59" w14:paraId="11448DAE" w14:textId="77777777" w:rsidTr="00DD3316">
        <w:tc>
          <w:tcPr>
            <w:tcW w:w="2358" w:type="dxa"/>
            <w:vAlign w:val="bottom"/>
          </w:tcPr>
          <w:p w14:paraId="60E2EA5B" w14:textId="77777777" w:rsidR="00D72FCE" w:rsidRPr="00CB6C59" w:rsidRDefault="00D72FCE" w:rsidP="00E624FD">
            <w:r w:rsidRPr="00CB6C59">
              <w:t>DSM</w:t>
            </w:r>
          </w:p>
        </w:tc>
        <w:tc>
          <w:tcPr>
            <w:tcW w:w="7218" w:type="dxa"/>
            <w:vAlign w:val="bottom"/>
          </w:tcPr>
          <w:p w14:paraId="7C457FCB" w14:textId="77777777" w:rsidR="00D72FCE" w:rsidRPr="00CB6C59" w:rsidRDefault="00D72FCE" w:rsidP="00E624FD">
            <w:r w:rsidRPr="00CB6C59">
              <w:t>Data and Safety Monitor</w:t>
            </w:r>
          </w:p>
        </w:tc>
      </w:tr>
      <w:tr w:rsidR="00D72FCE" w:rsidRPr="00CB6C59" w14:paraId="3A698AE6" w14:textId="77777777" w:rsidTr="00DD3316">
        <w:tc>
          <w:tcPr>
            <w:tcW w:w="2358" w:type="dxa"/>
            <w:vAlign w:val="bottom"/>
          </w:tcPr>
          <w:p w14:paraId="0DFBF427" w14:textId="77777777" w:rsidR="00D72FCE" w:rsidRPr="00CB6C59" w:rsidRDefault="00D72FCE" w:rsidP="00E624FD">
            <w:r>
              <w:t>DTHC</w:t>
            </w:r>
          </w:p>
        </w:tc>
        <w:tc>
          <w:tcPr>
            <w:tcW w:w="7218" w:type="dxa"/>
            <w:vAlign w:val="bottom"/>
          </w:tcPr>
          <w:p w14:paraId="15D22887" w14:textId="77777777" w:rsidR="00D72FCE" w:rsidRPr="00CB6C59" w:rsidRDefault="00D72FCE" w:rsidP="00E624FD">
            <w:r>
              <w:t>Desmond Tutu HIV Centre</w:t>
            </w:r>
          </w:p>
        </w:tc>
      </w:tr>
      <w:tr w:rsidR="00D72FCE" w:rsidRPr="00CB6C59" w14:paraId="4B88AB6D" w14:textId="77777777" w:rsidTr="00DD3316">
        <w:tc>
          <w:tcPr>
            <w:tcW w:w="2358" w:type="dxa"/>
            <w:vAlign w:val="bottom"/>
          </w:tcPr>
          <w:p w14:paraId="7E027ACF" w14:textId="77777777" w:rsidR="00D72FCE" w:rsidRPr="00CB6C59" w:rsidRDefault="00D72FCE" w:rsidP="00E624FD">
            <w:r w:rsidRPr="00CB6C59">
              <w:t>eCRF</w:t>
            </w:r>
          </w:p>
        </w:tc>
        <w:tc>
          <w:tcPr>
            <w:tcW w:w="7218" w:type="dxa"/>
            <w:vAlign w:val="bottom"/>
          </w:tcPr>
          <w:p w14:paraId="402E4E8F" w14:textId="77777777" w:rsidR="00D72FCE" w:rsidRPr="00CB6C59" w:rsidRDefault="00D72FCE" w:rsidP="00E624FD">
            <w:r w:rsidRPr="00CB6C59">
              <w:t>Electronic case report form</w:t>
            </w:r>
          </w:p>
        </w:tc>
      </w:tr>
      <w:tr w:rsidR="00D72FCE" w:rsidRPr="00CB6C59" w14:paraId="68DD2572" w14:textId="77777777" w:rsidTr="00DD3316">
        <w:tc>
          <w:tcPr>
            <w:tcW w:w="2358" w:type="dxa"/>
            <w:vAlign w:val="bottom"/>
          </w:tcPr>
          <w:p w14:paraId="55254884" w14:textId="77777777" w:rsidR="00D72FCE" w:rsidRPr="00CB6C59" w:rsidRDefault="00D72FCE" w:rsidP="00E624FD">
            <w:r>
              <w:t>ELISA</w:t>
            </w:r>
          </w:p>
        </w:tc>
        <w:tc>
          <w:tcPr>
            <w:tcW w:w="7218" w:type="dxa"/>
            <w:vAlign w:val="bottom"/>
          </w:tcPr>
          <w:p w14:paraId="125BDA94" w14:textId="77777777" w:rsidR="00D72FCE" w:rsidRPr="00CB6C59" w:rsidRDefault="00D72FCE" w:rsidP="00E624FD">
            <w:r>
              <w:t>Enzyme-linked immunosorbent assay</w:t>
            </w:r>
          </w:p>
        </w:tc>
      </w:tr>
      <w:tr w:rsidR="00D72FCE" w:rsidRPr="00CB6C59" w14:paraId="7F112D14" w14:textId="77777777" w:rsidTr="00DD3316">
        <w:tc>
          <w:tcPr>
            <w:tcW w:w="2358" w:type="dxa"/>
            <w:vAlign w:val="bottom"/>
          </w:tcPr>
          <w:p w14:paraId="06F283C6" w14:textId="77777777" w:rsidR="00D72FCE" w:rsidRDefault="00D72FCE" w:rsidP="00E624FD">
            <w:r>
              <w:t>EOS</w:t>
            </w:r>
          </w:p>
        </w:tc>
        <w:tc>
          <w:tcPr>
            <w:tcW w:w="7218" w:type="dxa"/>
            <w:vAlign w:val="bottom"/>
          </w:tcPr>
          <w:p w14:paraId="20B5F1FD" w14:textId="77777777" w:rsidR="00D72FCE" w:rsidRDefault="00D72FCE" w:rsidP="00E624FD">
            <w:r>
              <w:t>End of study</w:t>
            </w:r>
          </w:p>
        </w:tc>
      </w:tr>
      <w:tr w:rsidR="00D72FCE" w:rsidRPr="00CB6C59" w14:paraId="44F4AED5" w14:textId="77777777" w:rsidTr="00DD3316">
        <w:tc>
          <w:tcPr>
            <w:tcW w:w="2358" w:type="dxa"/>
            <w:vAlign w:val="bottom"/>
          </w:tcPr>
          <w:p w14:paraId="50FB64FB" w14:textId="77777777" w:rsidR="00D72FCE" w:rsidRPr="00CB6C59" w:rsidRDefault="00D72FCE" w:rsidP="00E624FD">
            <w:r w:rsidRPr="00CB6C59">
              <w:t>FDA</w:t>
            </w:r>
          </w:p>
        </w:tc>
        <w:tc>
          <w:tcPr>
            <w:tcW w:w="7218" w:type="dxa"/>
            <w:vAlign w:val="bottom"/>
          </w:tcPr>
          <w:p w14:paraId="575DCFAB" w14:textId="77777777" w:rsidR="00D72FCE" w:rsidRPr="00CB6C59" w:rsidRDefault="00D72FCE" w:rsidP="00E624FD">
            <w:r w:rsidRPr="00CB6C59">
              <w:t>Food and Drug Administration</w:t>
            </w:r>
          </w:p>
        </w:tc>
      </w:tr>
      <w:tr w:rsidR="00D72FCE" w:rsidRPr="00CB6C59" w14:paraId="3F4AA179" w14:textId="77777777" w:rsidTr="00DD3316">
        <w:tc>
          <w:tcPr>
            <w:tcW w:w="2358" w:type="dxa"/>
            <w:vAlign w:val="bottom"/>
          </w:tcPr>
          <w:p w14:paraId="79E407CD" w14:textId="77777777" w:rsidR="00D72FCE" w:rsidRPr="00CB6C59" w:rsidRDefault="00D72FCE" w:rsidP="00E624FD">
            <w:r w:rsidRPr="00CB6C59">
              <w:t>GCP</w:t>
            </w:r>
          </w:p>
        </w:tc>
        <w:tc>
          <w:tcPr>
            <w:tcW w:w="7218" w:type="dxa"/>
            <w:vAlign w:val="bottom"/>
          </w:tcPr>
          <w:p w14:paraId="3C0C4F4A" w14:textId="77777777" w:rsidR="00D72FCE" w:rsidRPr="00CB6C59" w:rsidRDefault="00D72FCE" w:rsidP="00E624FD">
            <w:r w:rsidRPr="00CB6C59">
              <w:t>Good Clinical Practice</w:t>
            </w:r>
          </w:p>
        </w:tc>
      </w:tr>
      <w:tr w:rsidR="00D72FCE" w:rsidRPr="00CB6C59" w14:paraId="1D149022" w14:textId="77777777" w:rsidTr="00DD3316">
        <w:tc>
          <w:tcPr>
            <w:tcW w:w="2358" w:type="dxa"/>
            <w:vAlign w:val="bottom"/>
          </w:tcPr>
          <w:p w14:paraId="2D2185C3" w14:textId="77777777" w:rsidR="00D72FCE" w:rsidRPr="00CB6C59" w:rsidRDefault="00D72FCE" w:rsidP="00E624FD">
            <w:r>
              <w:t>GLA-SE</w:t>
            </w:r>
          </w:p>
        </w:tc>
        <w:tc>
          <w:tcPr>
            <w:tcW w:w="7218" w:type="dxa"/>
            <w:vAlign w:val="bottom"/>
          </w:tcPr>
          <w:p w14:paraId="7A154568" w14:textId="77777777" w:rsidR="00D72FCE" w:rsidRPr="00CB6C59" w:rsidRDefault="00D72FCE" w:rsidP="00E624FD">
            <w:r>
              <w:t>Glucopyranosyl Lipid A – Stable Emulsion</w:t>
            </w:r>
          </w:p>
        </w:tc>
      </w:tr>
      <w:tr w:rsidR="00D72FCE" w:rsidRPr="00CB6C59" w14:paraId="0DD1D0AF" w14:textId="77777777" w:rsidTr="00DD3316">
        <w:tc>
          <w:tcPr>
            <w:tcW w:w="2358" w:type="dxa"/>
            <w:vAlign w:val="bottom"/>
          </w:tcPr>
          <w:p w14:paraId="38EA2AAA" w14:textId="77777777" w:rsidR="00D72FCE" w:rsidRDefault="00D72FCE" w:rsidP="00E624FD">
            <w:r>
              <w:t>GLP</w:t>
            </w:r>
          </w:p>
        </w:tc>
        <w:tc>
          <w:tcPr>
            <w:tcW w:w="7218" w:type="dxa"/>
            <w:vAlign w:val="bottom"/>
          </w:tcPr>
          <w:p w14:paraId="0A738C16" w14:textId="77777777" w:rsidR="00D72FCE" w:rsidRDefault="00D72FCE" w:rsidP="00E624FD">
            <w:r>
              <w:t>Good Laboratory Practice</w:t>
            </w:r>
          </w:p>
        </w:tc>
      </w:tr>
      <w:tr w:rsidR="00D72FCE" w:rsidRPr="00CB6C59" w14:paraId="37B727BF" w14:textId="77777777" w:rsidTr="00DD3316">
        <w:tc>
          <w:tcPr>
            <w:tcW w:w="2358" w:type="dxa"/>
            <w:vAlign w:val="bottom"/>
          </w:tcPr>
          <w:p w14:paraId="453F6EE3" w14:textId="77777777" w:rsidR="00D72FCE" w:rsidRPr="00CB6C59" w:rsidRDefault="00D72FCE" w:rsidP="00E624FD">
            <w:r>
              <w:t>HIV</w:t>
            </w:r>
          </w:p>
        </w:tc>
        <w:tc>
          <w:tcPr>
            <w:tcW w:w="7218" w:type="dxa"/>
            <w:vAlign w:val="bottom"/>
          </w:tcPr>
          <w:p w14:paraId="2D8DE5D7" w14:textId="77777777" w:rsidR="00D72FCE" w:rsidRPr="00CB6C59" w:rsidRDefault="00D72FCE" w:rsidP="00E624FD">
            <w:r>
              <w:t>Human immunodeficiency virus</w:t>
            </w:r>
          </w:p>
        </w:tc>
      </w:tr>
      <w:tr w:rsidR="00D72FCE" w:rsidRPr="00CB6C59" w14:paraId="714EE0B8" w14:textId="77777777" w:rsidTr="00DD3316">
        <w:tc>
          <w:tcPr>
            <w:tcW w:w="2358" w:type="dxa"/>
            <w:vAlign w:val="bottom"/>
          </w:tcPr>
          <w:p w14:paraId="087C9E89" w14:textId="77777777" w:rsidR="00D72FCE" w:rsidRPr="00CB6C59" w:rsidRDefault="00D72FCE" w:rsidP="00E624FD">
            <w:r w:rsidRPr="00CB6C59">
              <w:t>ICF</w:t>
            </w:r>
          </w:p>
        </w:tc>
        <w:tc>
          <w:tcPr>
            <w:tcW w:w="7218" w:type="dxa"/>
            <w:vAlign w:val="bottom"/>
          </w:tcPr>
          <w:p w14:paraId="2FDAA092" w14:textId="77777777" w:rsidR="00D72FCE" w:rsidRPr="00CB6C59" w:rsidRDefault="00D72FCE" w:rsidP="00E624FD">
            <w:r w:rsidRPr="00CB6C59">
              <w:t>Informed Consent Form</w:t>
            </w:r>
          </w:p>
        </w:tc>
      </w:tr>
      <w:tr w:rsidR="00D72FCE" w:rsidRPr="00CB6C59" w14:paraId="1C6AB9E3" w14:textId="77777777" w:rsidTr="00DD3316">
        <w:tc>
          <w:tcPr>
            <w:tcW w:w="2358" w:type="dxa"/>
            <w:vAlign w:val="bottom"/>
          </w:tcPr>
          <w:p w14:paraId="7A0FF152" w14:textId="77777777" w:rsidR="00D72FCE" w:rsidRPr="00CB6C59" w:rsidRDefault="00D72FCE" w:rsidP="00E624FD">
            <w:r w:rsidRPr="00CB6C59">
              <w:t>ICH</w:t>
            </w:r>
          </w:p>
        </w:tc>
        <w:tc>
          <w:tcPr>
            <w:tcW w:w="7218" w:type="dxa"/>
            <w:vAlign w:val="bottom"/>
          </w:tcPr>
          <w:p w14:paraId="50A9C801" w14:textId="77777777" w:rsidR="00D72FCE" w:rsidRPr="00CB6C59" w:rsidRDefault="00D72FCE" w:rsidP="00E624FD">
            <w:r w:rsidRPr="00CB6C59">
              <w:t>International Conference on Harmonisation</w:t>
            </w:r>
          </w:p>
        </w:tc>
      </w:tr>
      <w:tr w:rsidR="00D72FCE" w:rsidRPr="00CB6C59" w14:paraId="54E11478" w14:textId="77777777" w:rsidTr="00DD3316">
        <w:tc>
          <w:tcPr>
            <w:tcW w:w="2358" w:type="dxa"/>
            <w:vAlign w:val="bottom"/>
          </w:tcPr>
          <w:p w14:paraId="456A060B" w14:textId="77777777" w:rsidR="00D72FCE" w:rsidRPr="00CB6C59" w:rsidRDefault="00D72FCE" w:rsidP="00E624FD">
            <w:r>
              <w:t>ICS</w:t>
            </w:r>
          </w:p>
        </w:tc>
        <w:tc>
          <w:tcPr>
            <w:tcW w:w="7218" w:type="dxa"/>
            <w:vAlign w:val="bottom"/>
          </w:tcPr>
          <w:p w14:paraId="0F769FE7" w14:textId="77777777" w:rsidR="00D72FCE" w:rsidRPr="00CB6C59" w:rsidRDefault="00D72FCE" w:rsidP="00E624FD">
            <w:r>
              <w:t>Intracellular cytokine staining</w:t>
            </w:r>
          </w:p>
        </w:tc>
      </w:tr>
      <w:tr w:rsidR="00D72FCE" w:rsidRPr="00CB6C59" w14:paraId="650CD9C6" w14:textId="77777777" w:rsidTr="00DD3316">
        <w:tc>
          <w:tcPr>
            <w:tcW w:w="2358" w:type="dxa"/>
            <w:vAlign w:val="bottom"/>
          </w:tcPr>
          <w:p w14:paraId="59DB183C" w14:textId="77777777" w:rsidR="00D72FCE" w:rsidRPr="00CB6C59" w:rsidRDefault="00D72FCE" w:rsidP="00E624FD">
            <w:r>
              <w:t>IDRI</w:t>
            </w:r>
          </w:p>
        </w:tc>
        <w:tc>
          <w:tcPr>
            <w:tcW w:w="7218" w:type="dxa"/>
            <w:vAlign w:val="bottom"/>
          </w:tcPr>
          <w:p w14:paraId="453D8B11" w14:textId="77777777" w:rsidR="00D72FCE" w:rsidRPr="00CB6C59" w:rsidRDefault="00D72FCE" w:rsidP="00E624FD">
            <w:r>
              <w:t>Infectious Disease Research Institute</w:t>
            </w:r>
          </w:p>
        </w:tc>
      </w:tr>
      <w:tr w:rsidR="00D72FCE" w:rsidRPr="00CB6C59" w14:paraId="65EDD643" w14:textId="77777777" w:rsidTr="00DD3316">
        <w:tc>
          <w:tcPr>
            <w:tcW w:w="2358" w:type="dxa"/>
            <w:vAlign w:val="bottom"/>
          </w:tcPr>
          <w:p w14:paraId="390B6F86" w14:textId="77777777" w:rsidR="00D72FCE" w:rsidRPr="00CB6C59" w:rsidRDefault="00D72FCE" w:rsidP="00E624FD">
            <w:r w:rsidRPr="00CB6C59">
              <w:t>IEC</w:t>
            </w:r>
          </w:p>
        </w:tc>
        <w:tc>
          <w:tcPr>
            <w:tcW w:w="7218" w:type="dxa"/>
            <w:vAlign w:val="bottom"/>
          </w:tcPr>
          <w:p w14:paraId="06C2456B" w14:textId="477736A5" w:rsidR="00D72FCE" w:rsidRPr="00CB6C59" w:rsidRDefault="00D72FCE" w:rsidP="00E624FD">
            <w:r w:rsidRPr="00CB6C59">
              <w:t>Independent or</w:t>
            </w:r>
            <w:r w:rsidR="00DD3316" w:rsidRPr="00CB6C59">
              <w:t xml:space="preserve"> institutional ethics committee</w:t>
            </w:r>
          </w:p>
        </w:tc>
      </w:tr>
      <w:tr w:rsidR="00D72FCE" w:rsidRPr="00CB6C59" w14:paraId="11140E79" w14:textId="77777777" w:rsidTr="00DD3316">
        <w:tc>
          <w:tcPr>
            <w:tcW w:w="2358" w:type="dxa"/>
            <w:vAlign w:val="bottom"/>
          </w:tcPr>
          <w:p w14:paraId="7041B19D" w14:textId="77777777" w:rsidR="00D72FCE" w:rsidRPr="00CB6C59" w:rsidRDefault="00D72FCE" w:rsidP="00E624FD">
            <w:r>
              <w:t>IM</w:t>
            </w:r>
          </w:p>
        </w:tc>
        <w:tc>
          <w:tcPr>
            <w:tcW w:w="7218" w:type="dxa"/>
            <w:vAlign w:val="bottom"/>
          </w:tcPr>
          <w:p w14:paraId="2347B5BE" w14:textId="77777777" w:rsidR="00D72FCE" w:rsidRPr="00CB6C59" w:rsidRDefault="00D72FCE" w:rsidP="00E624FD">
            <w:r>
              <w:t>Intramuscular</w:t>
            </w:r>
          </w:p>
        </w:tc>
      </w:tr>
      <w:tr w:rsidR="00D72FCE" w:rsidRPr="00CB6C59" w14:paraId="28C6B852" w14:textId="77777777" w:rsidTr="00DD3316">
        <w:tc>
          <w:tcPr>
            <w:tcW w:w="2358" w:type="dxa"/>
            <w:vAlign w:val="bottom"/>
          </w:tcPr>
          <w:p w14:paraId="497BE045" w14:textId="77777777" w:rsidR="00D72FCE" w:rsidRPr="00CB6C59" w:rsidRDefault="00D72FCE" w:rsidP="00E624FD">
            <w:r w:rsidRPr="00CB6C59">
              <w:t>IND</w:t>
            </w:r>
          </w:p>
        </w:tc>
        <w:tc>
          <w:tcPr>
            <w:tcW w:w="7218" w:type="dxa"/>
            <w:vAlign w:val="bottom"/>
          </w:tcPr>
          <w:p w14:paraId="30578644" w14:textId="736E4A98" w:rsidR="00D72FCE" w:rsidRPr="00CB6C59" w:rsidRDefault="00D72FCE" w:rsidP="00E624FD">
            <w:r w:rsidRPr="00CB6C59">
              <w:t xml:space="preserve">Investigational </w:t>
            </w:r>
            <w:r w:rsidR="00DD3316" w:rsidRPr="00CB6C59">
              <w:t>new drug a</w:t>
            </w:r>
            <w:r w:rsidRPr="00CB6C59">
              <w:t>pplication</w:t>
            </w:r>
          </w:p>
        </w:tc>
      </w:tr>
      <w:tr w:rsidR="00D72FCE" w:rsidRPr="00CB6C59" w14:paraId="76E77DB4" w14:textId="77777777" w:rsidTr="00DD3316">
        <w:tc>
          <w:tcPr>
            <w:tcW w:w="2358" w:type="dxa"/>
            <w:vAlign w:val="bottom"/>
          </w:tcPr>
          <w:p w14:paraId="6A99DE8E" w14:textId="77777777" w:rsidR="00D72FCE" w:rsidRPr="00CB6C59" w:rsidRDefault="00D72FCE" w:rsidP="00E624FD">
            <w:r>
              <w:t>INH</w:t>
            </w:r>
          </w:p>
        </w:tc>
        <w:tc>
          <w:tcPr>
            <w:tcW w:w="7218" w:type="dxa"/>
            <w:vAlign w:val="bottom"/>
          </w:tcPr>
          <w:p w14:paraId="2BFBD357" w14:textId="77777777" w:rsidR="00D72FCE" w:rsidRPr="00CB6C59" w:rsidRDefault="00D72FCE" w:rsidP="00E624FD">
            <w:r>
              <w:t>Isoniazid</w:t>
            </w:r>
          </w:p>
        </w:tc>
      </w:tr>
      <w:tr w:rsidR="00D72FCE" w:rsidRPr="00CB6C59" w14:paraId="5024BD5B" w14:textId="77777777" w:rsidTr="00DD3316">
        <w:tc>
          <w:tcPr>
            <w:tcW w:w="2358" w:type="dxa"/>
            <w:vAlign w:val="bottom"/>
          </w:tcPr>
          <w:p w14:paraId="29CE5F13" w14:textId="77777777" w:rsidR="00D72FCE" w:rsidRPr="00CB6C59" w:rsidRDefault="00D72FCE" w:rsidP="00E624FD">
            <w:r w:rsidRPr="00CB6C59">
              <w:t>IRB</w:t>
            </w:r>
          </w:p>
        </w:tc>
        <w:tc>
          <w:tcPr>
            <w:tcW w:w="7218" w:type="dxa"/>
            <w:vAlign w:val="bottom"/>
          </w:tcPr>
          <w:p w14:paraId="6D2218F7" w14:textId="0AD7C64C" w:rsidR="00D72FCE" w:rsidRPr="00CB6C59" w:rsidRDefault="00D72FCE" w:rsidP="00E624FD">
            <w:r w:rsidRPr="00CB6C59">
              <w:t>Institution</w:t>
            </w:r>
            <w:r w:rsidR="00DD3316" w:rsidRPr="00CB6C59">
              <w:t>al review bo</w:t>
            </w:r>
            <w:r w:rsidRPr="00CB6C59">
              <w:t>ard</w:t>
            </w:r>
          </w:p>
        </w:tc>
      </w:tr>
      <w:tr w:rsidR="00D72FCE" w:rsidRPr="00CB6C59" w:rsidDel="00774D3D" w14:paraId="725E931E" w14:textId="77777777" w:rsidTr="00DD3316">
        <w:tc>
          <w:tcPr>
            <w:tcW w:w="2358" w:type="dxa"/>
            <w:vAlign w:val="bottom"/>
          </w:tcPr>
          <w:p w14:paraId="2C812F0A" w14:textId="77777777" w:rsidR="00D72FCE" w:rsidRPr="00CB6C59" w:rsidDel="00774D3D" w:rsidRDefault="00D72FCE" w:rsidP="00E624FD">
            <w:r>
              <w:t>LMM</w:t>
            </w:r>
          </w:p>
        </w:tc>
        <w:tc>
          <w:tcPr>
            <w:tcW w:w="7218" w:type="dxa"/>
            <w:vAlign w:val="bottom"/>
          </w:tcPr>
          <w:p w14:paraId="72F66A72" w14:textId="77777777" w:rsidR="00D72FCE" w:rsidRPr="00CB6C59" w:rsidDel="00774D3D" w:rsidRDefault="00D72FCE" w:rsidP="00E624FD">
            <w:r>
              <w:t>Local medical monitor</w:t>
            </w:r>
          </w:p>
        </w:tc>
      </w:tr>
      <w:tr w:rsidR="00D72FCE" w:rsidRPr="00CB6C59" w:rsidDel="00774D3D" w14:paraId="001A1F49" w14:textId="77777777" w:rsidTr="00DD3316">
        <w:tc>
          <w:tcPr>
            <w:tcW w:w="2358" w:type="dxa"/>
            <w:vAlign w:val="bottom"/>
          </w:tcPr>
          <w:p w14:paraId="313EE1E8" w14:textId="77777777" w:rsidR="00D72FCE" w:rsidRDefault="00D72FCE" w:rsidP="00E624FD">
            <w:r>
              <w:t>LTFU</w:t>
            </w:r>
          </w:p>
        </w:tc>
        <w:tc>
          <w:tcPr>
            <w:tcW w:w="7218" w:type="dxa"/>
            <w:vAlign w:val="bottom"/>
          </w:tcPr>
          <w:p w14:paraId="546D4C6F" w14:textId="77777777" w:rsidR="00D72FCE" w:rsidRDefault="00D72FCE" w:rsidP="00E624FD">
            <w:r>
              <w:t>Lost to follow up</w:t>
            </w:r>
          </w:p>
        </w:tc>
      </w:tr>
      <w:tr w:rsidR="00C91C00" w:rsidRPr="00CB6C59" w:rsidDel="00774D3D" w14:paraId="6E067041" w14:textId="77777777" w:rsidTr="00DD3316">
        <w:tc>
          <w:tcPr>
            <w:tcW w:w="2358" w:type="dxa"/>
            <w:vAlign w:val="bottom"/>
          </w:tcPr>
          <w:p w14:paraId="567C9D45" w14:textId="080D5684" w:rsidR="00C91C00" w:rsidRDefault="00C91C00" w:rsidP="00E624FD">
            <w:r>
              <w:t>MCC</w:t>
            </w:r>
          </w:p>
        </w:tc>
        <w:tc>
          <w:tcPr>
            <w:tcW w:w="7218" w:type="dxa"/>
            <w:vAlign w:val="bottom"/>
          </w:tcPr>
          <w:p w14:paraId="05AA36D6" w14:textId="02BCC4D2" w:rsidR="00C91C00" w:rsidRDefault="00C91C00" w:rsidP="00E624FD">
            <w:r>
              <w:t>Medicines Control Council</w:t>
            </w:r>
          </w:p>
        </w:tc>
      </w:tr>
      <w:tr w:rsidR="00D72FCE" w:rsidRPr="00CB6C59" w:rsidDel="00774D3D" w14:paraId="5580560E" w14:textId="77777777" w:rsidTr="00DD3316">
        <w:tc>
          <w:tcPr>
            <w:tcW w:w="2358" w:type="dxa"/>
            <w:vAlign w:val="bottom"/>
          </w:tcPr>
          <w:p w14:paraId="052EE8A6" w14:textId="77777777" w:rsidR="00D72FCE" w:rsidRPr="00CB6C59" w:rsidDel="00774D3D" w:rsidRDefault="00D72FCE" w:rsidP="00E624FD">
            <w:r>
              <w:t>MDR-TB</w:t>
            </w:r>
          </w:p>
        </w:tc>
        <w:tc>
          <w:tcPr>
            <w:tcW w:w="7218" w:type="dxa"/>
            <w:vAlign w:val="bottom"/>
          </w:tcPr>
          <w:p w14:paraId="739FD376" w14:textId="77777777" w:rsidR="00D72FCE" w:rsidRPr="00CB6C59" w:rsidDel="00774D3D" w:rsidRDefault="00D72FCE" w:rsidP="00E624FD">
            <w:r>
              <w:t>Multiple drug resistant tuberculosis</w:t>
            </w:r>
          </w:p>
        </w:tc>
      </w:tr>
      <w:tr w:rsidR="00D72FCE" w:rsidRPr="00CB6C59" w14:paraId="0563793F" w14:textId="77777777" w:rsidTr="00DD3316">
        <w:tc>
          <w:tcPr>
            <w:tcW w:w="2358" w:type="dxa"/>
            <w:vAlign w:val="bottom"/>
          </w:tcPr>
          <w:p w14:paraId="37723845" w14:textId="77777777" w:rsidR="00D72FCE" w:rsidRPr="00CB6C59" w:rsidRDefault="00D72FCE" w:rsidP="00E624FD">
            <w:r w:rsidRPr="00CB6C59">
              <w:t>MedDRA</w:t>
            </w:r>
            <w:r w:rsidRPr="00CB6C59">
              <w:rPr>
                <w:szCs w:val="22"/>
                <w:vertAlign w:val="superscript"/>
              </w:rPr>
              <w:sym w:font="Symbol" w:char="F0D2"/>
            </w:r>
          </w:p>
        </w:tc>
        <w:tc>
          <w:tcPr>
            <w:tcW w:w="7218" w:type="dxa"/>
            <w:vAlign w:val="bottom"/>
          </w:tcPr>
          <w:p w14:paraId="33E57919" w14:textId="77777777" w:rsidR="00D72FCE" w:rsidRPr="00CB6C59" w:rsidRDefault="00D72FCE" w:rsidP="00E624FD">
            <w:r w:rsidRPr="00CB6C59">
              <w:t>Medical Dictionary for Regulatory Activities</w:t>
            </w:r>
          </w:p>
        </w:tc>
      </w:tr>
      <w:tr w:rsidR="00D72FCE" w:rsidRPr="00CB6C59" w14:paraId="333CE93F" w14:textId="77777777" w:rsidTr="00DD3316">
        <w:tc>
          <w:tcPr>
            <w:tcW w:w="2358" w:type="dxa"/>
            <w:vAlign w:val="bottom"/>
          </w:tcPr>
          <w:p w14:paraId="542F0C19" w14:textId="77777777" w:rsidR="00D72FCE" w:rsidRPr="00CB6C59" w:rsidRDefault="00D72FCE" w:rsidP="00E624FD">
            <w:r>
              <w:t>MGIT</w:t>
            </w:r>
          </w:p>
        </w:tc>
        <w:tc>
          <w:tcPr>
            <w:tcW w:w="7218" w:type="dxa"/>
            <w:vAlign w:val="bottom"/>
          </w:tcPr>
          <w:p w14:paraId="2BF00D59" w14:textId="77777777" w:rsidR="00D72FCE" w:rsidRPr="00CB6C59" w:rsidRDefault="00D72FCE" w:rsidP="00E624FD">
            <w:r>
              <w:t>Mycobacteria growth indicator tube (Becton-Dickinson, USA)</w:t>
            </w:r>
          </w:p>
        </w:tc>
      </w:tr>
      <w:tr w:rsidR="00D72FCE" w:rsidRPr="00CB6C59" w14:paraId="2F1879AA" w14:textId="77777777" w:rsidTr="00DD3316">
        <w:tc>
          <w:tcPr>
            <w:tcW w:w="2358" w:type="dxa"/>
            <w:vAlign w:val="bottom"/>
          </w:tcPr>
          <w:p w14:paraId="42CCEE87" w14:textId="77777777" w:rsidR="00D72FCE" w:rsidRPr="00CB6C59" w:rsidRDefault="00D72FCE" w:rsidP="00E624FD">
            <w:r w:rsidRPr="00CB6C59">
              <w:t>MOP</w:t>
            </w:r>
          </w:p>
        </w:tc>
        <w:tc>
          <w:tcPr>
            <w:tcW w:w="7218" w:type="dxa"/>
            <w:vAlign w:val="bottom"/>
          </w:tcPr>
          <w:p w14:paraId="4AE78650" w14:textId="77777777" w:rsidR="00D72FCE" w:rsidRPr="00CB6C59" w:rsidRDefault="00D72FCE" w:rsidP="00E624FD">
            <w:r w:rsidRPr="00CB6C59">
              <w:t>Manual of Procedures</w:t>
            </w:r>
          </w:p>
        </w:tc>
      </w:tr>
      <w:tr w:rsidR="00D72FCE" w:rsidRPr="00CB6C59" w14:paraId="592A4DB2" w14:textId="77777777" w:rsidTr="00DD3316">
        <w:tc>
          <w:tcPr>
            <w:tcW w:w="2358" w:type="dxa"/>
            <w:vAlign w:val="bottom"/>
          </w:tcPr>
          <w:p w14:paraId="590036FD" w14:textId="77777777" w:rsidR="00D72FCE" w:rsidRPr="00CB6C59" w:rsidRDefault="00D72FCE" w:rsidP="00E624FD">
            <w:r>
              <w:t>Mtb</w:t>
            </w:r>
          </w:p>
        </w:tc>
        <w:tc>
          <w:tcPr>
            <w:tcW w:w="7218" w:type="dxa"/>
            <w:vAlign w:val="bottom"/>
          </w:tcPr>
          <w:p w14:paraId="784A65A4" w14:textId="77777777" w:rsidR="00D72FCE" w:rsidRPr="00CB6C59" w:rsidRDefault="00D72FCE" w:rsidP="00E624FD">
            <w:r>
              <w:t>Mycobacterium tuberculosis</w:t>
            </w:r>
          </w:p>
        </w:tc>
      </w:tr>
      <w:tr w:rsidR="00D72FCE" w:rsidRPr="00CB6C59" w14:paraId="330E1BA3" w14:textId="77777777" w:rsidTr="00DD3316">
        <w:tc>
          <w:tcPr>
            <w:tcW w:w="2358" w:type="dxa"/>
            <w:vAlign w:val="bottom"/>
          </w:tcPr>
          <w:p w14:paraId="46F38EF0" w14:textId="77777777" w:rsidR="00D72FCE" w:rsidRPr="00CB6C59" w:rsidRDefault="00D72FCE" w:rsidP="00E624FD">
            <w:r w:rsidRPr="00CB6C59">
              <w:t>N</w:t>
            </w:r>
          </w:p>
        </w:tc>
        <w:tc>
          <w:tcPr>
            <w:tcW w:w="7218" w:type="dxa"/>
            <w:vAlign w:val="bottom"/>
          </w:tcPr>
          <w:p w14:paraId="08BF6EE6" w14:textId="77777777" w:rsidR="00D72FCE" w:rsidRPr="00CB6C59" w:rsidRDefault="00D72FCE" w:rsidP="00E624FD">
            <w:r w:rsidRPr="00CB6C59">
              <w:t>Number (typically refers to subjects)</w:t>
            </w:r>
          </w:p>
        </w:tc>
      </w:tr>
      <w:tr w:rsidR="00D72FCE" w:rsidRPr="00CB6C59" w:rsidDel="00774D3D" w14:paraId="6327B35A" w14:textId="77777777" w:rsidTr="00DD3316">
        <w:tc>
          <w:tcPr>
            <w:tcW w:w="2358" w:type="dxa"/>
            <w:vAlign w:val="bottom"/>
          </w:tcPr>
          <w:p w14:paraId="15E1B89A" w14:textId="77777777" w:rsidR="00D72FCE" w:rsidRPr="00CB6C59" w:rsidDel="00774D3D" w:rsidRDefault="00D72FCE" w:rsidP="00E624FD">
            <w:r>
              <w:t>PBMC</w:t>
            </w:r>
          </w:p>
        </w:tc>
        <w:tc>
          <w:tcPr>
            <w:tcW w:w="7218" w:type="dxa"/>
            <w:vAlign w:val="bottom"/>
          </w:tcPr>
          <w:p w14:paraId="0F73A904" w14:textId="77777777" w:rsidR="00D72FCE" w:rsidRPr="00CB6C59" w:rsidDel="00774D3D" w:rsidRDefault="00D72FCE" w:rsidP="00E624FD">
            <w:r>
              <w:t>Peripheral blood mononuclear cells</w:t>
            </w:r>
          </w:p>
        </w:tc>
      </w:tr>
      <w:tr w:rsidR="00D72FCE" w:rsidRPr="00CB6C59" w14:paraId="56C9991A" w14:textId="77777777" w:rsidTr="00DD3316">
        <w:tc>
          <w:tcPr>
            <w:tcW w:w="2358" w:type="dxa"/>
            <w:vAlign w:val="bottom"/>
          </w:tcPr>
          <w:p w14:paraId="051866AE" w14:textId="77777777" w:rsidR="00D72FCE" w:rsidRPr="00CB6C59" w:rsidRDefault="00D72FCE" w:rsidP="00E624FD">
            <w:r w:rsidRPr="00CB6C59">
              <w:t>PI</w:t>
            </w:r>
          </w:p>
        </w:tc>
        <w:tc>
          <w:tcPr>
            <w:tcW w:w="7218" w:type="dxa"/>
            <w:vAlign w:val="bottom"/>
          </w:tcPr>
          <w:p w14:paraId="1427D2AB" w14:textId="77777777" w:rsidR="00D72FCE" w:rsidRPr="00CB6C59" w:rsidRDefault="00D72FCE" w:rsidP="00E624FD">
            <w:r w:rsidRPr="00CB6C59">
              <w:t>Principal Investigator</w:t>
            </w:r>
          </w:p>
        </w:tc>
      </w:tr>
      <w:tr w:rsidR="00D72FCE" w:rsidRPr="00CB6C59" w14:paraId="56750B6C" w14:textId="77777777" w:rsidTr="00DD3316">
        <w:tc>
          <w:tcPr>
            <w:tcW w:w="2358" w:type="dxa"/>
            <w:vAlign w:val="bottom"/>
          </w:tcPr>
          <w:p w14:paraId="0F035004" w14:textId="77777777" w:rsidR="00D72FCE" w:rsidRPr="00CB6C59" w:rsidRDefault="00D72FCE" w:rsidP="00E624FD">
            <w:r w:rsidRPr="00CB6C59">
              <w:t>PID #</w:t>
            </w:r>
          </w:p>
        </w:tc>
        <w:tc>
          <w:tcPr>
            <w:tcW w:w="7218" w:type="dxa"/>
            <w:vAlign w:val="bottom"/>
          </w:tcPr>
          <w:p w14:paraId="0D216D91" w14:textId="7D67149B" w:rsidR="00D72FCE" w:rsidRPr="00CB6C59" w:rsidRDefault="00D72FCE" w:rsidP="00DD3316">
            <w:r w:rsidRPr="00CB6C59">
              <w:t xml:space="preserve">Participant </w:t>
            </w:r>
            <w:r w:rsidR="00DD3316">
              <w:t>i</w:t>
            </w:r>
            <w:r w:rsidRPr="00CB6C59">
              <w:t>dentification number (randomization ID)</w:t>
            </w:r>
          </w:p>
        </w:tc>
      </w:tr>
      <w:tr w:rsidR="00D72FCE" w:rsidRPr="00CB6C59" w:rsidDel="00774D3D" w14:paraId="692FB2EB" w14:textId="77777777" w:rsidTr="00DD3316">
        <w:tc>
          <w:tcPr>
            <w:tcW w:w="2358" w:type="dxa"/>
            <w:vAlign w:val="bottom"/>
          </w:tcPr>
          <w:p w14:paraId="63440D77" w14:textId="77777777" w:rsidR="00D72FCE" w:rsidRPr="00CB6C59" w:rsidDel="00774D3D" w:rsidRDefault="00D72FCE" w:rsidP="00E624FD">
            <w:r>
              <w:t>QFT</w:t>
            </w:r>
          </w:p>
        </w:tc>
        <w:tc>
          <w:tcPr>
            <w:tcW w:w="7218" w:type="dxa"/>
            <w:vAlign w:val="bottom"/>
          </w:tcPr>
          <w:p w14:paraId="44C58943" w14:textId="77777777" w:rsidR="00D72FCE" w:rsidRPr="00CB6C59" w:rsidDel="00774D3D" w:rsidRDefault="00D72FCE" w:rsidP="00E624FD">
            <w:r>
              <w:t>QuantiFERON®-TB Gold</w:t>
            </w:r>
          </w:p>
        </w:tc>
      </w:tr>
      <w:tr w:rsidR="00D72FCE" w:rsidRPr="00CB6C59" w:rsidDel="00774D3D" w14:paraId="65F233DB" w14:textId="77777777" w:rsidTr="00DD3316">
        <w:tc>
          <w:tcPr>
            <w:tcW w:w="2358" w:type="dxa"/>
            <w:vAlign w:val="bottom"/>
          </w:tcPr>
          <w:p w14:paraId="65EFCA92" w14:textId="77777777" w:rsidR="00D72FCE" w:rsidRPr="00CB6C59" w:rsidDel="00774D3D" w:rsidRDefault="00D72FCE" w:rsidP="00E624FD">
            <w:r>
              <w:t>RIF</w:t>
            </w:r>
          </w:p>
        </w:tc>
        <w:tc>
          <w:tcPr>
            <w:tcW w:w="7218" w:type="dxa"/>
            <w:vAlign w:val="bottom"/>
          </w:tcPr>
          <w:p w14:paraId="3B3B1DC7" w14:textId="77777777" w:rsidR="00D72FCE" w:rsidRPr="00CB6C59" w:rsidDel="00774D3D" w:rsidRDefault="00D72FCE" w:rsidP="00E624FD">
            <w:r>
              <w:t>Rifampicin</w:t>
            </w:r>
          </w:p>
        </w:tc>
      </w:tr>
      <w:tr w:rsidR="00D72FCE" w:rsidRPr="00CB6C59" w14:paraId="385F81D1" w14:textId="77777777" w:rsidTr="00DD3316">
        <w:tc>
          <w:tcPr>
            <w:tcW w:w="2358" w:type="dxa"/>
            <w:vAlign w:val="bottom"/>
          </w:tcPr>
          <w:p w14:paraId="17BC4D3A" w14:textId="77777777" w:rsidR="00D72FCE" w:rsidRPr="00CB6C59" w:rsidRDefault="00D72FCE" w:rsidP="00E624FD">
            <w:r w:rsidRPr="00CB6C59">
              <w:t>SAE</w:t>
            </w:r>
          </w:p>
        </w:tc>
        <w:tc>
          <w:tcPr>
            <w:tcW w:w="7218" w:type="dxa"/>
            <w:vAlign w:val="bottom"/>
          </w:tcPr>
          <w:p w14:paraId="2DEB566E" w14:textId="12DF1100" w:rsidR="00D72FCE" w:rsidRPr="00CB6C59" w:rsidRDefault="00D72FCE" w:rsidP="00DD3316">
            <w:r w:rsidRPr="00CB6C59">
              <w:t>Serious adverse event</w:t>
            </w:r>
          </w:p>
        </w:tc>
      </w:tr>
      <w:tr w:rsidR="00D72FCE" w:rsidRPr="00CB6C59" w14:paraId="71EF15F0" w14:textId="77777777" w:rsidTr="00DD3316">
        <w:tc>
          <w:tcPr>
            <w:tcW w:w="2358" w:type="dxa"/>
            <w:vAlign w:val="bottom"/>
          </w:tcPr>
          <w:p w14:paraId="4304102F" w14:textId="77777777" w:rsidR="00D72FCE" w:rsidRPr="00CB6C59" w:rsidRDefault="00D72FCE" w:rsidP="00E624FD">
            <w:r>
              <w:t>SATVI</w:t>
            </w:r>
          </w:p>
        </w:tc>
        <w:tc>
          <w:tcPr>
            <w:tcW w:w="7218" w:type="dxa"/>
            <w:vAlign w:val="bottom"/>
          </w:tcPr>
          <w:p w14:paraId="0DEDAC13" w14:textId="77777777" w:rsidR="00D72FCE" w:rsidRPr="00CB6C59" w:rsidRDefault="00D72FCE" w:rsidP="00E624FD">
            <w:r>
              <w:t>South African Tuberculosis Vaccine Initiative</w:t>
            </w:r>
          </w:p>
        </w:tc>
      </w:tr>
      <w:tr w:rsidR="00D72FCE" w:rsidRPr="00CB6C59" w14:paraId="174EC225" w14:textId="77777777" w:rsidTr="00DD3316">
        <w:tc>
          <w:tcPr>
            <w:tcW w:w="2358" w:type="dxa"/>
            <w:vAlign w:val="bottom"/>
          </w:tcPr>
          <w:p w14:paraId="7C298B80" w14:textId="77777777" w:rsidR="00D72FCE" w:rsidRPr="00CB6C59" w:rsidRDefault="00D72FCE" w:rsidP="00E624FD">
            <w:r w:rsidRPr="00CB6C59">
              <w:t>SID #</w:t>
            </w:r>
          </w:p>
        </w:tc>
        <w:tc>
          <w:tcPr>
            <w:tcW w:w="7218" w:type="dxa"/>
            <w:vAlign w:val="bottom"/>
          </w:tcPr>
          <w:p w14:paraId="60D99C51" w14:textId="1DBB2AE3" w:rsidR="00D72FCE" w:rsidRPr="00CB6C59" w:rsidRDefault="00D72FCE" w:rsidP="00DD3316">
            <w:r w:rsidRPr="00CB6C59">
              <w:t xml:space="preserve">Screening </w:t>
            </w:r>
            <w:r w:rsidR="00DD3316">
              <w:t>i</w:t>
            </w:r>
            <w:r w:rsidRPr="00CB6C59">
              <w:t>dentification number</w:t>
            </w:r>
          </w:p>
        </w:tc>
      </w:tr>
      <w:tr w:rsidR="00D72FCE" w:rsidRPr="00CB6C59" w14:paraId="38F7AD3F" w14:textId="77777777" w:rsidTr="00DD3316">
        <w:tc>
          <w:tcPr>
            <w:tcW w:w="2358" w:type="dxa"/>
            <w:vAlign w:val="bottom"/>
          </w:tcPr>
          <w:p w14:paraId="437ABC70" w14:textId="77777777" w:rsidR="00D72FCE" w:rsidRPr="00CB6C59" w:rsidRDefault="00D72FCE" w:rsidP="00E624FD">
            <w:r w:rsidRPr="00CB6C59">
              <w:t>SMC</w:t>
            </w:r>
          </w:p>
        </w:tc>
        <w:tc>
          <w:tcPr>
            <w:tcW w:w="7218" w:type="dxa"/>
            <w:vAlign w:val="bottom"/>
          </w:tcPr>
          <w:p w14:paraId="569BFAF7" w14:textId="04D68DC4" w:rsidR="00D72FCE" w:rsidRPr="00CB6C59" w:rsidRDefault="00D72FCE" w:rsidP="00E624FD">
            <w:r w:rsidRPr="00CB6C59">
              <w:t xml:space="preserve">Safety </w:t>
            </w:r>
            <w:r w:rsidR="00DD3316" w:rsidRPr="00CB6C59">
              <w:t>monitoring co</w:t>
            </w:r>
            <w:r w:rsidRPr="00CB6C59">
              <w:t>mmittee</w:t>
            </w:r>
          </w:p>
        </w:tc>
      </w:tr>
      <w:tr w:rsidR="00D72FCE" w:rsidRPr="00CB6C59" w14:paraId="1B46032B" w14:textId="77777777" w:rsidTr="00DD3316">
        <w:tc>
          <w:tcPr>
            <w:tcW w:w="2358" w:type="dxa"/>
            <w:vAlign w:val="bottom"/>
          </w:tcPr>
          <w:p w14:paraId="10BE29B9" w14:textId="77777777" w:rsidR="00D72FCE" w:rsidRPr="00CB6C59" w:rsidRDefault="00D72FCE" w:rsidP="00E624FD">
            <w:r>
              <w:t>SMV</w:t>
            </w:r>
          </w:p>
        </w:tc>
        <w:tc>
          <w:tcPr>
            <w:tcW w:w="7218" w:type="dxa"/>
            <w:vAlign w:val="bottom"/>
          </w:tcPr>
          <w:p w14:paraId="6A535DE5" w14:textId="77777777" w:rsidR="00D72FCE" w:rsidRPr="00CB6C59" w:rsidRDefault="00D72FCE" w:rsidP="00E624FD">
            <w:r>
              <w:t>Site monitoring visit</w:t>
            </w:r>
          </w:p>
        </w:tc>
      </w:tr>
      <w:tr w:rsidR="00D72FCE" w:rsidRPr="00CB6C59" w14:paraId="220088B8" w14:textId="77777777" w:rsidTr="00DD3316">
        <w:tc>
          <w:tcPr>
            <w:tcW w:w="2358" w:type="dxa"/>
            <w:vAlign w:val="bottom"/>
          </w:tcPr>
          <w:p w14:paraId="67F44E74" w14:textId="77777777" w:rsidR="00D72FCE" w:rsidRPr="00CB6C59" w:rsidRDefault="00D72FCE" w:rsidP="00E624FD">
            <w:r w:rsidRPr="00CB6C59">
              <w:t>SOP</w:t>
            </w:r>
          </w:p>
        </w:tc>
        <w:tc>
          <w:tcPr>
            <w:tcW w:w="7218" w:type="dxa"/>
            <w:vAlign w:val="bottom"/>
          </w:tcPr>
          <w:p w14:paraId="22729D12" w14:textId="1F191355" w:rsidR="00D72FCE" w:rsidRPr="00CB6C59" w:rsidRDefault="00D72FCE" w:rsidP="00E624FD">
            <w:r w:rsidRPr="00CB6C59">
              <w:t>Standar</w:t>
            </w:r>
            <w:r w:rsidR="00DD3316" w:rsidRPr="00CB6C59">
              <w:t>d operating pr</w:t>
            </w:r>
            <w:r w:rsidRPr="00CB6C59">
              <w:t>ocedure</w:t>
            </w:r>
          </w:p>
        </w:tc>
      </w:tr>
      <w:tr w:rsidR="00D72FCE" w:rsidRPr="00CB6C59" w14:paraId="21622D0B" w14:textId="77777777" w:rsidTr="00DD3316">
        <w:tc>
          <w:tcPr>
            <w:tcW w:w="2358" w:type="dxa"/>
            <w:vAlign w:val="bottom"/>
          </w:tcPr>
          <w:p w14:paraId="335A1C88" w14:textId="77777777" w:rsidR="00D72FCE" w:rsidRDefault="00D72FCE" w:rsidP="00E624FD">
            <w:r>
              <w:t>SUSAR</w:t>
            </w:r>
          </w:p>
        </w:tc>
        <w:tc>
          <w:tcPr>
            <w:tcW w:w="7218" w:type="dxa"/>
            <w:vAlign w:val="bottom"/>
          </w:tcPr>
          <w:p w14:paraId="2305678C" w14:textId="74FA3306" w:rsidR="00D72FCE" w:rsidRDefault="00D72FCE" w:rsidP="00DD3316">
            <w:r>
              <w:t>S</w:t>
            </w:r>
            <w:r w:rsidR="00DD3316">
              <w:t>uspected</w:t>
            </w:r>
            <w:r>
              <w:t xml:space="preserve"> unexpected s</w:t>
            </w:r>
            <w:r w:rsidR="00DD3316">
              <w:t>eriou</w:t>
            </w:r>
            <w:r>
              <w:t>s adverse reaction</w:t>
            </w:r>
          </w:p>
        </w:tc>
      </w:tr>
      <w:tr w:rsidR="00FF70DE" w:rsidRPr="00CB6C59" w14:paraId="40C9CE4D" w14:textId="77777777" w:rsidTr="00DD3316">
        <w:tc>
          <w:tcPr>
            <w:tcW w:w="2358" w:type="dxa"/>
            <w:vAlign w:val="bottom"/>
          </w:tcPr>
          <w:p w14:paraId="63786CAA" w14:textId="33F295B2" w:rsidR="00FF70DE" w:rsidRDefault="00FF70DE" w:rsidP="00E624FD">
            <w:r>
              <w:t>TASK</w:t>
            </w:r>
          </w:p>
        </w:tc>
        <w:tc>
          <w:tcPr>
            <w:tcW w:w="7218" w:type="dxa"/>
            <w:vAlign w:val="bottom"/>
          </w:tcPr>
          <w:p w14:paraId="1DEDA46E" w14:textId="2E1D3962" w:rsidR="00FF70DE" w:rsidRDefault="00FF70DE" w:rsidP="00DD3316">
            <w:r>
              <w:t>TASK Applied Science</w:t>
            </w:r>
          </w:p>
        </w:tc>
      </w:tr>
      <w:tr w:rsidR="00D72FCE" w:rsidRPr="00CB6C59" w14:paraId="6E2B4F9B" w14:textId="77777777" w:rsidTr="00DD3316">
        <w:tc>
          <w:tcPr>
            <w:tcW w:w="2358" w:type="dxa"/>
            <w:vAlign w:val="bottom"/>
          </w:tcPr>
          <w:p w14:paraId="4E66C7E7" w14:textId="77777777" w:rsidR="00D72FCE" w:rsidRPr="00CB6C59" w:rsidRDefault="00D72FCE" w:rsidP="00E624FD">
            <w:r>
              <w:t>TB</w:t>
            </w:r>
          </w:p>
        </w:tc>
        <w:tc>
          <w:tcPr>
            <w:tcW w:w="7218" w:type="dxa"/>
            <w:vAlign w:val="bottom"/>
          </w:tcPr>
          <w:p w14:paraId="580FB8A4" w14:textId="77777777" w:rsidR="00D72FCE" w:rsidRPr="00CB6C59" w:rsidRDefault="00D72FCE" w:rsidP="00E624FD">
            <w:r>
              <w:t>Tuberculosis</w:t>
            </w:r>
          </w:p>
        </w:tc>
      </w:tr>
      <w:tr w:rsidR="00D72FCE" w:rsidRPr="00CB6C59" w14:paraId="46FCCA44" w14:textId="77777777" w:rsidTr="00DD3316">
        <w:tc>
          <w:tcPr>
            <w:tcW w:w="2358" w:type="dxa"/>
            <w:vAlign w:val="bottom"/>
          </w:tcPr>
          <w:p w14:paraId="0E99D9F5" w14:textId="77777777" w:rsidR="00D72FCE" w:rsidRDefault="00D72FCE" w:rsidP="00E624FD">
            <w:r>
              <w:t>UCT</w:t>
            </w:r>
          </w:p>
        </w:tc>
        <w:tc>
          <w:tcPr>
            <w:tcW w:w="7218" w:type="dxa"/>
            <w:vAlign w:val="bottom"/>
          </w:tcPr>
          <w:p w14:paraId="3F4B4E04" w14:textId="77777777" w:rsidR="00D72FCE" w:rsidRDefault="00D72FCE" w:rsidP="00E624FD">
            <w:r>
              <w:t>University of Cape Town</w:t>
            </w:r>
          </w:p>
        </w:tc>
      </w:tr>
      <w:tr w:rsidR="00D72FCE" w:rsidRPr="00CB6C59" w14:paraId="4E10D4B3" w14:textId="77777777" w:rsidTr="00DD3316">
        <w:tc>
          <w:tcPr>
            <w:tcW w:w="2358" w:type="dxa"/>
            <w:vAlign w:val="bottom"/>
          </w:tcPr>
          <w:p w14:paraId="6AE8723C" w14:textId="77777777" w:rsidR="00D72FCE" w:rsidRPr="00CB6C59" w:rsidRDefault="00D72FCE" w:rsidP="00E624FD">
            <w:r w:rsidRPr="00CB6C59">
              <w:t>US</w:t>
            </w:r>
          </w:p>
        </w:tc>
        <w:tc>
          <w:tcPr>
            <w:tcW w:w="7218" w:type="dxa"/>
            <w:vAlign w:val="bottom"/>
          </w:tcPr>
          <w:p w14:paraId="72735856" w14:textId="77777777" w:rsidR="00D72FCE" w:rsidRPr="00CB6C59" w:rsidRDefault="00D72FCE" w:rsidP="00E624FD">
            <w:r w:rsidRPr="00CB6C59">
              <w:t>United States</w:t>
            </w:r>
          </w:p>
        </w:tc>
      </w:tr>
      <w:tr w:rsidR="00D72FCE" w:rsidRPr="00CB6C59" w14:paraId="045ACC79" w14:textId="77777777" w:rsidTr="00DD3316">
        <w:tc>
          <w:tcPr>
            <w:tcW w:w="2358" w:type="dxa"/>
            <w:vAlign w:val="bottom"/>
          </w:tcPr>
          <w:p w14:paraId="76BCC1CC" w14:textId="77777777" w:rsidR="00D72FCE" w:rsidRPr="00CB6C59" w:rsidRDefault="00D72FCE" w:rsidP="00E624FD">
            <w:r>
              <w:t>WBC</w:t>
            </w:r>
          </w:p>
        </w:tc>
        <w:tc>
          <w:tcPr>
            <w:tcW w:w="7218" w:type="dxa"/>
            <w:vAlign w:val="bottom"/>
          </w:tcPr>
          <w:p w14:paraId="4263A918" w14:textId="77777777" w:rsidR="00D72FCE" w:rsidRPr="00CB6C59" w:rsidRDefault="00D72FCE" w:rsidP="00E624FD">
            <w:r>
              <w:t>White blood cell</w:t>
            </w:r>
          </w:p>
        </w:tc>
      </w:tr>
      <w:tr w:rsidR="00D72FCE" w:rsidRPr="00CB6C59" w14:paraId="5B19CB62" w14:textId="77777777" w:rsidTr="00DD3316">
        <w:tc>
          <w:tcPr>
            <w:tcW w:w="2358" w:type="dxa"/>
            <w:vAlign w:val="bottom"/>
          </w:tcPr>
          <w:p w14:paraId="2A62EDC3" w14:textId="77777777" w:rsidR="00D72FCE" w:rsidRPr="00CB6C59" w:rsidRDefault="00D72FCE" w:rsidP="00E624FD">
            <w:r w:rsidRPr="00CB6C59">
              <w:t>WHO</w:t>
            </w:r>
          </w:p>
        </w:tc>
        <w:tc>
          <w:tcPr>
            <w:tcW w:w="7218" w:type="dxa"/>
            <w:vAlign w:val="bottom"/>
          </w:tcPr>
          <w:p w14:paraId="30482756" w14:textId="77777777" w:rsidR="00D72FCE" w:rsidRPr="00CB6C59" w:rsidRDefault="00D72FCE" w:rsidP="00E624FD">
            <w:r w:rsidRPr="00CB6C59">
              <w:t>World Health Organization</w:t>
            </w:r>
          </w:p>
        </w:tc>
      </w:tr>
      <w:tr w:rsidR="00D72FCE" w:rsidRPr="00CB6C59" w14:paraId="31222E5A" w14:textId="77777777" w:rsidTr="00DD3316">
        <w:tc>
          <w:tcPr>
            <w:tcW w:w="2358" w:type="dxa"/>
            <w:vAlign w:val="bottom"/>
          </w:tcPr>
          <w:p w14:paraId="079C50D6" w14:textId="77777777" w:rsidR="00D72FCE" w:rsidRPr="00CB6C59" w:rsidRDefault="00D72FCE" w:rsidP="00E624FD">
            <w:r>
              <w:t>XDR-TB</w:t>
            </w:r>
          </w:p>
        </w:tc>
        <w:tc>
          <w:tcPr>
            <w:tcW w:w="7218" w:type="dxa"/>
            <w:vAlign w:val="bottom"/>
          </w:tcPr>
          <w:p w14:paraId="12D5DA3E" w14:textId="77777777" w:rsidR="00D72FCE" w:rsidRPr="00CB6C59" w:rsidRDefault="00D72FCE" w:rsidP="00E624FD">
            <w:r>
              <w:t>Extensively drug resistant tuberculosis</w:t>
            </w:r>
          </w:p>
        </w:tc>
      </w:tr>
      <w:tr w:rsidR="00D72FCE" w:rsidRPr="00CB6C59" w14:paraId="48C94724" w14:textId="77777777" w:rsidTr="00DD3316">
        <w:tc>
          <w:tcPr>
            <w:tcW w:w="2358" w:type="dxa"/>
          </w:tcPr>
          <w:p w14:paraId="07590485" w14:textId="77777777" w:rsidR="00D72FCE" w:rsidRPr="00CB6C59" w:rsidRDefault="00D72FCE" w:rsidP="00D72FCE">
            <w:r>
              <w:rPr>
                <w:iCs/>
                <w:szCs w:val="22"/>
              </w:rPr>
              <w:t>Xpert MTB/RIF</w:t>
            </w:r>
          </w:p>
        </w:tc>
        <w:tc>
          <w:tcPr>
            <w:tcW w:w="7218" w:type="dxa"/>
            <w:vAlign w:val="bottom"/>
          </w:tcPr>
          <w:p w14:paraId="7D0F2347" w14:textId="77777777" w:rsidR="00D72FCE" w:rsidRPr="00CB6C59" w:rsidRDefault="00D72FCE" w:rsidP="00E624FD">
            <w:r>
              <w:t>Detection kit for Mtb and rifampin-resistance mutations (Cepheid, USA)</w:t>
            </w:r>
          </w:p>
        </w:tc>
      </w:tr>
    </w:tbl>
    <w:p w14:paraId="7F161F7E" w14:textId="77777777" w:rsidR="00F43682" w:rsidRDefault="00F43682"/>
    <w:p w14:paraId="688E0949" w14:textId="48A96C03" w:rsidR="00F43682" w:rsidRPr="0040275E" w:rsidRDefault="00F43682" w:rsidP="0040275E">
      <w:pPr>
        <w:pStyle w:val="Heading1"/>
        <w:pageBreakBefore w:val="0"/>
        <w:numPr>
          <w:ilvl w:val="0"/>
          <w:numId w:val="0"/>
        </w:numPr>
        <w:spacing w:before="240" w:after="240"/>
        <w:jc w:val="center"/>
        <w:rPr>
          <w:sz w:val="24"/>
          <w:szCs w:val="24"/>
        </w:rPr>
      </w:pPr>
      <w:r>
        <w:br w:type="page"/>
      </w:r>
      <w:bookmarkStart w:id="11" w:name="_Toc389129937"/>
      <w:bookmarkStart w:id="12" w:name="_Toc440906238"/>
      <w:r w:rsidR="0040275E" w:rsidRPr="0040275E">
        <w:rPr>
          <w:caps w:val="0"/>
          <w:sz w:val="24"/>
          <w:szCs w:val="24"/>
        </w:rPr>
        <w:t>PROTOCOL SUMMARY</w:t>
      </w:r>
      <w:bookmarkEnd w:id="11"/>
      <w:bookmarkEnd w:id="12"/>
    </w:p>
    <w:p w14:paraId="1DE88EA2" w14:textId="348A723B" w:rsidR="0070279B" w:rsidRPr="00EB42E9" w:rsidRDefault="0070279B" w:rsidP="0070279B">
      <w:pPr>
        <w:spacing w:before="180" w:after="180" w:line="276" w:lineRule="auto"/>
      </w:pPr>
      <w:r w:rsidRPr="00EB42E9">
        <w:t>The purpose of this study is to evaluate the safety</w:t>
      </w:r>
      <w:r w:rsidR="006D2A44">
        <w:t xml:space="preserve"> and</w:t>
      </w:r>
      <w:r w:rsidR="006D2A44" w:rsidRPr="00EB42E9">
        <w:t xml:space="preserve"> </w:t>
      </w:r>
      <w:r w:rsidRPr="00EB42E9">
        <w:t xml:space="preserve">immunogenicity of ID93 + GLA-SE vaccine when administered to HIV uninfected adult </w:t>
      </w:r>
      <w:r w:rsidR="004B17CA">
        <w:t xml:space="preserve">pulmonary </w:t>
      </w:r>
      <w:r w:rsidRPr="00EB42E9">
        <w:t>TB patients in</w:t>
      </w:r>
      <w:r w:rsidR="00CB75B2">
        <w:t xml:space="preserve"> either</w:t>
      </w:r>
      <w:r w:rsidRPr="00EB42E9">
        <w:t xml:space="preserve"> two doses </w:t>
      </w:r>
      <w:r w:rsidR="005E6C23">
        <w:t>56</w:t>
      </w:r>
      <w:r w:rsidR="005E6C23" w:rsidRPr="00EB42E9">
        <w:t xml:space="preserve"> </w:t>
      </w:r>
      <w:r w:rsidRPr="00EB42E9">
        <w:t>days apart</w:t>
      </w:r>
      <w:r w:rsidR="00CB75B2">
        <w:t xml:space="preserve"> or three doses 28 days apart</w:t>
      </w:r>
      <w:r w:rsidR="00F4610B">
        <w:t>,</w:t>
      </w:r>
      <w:r w:rsidRPr="00EB42E9">
        <w:t xml:space="preserve"> following successful comp</w:t>
      </w:r>
      <w:r w:rsidR="004B17CA">
        <w:t>letion of TB treatment with confirmed bacteriologic cure</w:t>
      </w:r>
      <w:r w:rsidR="006D2A44">
        <w:t xml:space="preserve">, </w:t>
      </w:r>
      <w:r w:rsidR="00522676">
        <w:t xml:space="preserve">in preparation </w:t>
      </w:r>
      <w:r w:rsidR="006D2A44">
        <w:t xml:space="preserve">for </w:t>
      </w:r>
      <w:r w:rsidR="00E9538C">
        <w:t>a</w:t>
      </w:r>
      <w:r w:rsidR="006D2A44">
        <w:t xml:space="preserve"> </w:t>
      </w:r>
      <w:r w:rsidR="00522676">
        <w:t>future</w:t>
      </w:r>
      <w:r w:rsidR="00E9538C">
        <w:t xml:space="preserve"> </w:t>
      </w:r>
      <w:r w:rsidR="006D2A44">
        <w:t xml:space="preserve">Phase 2b </w:t>
      </w:r>
      <w:r w:rsidR="00E9538C">
        <w:t xml:space="preserve">prevention of TB recurrence </w:t>
      </w:r>
      <w:r w:rsidR="006D2A44">
        <w:t>trial in the same population</w:t>
      </w:r>
      <w:r w:rsidR="004B17CA">
        <w:t>.</w:t>
      </w:r>
    </w:p>
    <w:p w14:paraId="7DB4ADD8" w14:textId="77777777" w:rsidR="0070279B" w:rsidRPr="00EB42E9" w:rsidRDefault="0070279B" w:rsidP="0070279B">
      <w:pPr>
        <w:spacing w:before="180" w:after="180" w:line="276" w:lineRule="auto"/>
      </w:pPr>
      <w:r w:rsidRPr="00EB42E9">
        <w:t xml:space="preserve">Formulation of the vaccine, identified as ID93 + GLA-SE, consists of the recombinant four-antigen </w:t>
      </w:r>
      <w:r w:rsidRPr="00EB42E9">
        <w:rPr>
          <w:i/>
        </w:rPr>
        <w:t>Mycobacterium tuberculosis</w:t>
      </w:r>
      <w:r w:rsidRPr="00EB42E9">
        <w:t xml:space="preserve"> fusion protein ID93 in combination with GLA-SE (Glucopyranosyl Lipid A-Stable Emulsion) as adjuvant. </w:t>
      </w:r>
    </w:p>
    <w:p w14:paraId="177E453C" w14:textId="77777777" w:rsidR="0070279B" w:rsidRPr="00EB42E9" w:rsidRDefault="0070279B" w:rsidP="0070279B">
      <w:pPr>
        <w:spacing w:before="180" w:after="180" w:line="276" w:lineRule="auto"/>
        <w:rPr>
          <w:b/>
        </w:rPr>
      </w:pPr>
      <w:r w:rsidRPr="00EB42E9">
        <w:rPr>
          <w:b/>
        </w:rPr>
        <w:t xml:space="preserve">Primary Objectives: </w:t>
      </w:r>
    </w:p>
    <w:p w14:paraId="6232DBBF" w14:textId="3C3F8A8B" w:rsidR="0070279B" w:rsidRPr="00EB42E9" w:rsidRDefault="0070279B" w:rsidP="00C648A1">
      <w:pPr>
        <w:numPr>
          <w:ilvl w:val="0"/>
          <w:numId w:val="3"/>
        </w:numPr>
        <w:spacing w:before="180" w:after="180" w:line="276" w:lineRule="auto"/>
      </w:pPr>
      <w:r w:rsidRPr="00EB42E9">
        <w:t>To evaluate the safety of</w:t>
      </w:r>
      <w:r w:rsidR="006E4241">
        <w:t xml:space="preserve"> </w:t>
      </w:r>
      <w:r w:rsidR="00522676" w:rsidRPr="00EB42E9">
        <w:t xml:space="preserve">ID93 + GLA-SE </w:t>
      </w:r>
      <w:r w:rsidR="00522676">
        <w:t xml:space="preserve">at </w:t>
      </w:r>
      <w:r w:rsidR="006E4241">
        <w:t xml:space="preserve">three increasing dose levels </w:t>
      </w:r>
      <w:r w:rsidRPr="00EB42E9">
        <w:t xml:space="preserve">compared to saline placebo, following intramuscular administration on </w:t>
      </w:r>
      <w:r w:rsidR="00FE7E66">
        <w:t xml:space="preserve">either </w:t>
      </w:r>
      <w:r w:rsidRPr="00EB42E9">
        <w:t xml:space="preserve">Days 0 and </w:t>
      </w:r>
      <w:r w:rsidR="005E6C23">
        <w:t>56</w:t>
      </w:r>
      <w:r w:rsidR="00FE7E66">
        <w:t xml:space="preserve"> or Days 0, 28 and 56</w:t>
      </w:r>
      <w:r w:rsidRPr="00EB42E9">
        <w:t>.</w:t>
      </w:r>
    </w:p>
    <w:p w14:paraId="227F038A" w14:textId="215E30EC" w:rsidR="009014C7" w:rsidRPr="00F56529" w:rsidRDefault="00F56529" w:rsidP="009014C7">
      <w:pPr>
        <w:numPr>
          <w:ilvl w:val="0"/>
          <w:numId w:val="3"/>
        </w:numPr>
        <w:spacing w:before="180" w:after="180" w:line="276" w:lineRule="auto"/>
      </w:pPr>
      <w:r w:rsidRPr="00522676">
        <w:t xml:space="preserve">To assess the immunogenicity of </w:t>
      </w:r>
      <w:r w:rsidR="00522676" w:rsidRPr="00F56529">
        <w:t xml:space="preserve">ID93 + GLA-SE </w:t>
      </w:r>
      <w:r w:rsidR="00522676">
        <w:t xml:space="preserve">at three increasing dose levels </w:t>
      </w:r>
      <w:r w:rsidR="00783AD1" w:rsidRPr="00EB42E9">
        <w:t xml:space="preserve">following intramuscular administration on Days 0 and </w:t>
      </w:r>
      <w:r w:rsidR="00783AD1">
        <w:t>56</w:t>
      </w:r>
      <w:r w:rsidR="00D607B0">
        <w:t xml:space="preserve"> or Days 0, 28 and 56</w:t>
      </w:r>
      <w:r w:rsidR="009014C7" w:rsidRPr="00522676">
        <w:t xml:space="preserve">, </w:t>
      </w:r>
      <w:r w:rsidRPr="00F56529">
        <w:t>by evaluating IgG antibody and T-cell responses to ID93</w:t>
      </w:r>
      <w:r w:rsidR="00E413AA">
        <w:t xml:space="preserve"> </w:t>
      </w:r>
      <w:r w:rsidRPr="00F56529">
        <w:t>+ GLA-SE at specified time points.</w:t>
      </w:r>
    </w:p>
    <w:p w14:paraId="31FE3BE9" w14:textId="36409CA5" w:rsidR="0070279B" w:rsidRPr="00EB42E9" w:rsidRDefault="0070279B" w:rsidP="0070279B">
      <w:pPr>
        <w:spacing w:before="180" w:after="180" w:line="276" w:lineRule="auto"/>
        <w:rPr>
          <w:b/>
        </w:rPr>
      </w:pPr>
      <w:r w:rsidRPr="00EB42E9">
        <w:rPr>
          <w:b/>
        </w:rPr>
        <w:t xml:space="preserve">Secondary Objective: </w:t>
      </w:r>
    </w:p>
    <w:p w14:paraId="58B61BA3" w14:textId="19F5C4D2" w:rsidR="00F56529" w:rsidRPr="00F56529" w:rsidRDefault="00F56529" w:rsidP="00783AD1">
      <w:pPr>
        <w:numPr>
          <w:ilvl w:val="0"/>
          <w:numId w:val="3"/>
        </w:numPr>
        <w:spacing w:before="180" w:after="180" w:line="276" w:lineRule="auto"/>
      </w:pPr>
      <w:r w:rsidRPr="00F56529">
        <w:t xml:space="preserve">To assess whether </w:t>
      </w:r>
      <w:r w:rsidR="00486B09" w:rsidRPr="00F56529">
        <w:t xml:space="preserve">gene expression signatures </w:t>
      </w:r>
      <w:r w:rsidRPr="00F56529">
        <w:t>can predict IgG antibody and T-cell responses to ID93 + GLA-SE, following successful treatment</w:t>
      </w:r>
      <w:r w:rsidR="00194FDC">
        <w:t xml:space="preserve"> of TB (identify correlates of </w:t>
      </w:r>
      <w:r w:rsidRPr="00F56529">
        <w:t>immunogenicity for ID93 + GLA-SE)</w:t>
      </w:r>
      <w:r w:rsidR="00E9538C">
        <w:t>.</w:t>
      </w:r>
      <w:r w:rsidRPr="00F56529">
        <w:tab/>
      </w:r>
    </w:p>
    <w:p w14:paraId="655243DA" w14:textId="2B801A43" w:rsidR="0070279B" w:rsidRPr="0070279B" w:rsidRDefault="0070279B" w:rsidP="0070279B">
      <w:pPr>
        <w:pStyle w:val="HeadingLeft"/>
        <w:spacing w:before="180" w:after="180" w:line="276" w:lineRule="auto"/>
        <w:rPr>
          <w:rFonts w:ascii="Arial" w:hAnsi="Arial" w:cs="Times New Roman"/>
          <w:b w:val="0"/>
          <w:bCs/>
          <w:sz w:val="22"/>
          <w:szCs w:val="22"/>
        </w:rPr>
      </w:pPr>
      <w:r w:rsidRPr="0070279B">
        <w:rPr>
          <w:rFonts w:ascii="Arial" w:hAnsi="Arial"/>
          <w:sz w:val="22"/>
          <w:szCs w:val="22"/>
        </w:rPr>
        <w:t xml:space="preserve">Design: </w:t>
      </w:r>
      <w:r w:rsidRPr="0070279B">
        <w:rPr>
          <w:rFonts w:ascii="Arial" w:hAnsi="Arial" w:cs="Times New Roman"/>
          <w:b w:val="0"/>
          <w:sz w:val="22"/>
          <w:szCs w:val="22"/>
        </w:rPr>
        <w:t>A</w:t>
      </w:r>
      <w:r w:rsidRPr="0070279B">
        <w:rPr>
          <w:rFonts w:ascii="Arial" w:hAnsi="Arial" w:cs="Times New Roman"/>
          <w:b w:val="0"/>
          <w:bCs/>
          <w:sz w:val="22"/>
          <w:szCs w:val="22"/>
        </w:rPr>
        <w:t xml:space="preserve"> Phase 2</w:t>
      </w:r>
      <w:r w:rsidR="00E9538C">
        <w:rPr>
          <w:rFonts w:ascii="Arial" w:hAnsi="Arial" w:cs="Times New Roman"/>
          <w:b w:val="0"/>
          <w:bCs/>
          <w:sz w:val="22"/>
          <w:szCs w:val="22"/>
        </w:rPr>
        <w:t>a</w:t>
      </w:r>
      <w:r w:rsidRPr="0070279B">
        <w:rPr>
          <w:rFonts w:ascii="Arial" w:hAnsi="Arial" w:cs="Times New Roman"/>
          <w:b w:val="0"/>
          <w:bCs/>
          <w:sz w:val="22"/>
          <w:szCs w:val="22"/>
        </w:rPr>
        <w:t>, randomized, double-blind, placebo controlled clinical trial to evaluate the safety</w:t>
      </w:r>
      <w:r w:rsidR="00E9538C">
        <w:rPr>
          <w:rFonts w:ascii="Arial" w:hAnsi="Arial" w:cs="Times New Roman"/>
          <w:b w:val="0"/>
          <w:bCs/>
          <w:sz w:val="22"/>
          <w:szCs w:val="22"/>
        </w:rPr>
        <w:t xml:space="preserve"> and</w:t>
      </w:r>
      <w:r w:rsidR="00E9538C" w:rsidRPr="0070279B">
        <w:rPr>
          <w:rFonts w:ascii="Arial" w:hAnsi="Arial" w:cs="Times New Roman"/>
          <w:b w:val="0"/>
          <w:bCs/>
          <w:sz w:val="22"/>
          <w:szCs w:val="22"/>
        </w:rPr>
        <w:t xml:space="preserve"> </w:t>
      </w:r>
      <w:r w:rsidRPr="0070279B">
        <w:rPr>
          <w:rFonts w:ascii="Arial" w:hAnsi="Arial" w:cs="Times New Roman"/>
          <w:b w:val="0"/>
          <w:bCs/>
          <w:sz w:val="22"/>
          <w:szCs w:val="22"/>
        </w:rPr>
        <w:t xml:space="preserve">immunogenicity of the ID93 + GLA-SE vaccine </w:t>
      </w:r>
      <w:r w:rsidRPr="0070279B">
        <w:rPr>
          <w:rFonts w:ascii="Arial" w:hAnsi="Arial"/>
          <w:b w:val="0"/>
          <w:sz w:val="22"/>
          <w:szCs w:val="22"/>
        </w:rPr>
        <w:t xml:space="preserve">following </w:t>
      </w:r>
      <w:r w:rsidRPr="0070279B">
        <w:rPr>
          <w:rFonts w:ascii="Arial" w:hAnsi="Arial" w:cs="Times New Roman"/>
          <w:b w:val="0"/>
          <w:bCs/>
          <w:sz w:val="22"/>
          <w:szCs w:val="22"/>
        </w:rPr>
        <w:t>intramuscular administration on</w:t>
      </w:r>
      <w:r w:rsidRPr="0070279B">
        <w:rPr>
          <w:rFonts w:ascii="Arial" w:hAnsi="Arial"/>
          <w:b w:val="0"/>
          <w:bCs/>
          <w:sz w:val="22"/>
          <w:szCs w:val="22"/>
        </w:rPr>
        <w:t xml:space="preserve"> Days 0 and </w:t>
      </w:r>
      <w:r w:rsidR="005E6C23">
        <w:rPr>
          <w:rFonts w:ascii="Arial" w:hAnsi="Arial"/>
          <w:b w:val="0"/>
          <w:bCs/>
          <w:sz w:val="22"/>
          <w:szCs w:val="22"/>
        </w:rPr>
        <w:t>56</w:t>
      </w:r>
      <w:r w:rsidRPr="0070279B">
        <w:rPr>
          <w:rFonts w:ascii="Arial" w:hAnsi="Arial"/>
          <w:b w:val="0"/>
          <w:bCs/>
          <w:sz w:val="22"/>
          <w:szCs w:val="22"/>
        </w:rPr>
        <w:t xml:space="preserve"> </w:t>
      </w:r>
      <w:r w:rsidR="00D607B0">
        <w:rPr>
          <w:rFonts w:ascii="Arial" w:hAnsi="Arial"/>
          <w:b w:val="0"/>
          <w:bCs/>
          <w:sz w:val="22"/>
          <w:szCs w:val="22"/>
        </w:rPr>
        <w:t xml:space="preserve">or Days 0, 28 and 56 </w:t>
      </w:r>
      <w:r w:rsidRPr="0070279B">
        <w:rPr>
          <w:rFonts w:ascii="Arial" w:hAnsi="Arial"/>
          <w:b w:val="0"/>
          <w:bCs/>
          <w:sz w:val="22"/>
          <w:szCs w:val="22"/>
        </w:rPr>
        <w:t>in HIV uninfected adults, following successful completion of standard treatment for</w:t>
      </w:r>
      <w:r w:rsidR="006C4CB0">
        <w:rPr>
          <w:rFonts w:ascii="Arial" w:hAnsi="Arial"/>
          <w:b w:val="0"/>
          <w:sz w:val="22"/>
          <w:szCs w:val="22"/>
        </w:rPr>
        <w:t xml:space="preserve"> bacteriologically</w:t>
      </w:r>
      <w:r w:rsidRPr="0070279B">
        <w:rPr>
          <w:rFonts w:ascii="Arial" w:hAnsi="Arial"/>
          <w:b w:val="0"/>
          <w:sz w:val="22"/>
          <w:szCs w:val="22"/>
        </w:rPr>
        <w:t xml:space="preserve"> confirmed, drug-susceptible pulmonary TB.</w:t>
      </w:r>
    </w:p>
    <w:p w14:paraId="2001E01F" w14:textId="3F0D4467" w:rsidR="0070279B" w:rsidRPr="006C4CB0" w:rsidRDefault="0070279B" w:rsidP="0070279B">
      <w:pPr>
        <w:pStyle w:val="BodyText"/>
        <w:spacing w:before="180" w:after="180" w:line="276" w:lineRule="auto"/>
        <w:rPr>
          <w:b/>
          <w:szCs w:val="22"/>
        </w:rPr>
      </w:pPr>
      <w:r w:rsidRPr="001E16A4">
        <w:rPr>
          <w:rFonts w:cs="Courier New"/>
          <w:b/>
          <w:iCs/>
          <w:szCs w:val="22"/>
        </w:rPr>
        <w:t>Study Population</w:t>
      </w:r>
      <w:r w:rsidRPr="0070279B">
        <w:rPr>
          <w:rFonts w:cs="Courier New"/>
          <w:iCs/>
          <w:szCs w:val="22"/>
        </w:rPr>
        <w:t>: BCG immunized, HIV negative, TB patients aged 18 –</w:t>
      </w:r>
      <w:r w:rsidR="00783AD1">
        <w:rPr>
          <w:rFonts w:cs="Courier New"/>
          <w:iCs/>
          <w:szCs w:val="22"/>
        </w:rPr>
        <w:t xml:space="preserve"> 60 </w:t>
      </w:r>
      <w:r w:rsidRPr="0070279B">
        <w:rPr>
          <w:rFonts w:cs="Courier New"/>
          <w:iCs/>
          <w:szCs w:val="22"/>
        </w:rPr>
        <w:t xml:space="preserve">years of age, who have </w:t>
      </w:r>
      <w:r w:rsidR="00783AD1">
        <w:rPr>
          <w:rFonts w:cs="Courier New"/>
          <w:iCs/>
          <w:szCs w:val="22"/>
        </w:rPr>
        <w:t>completed</w:t>
      </w:r>
      <w:r w:rsidR="00AA4DA5">
        <w:rPr>
          <w:rFonts w:cs="Courier New"/>
          <w:iCs/>
          <w:szCs w:val="22"/>
        </w:rPr>
        <w:t xml:space="preserve"> </w:t>
      </w:r>
      <w:r w:rsidR="001E16A4">
        <w:t xml:space="preserve">a </w:t>
      </w:r>
      <w:r w:rsidRPr="00EB42E9">
        <w:t>course of TB treatment</w:t>
      </w:r>
      <w:r w:rsidR="00783AD1">
        <w:t>,</w:t>
      </w:r>
      <w:r w:rsidR="00E9538C">
        <w:t xml:space="preserve"> </w:t>
      </w:r>
      <w:r>
        <w:t>as per the current South African national guidelines</w:t>
      </w:r>
      <w:r w:rsidR="001E16A4">
        <w:t xml:space="preserve">, </w:t>
      </w:r>
      <w:r w:rsidRPr="00EB42E9">
        <w:t xml:space="preserve">for </w:t>
      </w:r>
      <w:r w:rsidR="006C4CB0" w:rsidRPr="00EB42E9">
        <w:t>drug-sensitive</w:t>
      </w:r>
      <w:r w:rsidR="00293C14">
        <w:t>, culture confirmed</w:t>
      </w:r>
      <w:r w:rsidR="006C4CB0" w:rsidRPr="00EB42E9">
        <w:t xml:space="preserve"> pulmonary TB</w:t>
      </w:r>
      <w:r w:rsidRPr="00EB42E9">
        <w:t xml:space="preserve">. Patients will be </w:t>
      </w:r>
      <w:r w:rsidRPr="00EB42E9">
        <w:rPr>
          <w:rFonts w:cs="Courier New"/>
          <w:iCs/>
        </w:rPr>
        <w:t xml:space="preserve">recruited from TB clinics </w:t>
      </w:r>
      <w:r w:rsidRPr="000F630A">
        <w:rPr>
          <w:rFonts w:cs="Courier New"/>
          <w:iCs/>
        </w:rPr>
        <w:t xml:space="preserve">at </w:t>
      </w:r>
      <w:r w:rsidR="00B11CAF" w:rsidRPr="000F630A">
        <w:rPr>
          <w:rFonts w:cs="Courier New"/>
          <w:iCs/>
        </w:rPr>
        <w:t xml:space="preserve">up to </w:t>
      </w:r>
      <w:r w:rsidR="006439AB" w:rsidRPr="000F630A">
        <w:rPr>
          <w:rFonts w:cs="Courier New"/>
          <w:iCs/>
        </w:rPr>
        <w:t xml:space="preserve">three </w:t>
      </w:r>
      <w:r w:rsidRPr="000F630A">
        <w:rPr>
          <w:rFonts w:cs="Courier New"/>
          <w:iCs/>
        </w:rPr>
        <w:t>r</w:t>
      </w:r>
      <w:r w:rsidRPr="00EB42E9">
        <w:rPr>
          <w:rFonts w:cs="Courier New"/>
          <w:iCs/>
        </w:rPr>
        <w:t xml:space="preserve">ecruiting sites in the Western Cape region of South Africa. </w:t>
      </w:r>
    </w:p>
    <w:p w14:paraId="2870100C" w14:textId="16D74FBD" w:rsidR="0070279B" w:rsidRPr="006C4CB0" w:rsidRDefault="0070279B" w:rsidP="0070279B">
      <w:pPr>
        <w:spacing w:before="180" w:after="180" w:line="276" w:lineRule="auto"/>
        <w:rPr>
          <w:bCs/>
          <w:szCs w:val="22"/>
        </w:rPr>
      </w:pPr>
      <w:r w:rsidRPr="00A36C33">
        <w:rPr>
          <w:b/>
          <w:szCs w:val="22"/>
        </w:rPr>
        <w:t>Randomization:</w:t>
      </w:r>
      <w:r w:rsidRPr="00A36C33">
        <w:rPr>
          <w:szCs w:val="22"/>
        </w:rPr>
        <w:t xml:space="preserve"> </w:t>
      </w:r>
      <w:r w:rsidR="005158D6" w:rsidRPr="00A36C33">
        <w:rPr>
          <w:iCs/>
          <w:szCs w:val="22"/>
        </w:rPr>
        <w:t xml:space="preserve">Following successful completion of TB treatment and bacteriologic confirmation of cure, defined as </w:t>
      </w:r>
      <w:r w:rsidR="006E4241" w:rsidRPr="00A36C33">
        <w:rPr>
          <w:iCs/>
          <w:szCs w:val="22"/>
        </w:rPr>
        <w:t xml:space="preserve">two consecutive </w:t>
      </w:r>
      <w:r w:rsidR="007C35D9" w:rsidRPr="00A36C33">
        <w:rPr>
          <w:iCs/>
          <w:szCs w:val="22"/>
        </w:rPr>
        <w:t xml:space="preserve">negative </w:t>
      </w:r>
      <w:r w:rsidR="00DF11EA" w:rsidRPr="00A36C33">
        <w:rPr>
          <w:iCs/>
          <w:szCs w:val="22"/>
        </w:rPr>
        <w:t>Xpert MTB/RIF</w:t>
      </w:r>
      <w:r w:rsidR="006E4241" w:rsidRPr="00A36C33">
        <w:rPr>
          <w:iCs/>
          <w:szCs w:val="22"/>
        </w:rPr>
        <w:t xml:space="preserve"> (</w:t>
      </w:r>
      <w:r w:rsidR="000F630A" w:rsidRPr="00A36C33">
        <w:rPr>
          <w:iCs/>
          <w:szCs w:val="22"/>
        </w:rPr>
        <w:t xml:space="preserve">taken </w:t>
      </w:r>
      <w:r w:rsidR="00220635" w:rsidRPr="00A36C33">
        <w:rPr>
          <w:iCs/>
          <w:szCs w:val="22"/>
        </w:rPr>
        <w:t xml:space="preserve">at least </w:t>
      </w:r>
      <w:r w:rsidR="00A36C33">
        <w:rPr>
          <w:iCs/>
          <w:szCs w:val="22"/>
        </w:rPr>
        <w:t>14</w:t>
      </w:r>
      <w:r w:rsidR="000F630A" w:rsidRPr="00A36C33">
        <w:rPr>
          <w:iCs/>
          <w:szCs w:val="22"/>
        </w:rPr>
        <w:t xml:space="preserve"> days apart at </w:t>
      </w:r>
      <w:r w:rsidR="00A36C33">
        <w:rPr>
          <w:iCs/>
          <w:szCs w:val="22"/>
        </w:rPr>
        <w:t xml:space="preserve">the end of </w:t>
      </w:r>
      <w:r w:rsidR="000F630A" w:rsidRPr="00A36C33">
        <w:rPr>
          <w:iCs/>
          <w:szCs w:val="22"/>
        </w:rPr>
        <w:t xml:space="preserve">month </w:t>
      </w:r>
      <w:r w:rsidR="00774753" w:rsidRPr="00A36C33">
        <w:rPr>
          <w:iCs/>
          <w:szCs w:val="22"/>
        </w:rPr>
        <w:t>4</w:t>
      </w:r>
      <w:r w:rsidR="000F630A" w:rsidRPr="00A36C33">
        <w:rPr>
          <w:iCs/>
          <w:szCs w:val="22"/>
        </w:rPr>
        <w:t xml:space="preserve"> and </w:t>
      </w:r>
      <w:r w:rsidR="00A36C33">
        <w:rPr>
          <w:iCs/>
          <w:szCs w:val="22"/>
        </w:rPr>
        <w:t xml:space="preserve">during </w:t>
      </w:r>
      <w:r w:rsidR="000F630A" w:rsidRPr="00A36C33">
        <w:rPr>
          <w:iCs/>
          <w:szCs w:val="22"/>
        </w:rPr>
        <w:t xml:space="preserve">month </w:t>
      </w:r>
      <w:r w:rsidR="00774753" w:rsidRPr="00A36C33">
        <w:rPr>
          <w:iCs/>
          <w:szCs w:val="22"/>
        </w:rPr>
        <w:t>5</w:t>
      </w:r>
      <w:r w:rsidR="000F630A" w:rsidRPr="00A36C33">
        <w:rPr>
          <w:iCs/>
          <w:szCs w:val="22"/>
        </w:rPr>
        <w:t xml:space="preserve"> of TB treatment</w:t>
      </w:r>
      <w:r w:rsidR="006E4241" w:rsidRPr="00A36C33">
        <w:rPr>
          <w:iCs/>
          <w:szCs w:val="22"/>
        </w:rPr>
        <w:t>)</w:t>
      </w:r>
      <w:r w:rsidR="00CB70C5" w:rsidRPr="00A36C33">
        <w:rPr>
          <w:iCs/>
          <w:szCs w:val="22"/>
        </w:rPr>
        <w:t>,</w:t>
      </w:r>
      <w:r w:rsidR="00CB70C5">
        <w:rPr>
          <w:iCs/>
          <w:szCs w:val="22"/>
        </w:rPr>
        <w:t xml:space="preserve"> </w:t>
      </w:r>
      <w:r w:rsidR="00DF11EA">
        <w:rPr>
          <w:iCs/>
          <w:szCs w:val="22"/>
        </w:rPr>
        <w:t xml:space="preserve">or </w:t>
      </w:r>
      <w:r w:rsidR="00CB70C5">
        <w:rPr>
          <w:iCs/>
          <w:szCs w:val="22"/>
        </w:rPr>
        <w:t xml:space="preserve">if Xpert MTB/RIF </w:t>
      </w:r>
      <w:r w:rsidR="00712687">
        <w:rPr>
          <w:iCs/>
          <w:szCs w:val="22"/>
        </w:rPr>
        <w:t xml:space="preserve">remains </w:t>
      </w:r>
      <w:r w:rsidR="00CB70C5">
        <w:rPr>
          <w:iCs/>
          <w:szCs w:val="22"/>
        </w:rPr>
        <w:t xml:space="preserve">positive, negative </w:t>
      </w:r>
      <w:r w:rsidR="00DF11EA">
        <w:rPr>
          <w:iCs/>
          <w:szCs w:val="22"/>
        </w:rPr>
        <w:t xml:space="preserve">MGIT </w:t>
      </w:r>
      <w:r w:rsidR="007C35D9">
        <w:rPr>
          <w:iCs/>
          <w:szCs w:val="22"/>
        </w:rPr>
        <w:t>liquid culture</w:t>
      </w:r>
      <w:r w:rsidR="005158D6" w:rsidRPr="005158D6">
        <w:rPr>
          <w:iCs/>
          <w:szCs w:val="22"/>
        </w:rPr>
        <w:t xml:space="preserve"> on </w:t>
      </w:r>
      <w:r w:rsidR="00774753">
        <w:rPr>
          <w:iCs/>
          <w:szCs w:val="22"/>
        </w:rPr>
        <w:t xml:space="preserve">the same </w:t>
      </w:r>
      <w:r w:rsidR="005158D6" w:rsidRPr="005158D6">
        <w:rPr>
          <w:iCs/>
          <w:szCs w:val="22"/>
        </w:rPr>
        <w:t xml:space="preserve">two occasions, subjects will be randomized to either study vaccine or </w:t>
      </w:r>
      <w:r w:rsidR="006E4241">
        <w:rPr>
          <w:iCs/>
          <w:szCs w:val="22"/>
        </w:rPr>
        <w:t>saline placebo</w:t>
      </w:r>
      <w:r w:rsidR="005158D6" w:rsidRPr="005158D6">
        <w:rPr>
          <w:bCs/>
          <w:szCs w:val="22"/>
        </w:rPr>
        <w:t>.</w:t>
      </w:r>
      <w:r w:rsidR="008C5AE1">
        <w:rPr>
          <w:bCs/>
          <w:szCs w:val="22"/>
        </w:rPr>
        <w:t xml:space="preserve"> </w:t>
      </w:r>
      <w:r w:rsidR="00194FDC" w:rsidRPr="00D32B20">
        <w:rPr>
          <w:bCs/>
          <w:szCs w:val="22"/>
        </w:rPr>
        <w:t>Sixty</w:t>
      </w:r>
      <w:r w:rsidR="00194FDC">
        <w:rPr>
          <w:bCs/>
          <w:szCs w:val="22"/>
        </w:rPr>
        <w:t xml:space="preserve"> </w:t>
      </w:r>
      <w:r w:rsidR="005158D6" w:rsidRPr="005158D6">
        <w:rPr>
          <w:bCs/>
          <w:szCs w:val="22"/>
        </w:rPr>
        <w:t>subjects will b</w:t>
      </w:r>
      <w:r w:rsidR="00194FDC">
        <w:rPr>
          <w:bCs/>
          <w:szCs w:val="22"/>
        </w:rPr>
        <w:t xml:space="preserve">e enrolled into </w:t>
      </w:r>
      <w:r w:rsidR="00F4387C">
        <w:rPr>
          <w:bCs/>
          <w:szCs w:val="22"/>
        </w:rPr>
        <w:t>three consecutive</w:t>
      </w:r>
      <w:r w:rsidR="00F4387C" w:rsidRPr="005158D6">
        <w:rPr>
          <w:bCs/>
          <w:szCs w:val="22"/>
        </w:rPr>
        <w:t xml:space="preserve"> </w:t>
      </w:r>
      <w:r w:rsidR="005158D6" w:rsidRPr="005158D6">
        <w:rPr>
          <w:bCs/>
          <w:szCs w:val="22"/>
        </w:rPr>
        <w:t>dose-escalating</w:t>
      </w:r>
      <w:r w:rsidR="00F4387C">
        <w:rPr>
          <w:bCs/>
          <w:szCs w:val="22"/>
        </w:rPr>
        <w:t xml:space="preserve"> cohorts</w:t>
      </w:r>
      <w:r w:rsidR="00194FDC">
        <w:rPr>
          <w:bCs/>
          <w:szCs w:val="22"/>
        </w:rPr>
        <w:t xml:space="preserve">. </w:t>
      </w:r>
      <w:r w:rsidR="009919E4" w:rsidRPr="00623C0A">
        <w:rPr>
          <w:bCs/>
          <w:szCs w:val="22"/>
        </w:rPr>
        <w:t xml:space="preserve">Subjects who develop a positive </w:t>
      </w:r>
      <w:r w:rsidR="009919E4" w:rsidRPr="00623C0A">
        <w:rPr>
          <w:bCs/>
          <w:iCs/>
          <w:szCs w:val="22"/>
        </w:rPr>
        <w:t xml:space="preserve">MGIT liquid culture at, or after, </w:t>
      </w:r>
      <w:r w:rsidR="00A36C33">
        <w:rPr>
          <w:bCs/>
          <w:iCs/>
          <w:szCs w:val="22"/>
        </w:rPr>
        <w:t xml:space="preserve">the </w:t>
      </w:r>
      <w:r w:rsidR="009919E4" w:rsidRPr="00623C0A">
        <w:rPr>
          <w:bCs/>
          <w:iCs/>
          <w:szCs w:val="22"/>
        </w:rPr>
        <w:t xml:space="preserve">end of treatment will be excluded from receiving further study </w:t>
      </w:r>
      <w:r w:rsidR="002C59ED" w:rsidRPr="00623C0A">
        <w:rPr>
          <w:bCs/>
          <w:iCs/>
          <w:szCs w:val="22"/>
        </w:rPr>
        <w:t>injection</w:t>
      </w:r>
      <w:r w:rsidR="009919E4" w:rsidRPr="00623C0A">
        <w:rPr>
          <w:bCs/>
          <w:iCs/>
          <w:szCs w:val="22"/>
        </w:rPr>
        <w:t>s.</w:t>
      </w:r>
    </w:p>
    <w:p w14:paraId="6E246DE2" w14:textId="37445E47" w:rsidR="0070279B" w:rsidRPr="006C4CB0" w:rsidRDefault="0070279B" w:rsidP="0070279B">
      <w:pPr>
        <w:pStyle w:val="HeadingLeft"/>
        <w:spacing w:before="180" w:after="180" w:line="276" w:lineRule="auto"/>
        <w:rPr>
          <w:rFonts w:ascii="Arial" w:hAnsi="Arial" w:cs="Times New Roman"/>
          <w:b w:val="0"/>
          <w:bCs/>
          <w:sz w:val="22"/>
          <w:szCs w:val="22"/>
        </w:rPr>
      </w:pPr>
      <w:r w:rsidRPr="006C4CB0">
        <w:rPr>
          <w:rFonts w:ascii="Arial" w:hAnsi="Arial"/>
          <w:sz w:val="22"/>
          <w:szCs w:val="22"/>
        </w:rPr>
        <w:t xml:space="preserve">Main Inclusion Criteria: </w:t>
      </w:r>
      <w:r w:rsidRPr="006C4CB0">
        <w:rPr>
          <w:rFonts w:ascii="Arial" w:hAnsi="Arial" w:cs="Times New Roman"/>
          <w:b w:val="0"/>
          <w:sz w:val="22"/>
          <w:szCs w:val="22"/>
        </w:rPr>
        <w:t xml:space="preserve">Male or female TB patients aged </w:t>
      </w:r>
      <w:r w:rsidR="00072B81" w:rsidRPr="00072B81">
        <w:rPr>
          <w:rFonts w:ascii="Arial" w:hAnsi="Arial" w:cs="Arial"/>
          <w:b w:val="0"/>
          <w:sz w:val="22"/>
          <w:szCs w:val="22"/>
        </w:rPr>
        <w:t>≥</w:t>
      </w:r>
      <w:r w:rsidRPr="006C4CB0">
        <w:rPr>
          <w:rFonts w:ascii="Arial" w:hAnsi="Arial" w:cs="Times New Roman"/>
          <w:b w:val="0"/>
          <w:sz w:val="22"/>
          <w:szCs w:val="22"/>
        </w:rPr>
        <w:t xml:space="preserve"> 18 to ≤ </w:t>
      </w:r>
      <w:r w:rsidR="000F630A">
        <w:rPr>
          <w:rFonts w:ascii="Arial" w:hAnsi="Arial" w:cs="Times New Roman"/>
          <w:b w:val="0"/>
          <w:sz w:val="22"/>
          <w:szCs w:val="22"/>
        </w:rPr>
        <w:t>60</w:t>
      </w:r>
      <w:r w:rsidRPr="006C4CB0">
        <w:rPr>
          <w:rFonts w:ascii="Arial" w:hAnsi="Arial" w:cs="Times New Roman"/>
          <w:b w:val="0"/>
          <w:sz w:val="22"/>
          <w:szCs w:val="22"/>
        </w:rPr>
        <w:t xml:space="preserve"> years, </w:t>
      </w:r>
      <w:r w:rsidRPr="006C4CB0">
        <w:rPr>
          <w:rFonts w:ascii="Arial" w:hAnsi="Arial"/>
          <w:b w:val="0"/>
          <w:iCs/>
          <w:sz w:val="22"/>
          <w:szCs w:val="22"/>
        </w:rPr>
        <w:t xml:space="preserve">who have </w:t>
      </w:r>
      <w:r w:rsidRPr="006C4CB0">
        <w:rPr>
          <w:rFonts w:ascii="Arial" w:hAnsi="Arial"/>
          <w:b w:val="0"/>
          <w:sz w:val="22"/>
          <w:szCs w:val="22"/>
        </w:rPr>
        <w:t>successfully completed</w:t>
      </w:r>
      <w:r w:rsidR="005158D6">
        <w:rPr>
          <w:rFonts w:ascii="Arial" w:hAnsi="Arial"/>
          <w:b w:val="0"/>
          <w:iCs/>
          <w:sz w:val="22"/>
          <w:szCs w:val="22"/>
        </w:rPr>
        <w:t xml:space="preserve"> a standard course of </w:t>
      </w:r>
      <w:r w:rsidR="00D67B83">
        <w:rPr>
          <w:rFonts w:ascii="Arial" w:hAnsi="Arial"/>
          <w:b w:val="0"/>
          <w:iCs/>
          <w:sz w:val="22"/>
          <w:szCs w:val="22"/>
        </w:rPr>
        <w:t xml:space="preserve">TB treatment </w:t>
      </w:r>
      <w:r w:rsidRPr="006C4CB0">
        <w:rPr>
          <w:rFonts w:ascii="Arial" w:hAnsi="Arial"/>
          <w:b w:val="0"/>
          <w:iCs/>
          <w:sz w:val="22"/>
          <w:szCs w:val="22"/>
        </w:rPr>
        <w:t xml:space="preserve">for drug-sensitive pulmonary TB </w:t>
      </w:r>
      <w:r w:rsidRPr="006C4CB0">
        <w:rPr>
          <w:rFonts w:ascii="Arial" w:hAnsi="Arial"/>
          <w:b w:val="0"/>
          <w:sz w:val="22"/>
          <w:szCs w:val="22"/>
        </w:rPr>
        <w:t>with bacteriologic confirmation of cure</w:t>
      </w:r>
      <w:r w:rsidRPr="006C4CB0">
        <w:rPr>
          <w:rFonts w:ascii="Arial" w:hAnsi="Arial"/>
          <w:b w:val="0"/>
          <w:iCs/>
          <w:sz w:val="22"/>
          <w:szCs w:val="22"/>
        </w:rPr>
        <w:t xml:space="preserve">, </w:t>
      </w:r>
      <w:r w:rsidR="00D67B83">
        <w:rPr>
          <w:rFonts w:ascii="Arial" w:hAnsi="Arial"/>
          <w:b w:val="0"/>
          <w:iCs/>
          <w:sz w:val="22"/>
          <w:szCs w:val="22"/>
        </w:rPr>
        <w:t xml:space="preserve">who are </w:t>
      </w:r>
      <w:r w:rsidRPr="006C4CB0">
        <w:rPr>
          <w:rFonts w:ascii="Arial" w:hAnsi="Arial"/>
          <w:b w:val="0"/>
          <w:iCs/>
          <w:sz w:val="22"/>
          <w:szCs w:val="22"/>
        </w:rPr>
        <w:t>willing to avoid pregnancy</w:t>
      </w:r>
      <w:r w:rsidRPr="006C4CB0">
        <w:rPr>
          <w:rFonts w:ascii="Arial" w:hAnsi="Arial" w:cs="Times New Roman"/>
          <w:b w:val="0"/>
          <w:bCs/>
          <w:sz w:val="22"/>
          <w:szCs w:val="22"/>
        </w:rPr>
        <w:t>, and provide informed consent.</w:t>
      </w:r>
    </w:p>
    <w:p w14:paraId="06985990" w14:textId="28A19176" w:rsidR="0070279B" w:rsidRDefault="0070279B" w:rsidP="0070279B">
      <w:pPr>
        <w:pStyle w:val="HeadingLeft"/>
        <w:spacing w:before="180" w:after="180" w:line="276" w:lineRule="auto"/>
        <w:rPr>
          <w:rFonts w:ascii="Arial" w:hAnsi="Arial" w:cs="Times New Roman"/>
          <w:b w:val="0"/>
          <w:bCs/>
          <w:sz w:val="22"/>
          <w:szCs w:val="22"/>
        </w:rPr>
      </w:pPr>
      <w:r w:rsidRPr="006C4CB0">
        <w:rPr>
          <w:rFonts w:ascii="Arial" w:hAnsi="Arial"/>
          <w:sz w:val="22"/>
          <w:szCs w:val="22"/>
        </w:rPr>
        <w:t xml:space="preserve">Main Exclusion Criteria: </w:t>
      </w:r>
      <w:r w:rsidRPr="006C4CB0">
        <w:rPr>
          <w:rFonts w:ascii="Arial" w:hAnsi="Arial"/>
          <w:b w:val="0"/>
          <w:sz w:val="22"/>
          <w:szCs w:val="22"/>
        </w:rPr>
        <w:t xml:space="preserve">HIV positive, incomplete or non-standard TB drug regimen, </w:t>
      </w:r>
      <w:r w:rsidR="000F630A">
        <w:rPr>
          <w:rFonts w:ascii="Arial" w:hAnsi="Arial"/>
          <w:b w:val="0"/>
          <w:sz w:val="22"/>
          <w:szCs w:val="22"/>
        </w:rPr>
        <w:t xml:space="preserve">poor adherence to TB treatment, </w:t>
      </w:r>
      <w:r w:rsidR="00D67B83">
        <w:rPr>
          <w:rFonts w:ascii="Arial" w:hAnsi="Arial"/>
          <w:b w:val="0"/>
          <w:sz w:val="22"/>
          <w:szCs w:val="22"/>
        </w:rPr>
        <w:t xml:space="preserve">TB treatment failure, </w:t>
      </w:r>
      <w:r w:rsidRPr="006C4CB0">
        <w:rPr>
          <w:rFonts w:ascii="Arial" w:hAnsi="Arial"/>
          <w:b w:val="0"/>
          <w:sz w:val="22"/>
          <w:szCs w:val="22"/>
        </w:rPr>
        <w:t>diabetes mellitus, autoimmune condition</w:t>
      </w:r>
      <w:r w:rsidRPr="006C4CB0">
        <w:rPr>
          <w:rFonts w:ascii="Arial" w:hAnsi="Arial" w:cs="Times New Roman"/>
          <w:b w:val="0"/>
          <w:bCs/>
          <w:sz w:val="22"/>
          <w:szCs w:val="22"/>
        </w:rPr>
        <w:t>, or other medical or surgical condition likely to affect the safety or immunogenicity of the study vaccine.</w:t>
      </w:r>
    </w:p>
    <w:p w14:paraId="01625333" w14:textId="77777777" w:rsidR="00982E16" w:rsidRDefault="002D5788" w:rsidP="00194FDC">
      <w:pPr>
        <w:pStyle w:val="HeadingLeft"/>
        <w:rPr>
          <w:rFonts w:ascii="Arial" w:hAnsi="Arial" w:cs="Arial"/>
          <w:b w:val="0"/>
          <w:sz w:val="22"/>
          <w:szCs w:val="22"/>
        </w:rPr>
      </w:pPr>
      <w:r w:rsidRPr="00194FDC">
        <w:rPr>
          <w:rFonts w:ascii="Arial" w:hAnsi="Arial" w:cs="Arial"/>
          <w:sz w:val="22"/>
          <w:szCs w:val="22"/>
        </w:rPr>
        <w:t>Treatment Assignments</w:t>
      </w:r>
      <w:r w:rsidR="00366BDE" w:rsidRPr="00194FDC">
        <w:rPr>
          <w:rFonts w:ascii="Arial" w:hAnsi="Arial" w:cs="Arial"/>
          <w:sz w:val="22"/>
          <w:szCs w:val="22"/>
        </w:rPr>
        <w:t>:</w:t>
      </w:r>
      <w:r w:rsidR="00194FDC">
        <w:rPr>
          <w:rFonts w:ascii="Arial" w:hAnsi="Arial" w:cs="Arial"/>
          <w:b w:val="0"/>
          <w:sz w:val="22"/>
          <w:szCs w:val="22"/>
        </w:rPr>
        <w:t xml:space="preserve"> Progression through</w:t>
      </w:r>
      <w:r w:rsidR="004B17CA" w:rsidRPr="00194FDC">
        <w:rPr>
          <w:rFonts w:ascii="Arial" w:hAnsi="Arial" w:cs="Arial"/>
          <w:b w:val="0"/>
          <w:sz w:val="22"/>
          <w:szCs w:val="22"/>
        </w:rPr>
        <w:t xml:space="preserve"> </w:t>
      </w:r>
      <w:r w:rsidR="00DC4A71" w:rsidRPr="00194FDC">
        <w:rPr>
          <w:rFonts w:ascii="Arial" w:hAnsi="Arial" w:cs="Arial"/>
          <w:b w:val="0"/>
          <w:sz w:val="22"/>
          <w:szCs w:val="22"/>
        </w:rPr>
        <w:t>Cohorts 1-3 will depend on demonstration of safety.</w:t>
      </w:r>
    </w:p>
    <w:tbl>
      <w:tblPr>
        <w:tblW w:w="0" w:type="auto"/>
        <w:jc w:val="center"/>
        <w:tblCellMar>
          <w:left w:w="0" w:type="dxa"/>
          <w:right w:w="0" w:type="dxa"/>
        </w:tblCellMar>
        <w:tblLook w:val="04A0" w:firstRow="1" w:lastRow="0" w:firstColumn="1" w:lastColumn="0" w:noHBand="0" w:noVBand="1"/>
      </w:tblPr>
      <w:tblGrid>
        <w:gridCol w:w="1182"/>
        <w:gridCol w:w="872"/>
        <w:gridCol w:w="2788"/>
        <w:gridCol w:w="2254"/>
      </w:tblGrid>
      <w:tr w:rsidR="00292161" w:rsidRPr="00C0286C" w14:paraId="0B0F413E" w14:textId="77777777" w:rsidTr="00B67553">
        <w:trPr>
          <w:jc w:val="center"/>
        </w:trPr>
        <w:tc>
          <w:tcPr>
            <w:tcW w:w="1182" w:type="dxa"/>
            <w:tcBorders>
              <w:top w:val="single" w:sz="12" w:space="0" w:color="auto"/>
              <w:left w:val="single" w:sz="12" w:space="0" w:color="auto"/>
              <w:bottom w:val="single" w:sz="4" w:space="0" w:color="auto"/>
              <w:right w:val="single" w:sz="8" w:space="0" w:color="auto"/>
            </w:tcBorders>
            <w:shd w:val="clear" w:color="auto" w:fill="E0E0E0"/>
            <w:tcMar>
              <w:top w:w="0" w:type="dxa"/>
              <w:left w:w="108" w:type="dxa"/>
              <w:bottom w:w="0" w:type="dxa"/>
              <w:right w:w="108" w:type="dxa"/>
            </w:tcMar>
            <w:vAlign w:val="center"/>
            <w:hideMark/>
          </w:tcPr>
          <w:p w14:paraId="5A689B63" w14:textId="77777777" w:rsidR="00292161" w:rsidRPr="00C0286C" w:rsidRDefault="00292161" w:rsidP="00B67553">
            <w:pPr>
              <w:pStyle w:val="Tableheading"/>
              <w:spacing w:line="276" w:lineRule="auto"/>
              <w:rPr>
                <w:rFonts w:ascii="Arial" w:hAnsi="Arial"/>
                <w:sz w:val="18"/>
                <w:szCs w:val="18"/>
              </w:rPr>
            </w:pPr>
            <w:r w:rsidRPr="00C0286C">
              <w:rPr>
                <w:rFonts w:ascii="Arial" w:hAnsi="Arial"/>
                <w:sz w:val="18"/>
                <w:szCs w:val="18"/>
              </w:rPr>
              <w:t>Cohort</w:t>
            </w:r>
          </w:p>
        </w:tc>
        <w:tc>
          <w:tcPr>
            <w:tcW w:w="872" w:type="dxa"/>
            <w:tcBorders>
              <w:top w:val="single" w:sz="12" w:space="0" w:color="auto"/>
              <w:left w:val="single" w:sz="4" w:space="0" w:color="auto"/>
              <w:bottom w:val="nil"/>
              <w:right w:val="single" w:sz="4" w:space="0" w:color="auto"/>
            </w:tcBorders>
            <w:shd w:val="clear" w:color="auto" w:fill="E0E0E0"/>
            <w:vAlign w:val="center"/>
          </w:tcPr>
          <w:p w14:paraId="7A1DFD27" w14:textId="77777777" w:rsidR="00292161" w:rsidRPr="00C0286C" w:rsidRDefault="00292161" w:rsidP="00B67553">
            <w:pPr>
              <w:pStyle w:val="Tableheading"/>
              <w:spacing w:line="276" w:lineRule="auto"/>
              <w:rPr>
                <w:rFonts w:ascii="Arial" w:hAnsi="Arial"/>
                <w:sz w:val="18"/>
                <w:szCs w:val="18"/>
              </w:rPr>
            </w:pPr>
            <w:r w:rsidRPr="00C0286C">
              <w:rPr>
                <w:rFonts w:ascii="Arial" w:hAnsi="Arial"/>
                <w:sz w:val="18"/>
                <w:szCs w:val="18"/>
              </w:rPr>
              <w:t>N</w:t>
            </w:r>
          </w:p>
        </w:tc>
        <w:tc>
          <w:tcPr>
            <w:tcW w:w="2788" w:type="dxa"/>
            <w:tcBorders>
              <w:top w:val="single" w:sz="12" w:space="0" w:color="auto"/>
              <w:left w:val="single" w:sz="4" w:space="0" w:color="auto"/>
              <w:bottom w:val="nil"/>
              <w:right w:val="single" w:sz="8" w:space="0" w:color="000000"/>
            </w:tcBorders>
            <w:shd w:val="clear" w:color="auto" w:fill="E0E0E0"/>
            <w:tcMar>
              <w:top w:w="0" w:type="dxa"/>
              <w:left w:w="108" w:type="dxa"/>
              <w:bottom w:w="0" w:type="dxa"/>
              <w:right w:w="108" w:type="dxa"/>
            </w:tcMar>
            <w:vAlign w:val="center"/>
            <w:hideMark/>
          </w:tcPr>
          <w:p w14:paraId="6B85B95A" w14:textId="77777777" w:rsidR="00292161" w:rsidRPr="00C0286C" w:rsidRDefault="00292161" w:rsidP="00B67553">
            <w:pPr>
              <w:pStyle w:val="Tableheading"/>
              <w:spacing w:line="276" w:lineRule="auto"/>
              <w:rPr>
                <w:rFonts w:ascii="Arial" w:hAnsi="Arial"/>
                <w:sz w:val="18"/>
                <w:szCs w:val="18"/>
              </w:rPr>
            </w:pPr>
            <w:r w:rsidRPr="00C0286C">
              <w:rPr>
                <w:rFonts w:ascii="Arial" w:hAnsi="Arial"/>
                <w:sz w:val="18"/>
                <w:szCs w:val="18"/>
              </w:rPr>
              <w:t>Treatment Assignment</w:t>
            </w:r>
          </w:p>
        </w:tc>
        <w:tc>
          <w:tcPr>
            <w:tcW w:w="2254" w:type="dxa"/>
            <w:tcBorders>
              <w:top w:val="single" w:sz="12" w:space="0" w:color="auto"/>
              <w:left w:val="nil"/>
              <w:bottom w:val="nil"/>
              <w:right w:val="single" w:sz="12" w:space="0" w:color="auto"/>
            </w:tcBorders>
            <w:shd w:val="clear" w:color="auto" w:fill="E0E0E0"/>
            <w:tcMar>
              <w:top w:w="0" w:type="dxa"/>
              <w:left w:w="108" w:type="dxa"/>
              <w:bottom w:w="0" w:type="dxa"/>
              <w:right w:w="108" w:type="dxa"/>
            </w:tcMar>
            <w:vAlign w:val="center"/>
            <w:hideMark/>
          </w:tcPr>
          <w:p w14:paraId="04249907" w14:textId="77777777" w:rsidR="00292161" w:rsidRPr="00C0286C" w:rsidRDefault="00292161" w:rsidP="00B67553">
            <w:pPr>
              <w:pStyle w:val="Tableheading"/>
              <w:spacing w:line="276" w:lineRule="auto"/>
              <w:rPr>
                <w:rFonts w:ascii="Arial" w:hAnsi="Arial"/>
                <w:sz w:val="18"/>
                <w:szCs w:val="18"/>
              </w:rPr>
            </w:pPr>
            <w:r w:rsidRPr="00C0286C">
              <w:rPr>
                <w:rFonts w:ascii="Arial" w:hAnsi="Arial"/>
                <w:sz w:val="18"/>
                <w:szCs w:val="18"/>
              </w:rPr>
              <w:t>Timing of Study Injections</w:t>
            </w:r>
          </w:p>
        </w:tc>
      </w:tr>
      <w:tr w:rsidR="00292161" w:rsidRPr="00C0286C" w14:paraId="41EE5769" w14:textId="77777777" w:rsidTr="00B67553">
        <w:trPr>
          <w:jc w:val="center"/>
        </w:trPr>
        <w:tc>
          <w:tcPr>
            <w:tcW w:w="1182" w:type="dxa"/>
            <w:vMerge w:val="restart"/>
            <w:tcBorders>
              <w:top w:val="single" w:sz="4" w:space="0" w:color="auto"/>
              <w:left w:val="single" w:sz="12" w:space="0" w:color="auto"/>
              <w:bottom w:val="single" w:sz="4" w:space="0" w:color="auto"/>
              <w:right w:val="single" w:sz="8" w:space="0" w:color="auto"/>
            </w:tcBorders>
            <w:tcMar>
              <w:top w:w="0" w:type="dxa"/>
              <w:left w:w="108" w:type="dxa"/>
              <w:bottom w:w="0" w:type="dxa"/>
              <w:right w:w="108" w:type="dxa"/>
            </w:tcMar>
            <w:vAlign w:val="center"/>
            <w:hideMark/>
          </w:tcPr>
          <w:p w14:paraId="634694A1" w14:textId="77777777" w:rsidR="00292161" w:rsidRPr="00C0286C" w:rsidRDefault="00292161" w:rsidP="00B67553">
            <w:pPr>
              <w:pStyle w:val="Tabletext-C"/>
              <w:spacing w:line="276" w:lineRule="auto"/>
              <w:rPr>
                <w:rFonts w:ascii="Arial" w:hAnsi="Arial"/>
                <w:sz w:val="18"/>
                <w:szCs w:val="18"/>
              </w:rPr>
            </w:pPr>
            <w:r w:rsidRPr="00C0286C">
              <w:rPr>
                <w:rFonts w:ascii="Arial" w:hAnsi="Arial"/>
                <w:b/>
                <w:sz w:val="18"/>
                <w:szCs w:val="18"/>
              </w:rPr>
              <w:t>1</w:t>
            </w:r>
          </w:p>
        </w:tc>
        <w:tc>
          <w:tcPr>
            <w:tcW w:w="872" w:type="dxa"/>
            <w:tcBorders>
              <w:top w:val="single" w:sz="8" w:space="0" w:color="auto"/>
              <w:left w:val="single" w:sz="4" w:space="0" w:color="auto"/>
              <w:bottom w:val="single" w:sz="8" w:space="0" w:color="auto"/>
              <w:right w:val="single" w:sz="4" w:space="0" w:color="auto"/>
            </w:tcBorders>
          </w:tcPr>
          <w:p w14:paraId="25C0CBAB" w14:textId="77777777" w:rsidR="00292161" w:rsidRPr="00C0286C" w:rsidRDefault="00292161" w:rsidP="00B67553">
            <w:pPr>
              <w:pStyle w:val="Tabletext-C"/>
              <w:spacing w:line="276" w:lineRule="auto"/>
              <w:rPr>
                <w:rFonts w:ascii="Arial" w:hAnsi="Arial"/>
                <w:sz w:val="18"/>
                <w:szCs w:val="18"/>
              </w:rPr>
            </w:pPr>
            <w:r w:rsidRPr="00C0286C">
              <w:rPr>
                <w:rFonts w:ascii="Arial" w:hAnsi="Arial"/>
                <w:sz w:val="18"/>
                <w:szCs w:val="18"/>
              </w:rPr>
              <w:t>15</w:t>
            </w:r>
          </w:p>
        </w:tc>
        <w:tc>
          <w:tcPr>
            <w:tcW w:w="2788" w:type="dxa"/>
            <w:tcBorders>
              <w:top w:val="single" w:sz="8" w:space="0" w:color="auto"/>
              <w:left w:val="single" w:sz="4" w:space="0" w:color="auto"/>
              <w:bottom w:val="single" w:sz="8" w:space="0" w:color="auto"/>
              <w:right w:val="single" w:sz="8" w:space="0" w:color="000000"/>
            </w:tcBorders>
            <w:tcMar>
              <w:top w:w="0" w:type="dxa"/>
              <w:left w:w="108" w:type="dxa"/>
              <w:bottom w:w="0" w:type="dxa"/>
              <w:right w:w="108" w:type="dxa"/>
            </w:tcMar>
            <w:hideMark/>
          </w:tcPr>
          <w:p w14:paraId="7052172A" w14:textId="77777777" w:rsidR="00292161" w:rsidRPr="00C0286C" w:rsidRDefault="00292161" w:rsidP="00B67553">
            <w:pPr>
              <w:pStyle w:val="Tabletext-C"/>
              <w:spacing w:line="276" w:lineRule="auto"/>
              <w:rPr>
                <w:rFonts w:ascii="Arial" w:hAnsi="Arial"/>
                <w:sz w:val="18"/>
                <w:szCs w:val="18"/>
                <w:lang w:val="fr-FR"/>
              </w:rPr>
            </w:pPr>
            <w:r w:rsidRPr="00C0286C">
              <w:rPr>
                <w:rFonts w:ascii="Arial" w:hAnsi="Arial"/>
                <w:sz w:val="18"/>
                <w:szCs w:val="18"/>
                <w:lang w:val="fr-FR"/>
              </w:rPr>
              <w:t xml:space="preserve">2 </w:t>
            </w:r>
            <w:r w:rsidRPr="00C0286C">
              <w:rPr>
                <w:rFonts w:ascii="Arial" w:hAnsi="Arial"/>
                <w:sz w:val="18"/>
                <w:szCs w:val="18"/>
              </w:rPr>
              <w:t>μ</w:t>
            </w:r>
            <w:r w:rsidRPr="00C0286C">
              <w:rPr>
                <w:rFonts w:ascii="Arial" w:hAnsi="Arial"/>
                <w:sz w:val="18"/>
                <w:szCs w:val="18"/>
                <w:lang w:val="fr-FR"/>
              </w:rPr>
              <w:t xml:space="preserve">g ID93 + 2 </w:t>
            </w:r>
            <w:r w:rsidRPr="00C0286C">
              <w:rPr>
                <w:rFonts w:ascii="Arial" w:hAnsi="Arial"/>
                <w:sz w:val="18"/>
                <w:szCs w:val="18"/>
              </w:rPr>
              <w:t>μ</w:t>
            </w:r>
            <w:r w:rsidRPr="00C0286C">
              <w:rPr>
                <w:rFonts w:ascii="Arial" w:hAnsi="Arial"/>
                <w:sz w:val="18"/>
                <w:szCs w:val="18"/>
                <w:lang w:val="fr-FR"/>
              </w:rPr>
              <w:t>g GLA-SE</w:t>
            </w:r>
          </w:p>
        </w:tc>
        <w:tc>
          <w:tcPr>
            <w:tcW w:w="2254" w:type="dxa"/>
            <w:tcBorders>
              <w:top w:val="single" w:sz="8" w:space="0" w:color="auto"/>
              <w:left w:val="nil"/>
              <w:bottom w:val="single" w:sz="8" w:space="0" w:color="auto"/>
              <w:right w:val="single" w:sz="12" w:space="0" w:color="auto"/>
            </w:tcBorders>
            <w:tcMar>
              <w:top w:w="0" w:type="dxa"/>
              <w:left w:w="108" w:type="dxa"/>
              <w:bottom w:w="0" w:type="dxa"/>
              <w:right w:w="108" w:type="dxa"/>
            </w:tcMar>
            <w:hideMark/>
          </w:tcPr>
          <w:p w14:paraId="184FA15E" w14:textId="77777777" w:rsidR="00292161" w:rsidRPr="00C0286C" w:rsidRDefault="00292161" w:rsidP="00B67553">
            <w:pPr>
              <w:pStyle w:val="Tabletext-C"/>
              <w:spacing w:line="276" w:lineRule="auto"/>
              <w:rPr>
                <w:rFonts w:ascii="Arial" w:hAnsi="Arial"/>
                <w:sz w:val="18"/>
                <w:szCs w:val="18"/>
              </w:rPr>
            </w:pPr>
            <w:r w:rsidRPr="00C0286C">
              <w:rPr>
                <w:rFonts w:ascii="Arial" w:hAnsi="Arial"/>
                <w:sz w:val="18"/>
                <w:szCs w:val="18"/>
              </w:rPr>
              <w:t xml:space="preserve">Day 0, Day 56 </w:t>
            </w:r>
          </w:p>
        </w:tc>
      </w:tr>
      <w:tr w:rsidR="00292161" w:rsidRPr="00C0286C" w14:paraId="4B51CC10" w14:textId="77777777" w:rsidTr="00B67553">
        <w:trPr>
          <w:jc w:val="center"/>
        </w:trPr>
        <w:tc>
          <w:tcPr>
            <w:tcW w:w="1182" w:type="dxa"/>
            <w:vMerge/>
            <w:tcBorders>
              <w:top w:val="double" w:sz="4" w:space="0" w:color="auto"/>
              <w:left w:val="single" w:sz="12" w:space="0" w:color="auto"/>
              <w:bottom w:val="single" w:sz="4" w:space="0" w:color="auto"/>
              <w:right w:val="single" w:sz="8" w:space="0" w:color="auto"/>
            </w:tcBorders>
            <w:tcMar>
              <w:top w:w="0" w:type="dxa"/>
              <w:left w:w="108" w:type="dxa"/>
              <w:bottom w:w="0" w:type="dxa"/>
              <w:right w:w="108" w:type="dxa"/>
            </w:tcMar>
            <w:vAlign w:val="center"/>
          </w:tcPr>
          <w:p w14:paraId="6F9C1CD3" w14:textId="77777777" w:rsidR="00292161" w:rsidRPr="00C0286C" w:rsidRDefault="00292161" w:rsidP="00B67553">
            <w:pPr>
              <w:pStyle w:val="Tabletext-C"/>
              <w:spacing w:line="276" w:lineRule="auto"/>
              <w:rPr>
                <w:rFonts w:ascii="Arial" w:hAnsi="Arial"/>
                <w:b/>
                <w:sz w:val="18"/>
                <w:szCs w:val="18"/>
              </w:rPr>
            </w:pPr>
          </w:p>
        </w:tc>
        <w:tc>
          <w:tcPr>
            <w:tcW w:w="872" w:type="dxa"/>
            <w:tcBorders>
              <w:top w:val="single" w:sz="8" w:space="0" w:color="auto"/>
              <w:left w:val="single" w:sz="4" w:space="0" w:color="auto"/>
              <w:bottom w:val="single" w:sz="8" w:space="0" w:color="auto"/>
              <w:right w:val="single" w:sz="4" w:space="0" w:color="auto"/>
            </w:tcBorders>
          </w:tcPr>
          <w:p w14:paraId="530AC802" w14:textId="77777777" w:rsidR="00292161" w:rsidRPr="00C0286C" w:rsidRDefault="00292161" w:rsidP="00B67553">
            <w:pPr>
              <w:pStyle w:val="Tabletext-C"/>
              <w:spacing w:line="276" w:lineRule="auto"/>
              <w:rPr>
                <w:rFonts w:ascii="Arial" w:hAnsi="Arial"/>
                <w:sz w:val="18"/>
                <w:szCs w:val="18"/>
              </w:rPr>
            </w:pPr>
            <w:r w:rsidRPr="00C0286C">
              <w:rPr>
                <w:rFonts w:ascii="Arial" w:hAnsi="Arial"/>
                <w:sz w:val="18"/>
                <w:szCs w:val="18"/>
              </w:rPr>
              <w:t>5</w:t>
            </w:r>
          </w:p>
        </w:tc>
        <w:tc>
          <w:tcPr>
            <w:tcW w:w="2788" w:type="dxa"/>
            <w:tcBorders>
              <w:top w:val="single" w:sz="8" w:space="0" w:color="auto"/>
              <w:left w:val="single" w:sz="4" w:space="0" w:color="auto"/>
              <w:bottom w:val="single" w:sz="8" w:space="0" w:color="auto"/>
              <w:right w:val="single" w:sz="8" w:space="0" w:color="000000"/>
            </w:tcBorders>
            <w:tcMar>
              <w:top w:w="0" w:type="dxa"/>
              <w:left w:w="108" w:type="dxa"/>
              <w:bottom w:w="0" w:type="dxa"/>
              <w:right w:w="108" w:type="dxa"/>
            </w:tcMar>
          </w:tcPr>
          <w:p w14:paraId="5FA7CA38" w14:textId="77777777" w:rsidR="00292161" w:rsidRPr="00C0286C" w:rsidRDefault="00292161" w:rsidP="00B67553">
            <w:pPr>
              <w:pStyle w:val="Tabletext-C"/>
              <w:spacing w:line="276" w:lineRule="auto"/>
              <w:rPr>
                <w:rFonts w:ascii="Arial" w:hAnsi="Arial"/>
                <w:sz w:val="18"/>
                <w:szCs w:val="18"/>
              </w:rPr>
            </w:pPr>
            <w:r w:rsidRPr="00C0286C">
              <w:rPr>
                <w:rFonts w:ascii="Arial" w:hAnsi="Arial"/>
                <w:sz w:val="18"/>
                <w:szCs w:val="18"/>
              </w:rPr>
              <w:t>Saline placebo</w:t>
            </w:r>
          </w:p>
        </w:tc>
        <w:tc>
          <w:tcPr>
            <w:tcW w:w="2254" w:type="dxa"/>
            <w:tcBorders>
              <w:top w:val="single" w:sz="8" w:space="0" w:color="auto"/>
              <w:left w:val="nil"/>
              <w:bottom w:val="single" w:sz="8" w:space="0" w:color="auto"/>
              <w:right w:val="single" w:sz="12" w:space="0" w:color="auto"/>
            </w:tcBorders>
            <w:tcMar>
              <w:top w:w="0" w:type="dxa"/>
              <w:left w:w="108" w:type="dxa"/>
              <w:bottom w:w="0" w:type="dxa"/>
              <w:right w:w="108" w:type="dxa"/>
            </w:tcMar>
          </w:tcPr>
          <w:p w14:paraId="4305A9D9" w14:textId="77777777" w:rsidR="00292161" w:rsidRPr="00C0286C" w:rsidRDefault="00292161" w:rsidP="00B67553">
            <w:pPr>
              <w:pStyle w:val="Tabletext-C"/>
              <w:spacing w:line="276" w:lineRule="auto"/>
              <w:rPr>
                <w:rFonts w:ascii="Arial" w:hAnsi="Arial"/>
                <w:sz w:val="18"/>
                <w:szCs w:val="18"/>
              </w:rPr>
            </w:pPr>
            <w:r w:rsidRPr="00C0286C">
              <w:rPr>
                <w:rFonts w:ascii="Arial" w:hAnsi="Arial"/>
                <w:sz w:val="18"/>
                <w:szCs w:val="18"/>
              </w:rPr>
              <w:t>Day 0, Day 56</w:t>
            </w:r>
          </w:p>
        </w:tc>
      </w:tr>
      <w:tr w:rsidR="00292161" w:rsidRPr="00C0286C" w14:paraId="7B65B0D5" w14:textId="77777777" w:rsidTr="00292161">
        <w:trPr>
          <w:jc w:val="center"/>
        </w:trPr>
        <w:tc>
          <w:tcPr>
            <w:tcW w:w="1182" w:type="dxa"/>
            <w:vMerge w:val="restart"/>
            <w:tcBorders>
              <w:top w:val="single" w:sz="4" w:space="0" w:color="auto"/>
              <w:left w:val="single" w:sz="12" w:space="0" w:color="auto"/>
              <w:right w:val="single" w:sz="8" w:space="0" w:color="auto"/>
            </w:tcBorders>
            <w:tcMar>
              <w:top w:w="0" w:type="dxa"/>
              <w:left w:w="108" w:type="dxa"/>
              <w:bottom w:w="0" w:type="dxa"/>
              <w:right w:w="108" w:type="dxa"/>
            </w:tcMar>
            <w:vAlign w:val="center"/>
          </w:tcPr>
          <w:p w14:paraId="1C0E60AD" w14:textId="77777777" w:rsidR="00292161" w:rsidRPr="00C0286C" w:rsidRDefault="00292161" w:rsidP="00B67553">
            <w:pPr>
              <w:pStyle w:val="Tabletext-C"/>
              <w:spacing w:line="276" w:lineRule="auto"/>
              <w:rPr>
                <w:rFonts w:ascii="Arial" w:hAnsi="Arial"/>
                <w:b/>
                <w:sz w:val="18"/>
                <w:szCs w:val="18"/>
              </w:rPr>
            </w:pPr>
            <w:r w:rsidRPr="00C0286C">
              <w:rPr>
                <w:rFonts w:ascii="Arial" w:hAnsi="Arial"/>
                <w:b/>
                <w:sz w:val="18"/>
                <w:szCs w:val="18"/>
              </w:rPr>
              <w:t>2</w:t>
            </w:r>
          </w:p>
        </w:tc>
        <w:tc>
          <w:tcPr>
            <w:tcW w:w="872" w:type="dxa"/>
            <w:tcBorders>
              <w:top w:val="single" w:sz="8" w:space="0" w:color="auto"/>
              <w:left w:val="single" w:sz="4" w:space="0" w:color="auto"/>
              <w:bottom w:val="single" w:sz="8" w:space="0" w:color="auto"/>
              <w:right w:val="single" w:sz="4" w:space="0" w:color="auto"/>
            </w:tcBorders>
            <w:shd w:val="clear" w:color="auto" w:fill="auto"/>
          </w:tcPr>
          <w:p w14:paraId="6E9F7EAC" w14:textId="5D2496A3" w:rsidR="00292161" w:rsidRPr="00292161" w:rsidRDefault="00292161" w:rsidP="00B67553">
            <w:pPr>
              <w:pStyle w:val="Tabletext-C"/>
              <w:spacing w:line="276" w:lineRule="auto"/>
              <w:rPr>
                <w:rFonts w:ascii="Arial" w:hAnsi="Arial"/>
                <w:sz w:val="18"/>
                <w:szCs w:val="18"/>
              </w:rPr>
            </w:pPr>
            <w:r w:rsidRPr="00292161">
              <w:rPr>
                <w:rFonts w:ascii="Arial" w:hAnsi="Arial"/>
                <w:sz w:val="18"/>
                <w:szCs w:val="18"/>
              </w:rPr>
              <w:t>9</w:t>
            </w:r>
          </w:p>
        </w:tc>
        <w:tc>
          <w:tcPr>
            <w:tcW w:w="2788" w:type="dxa"/>
            <w:tcBorders>
              <w:top w:val="single" w:sz="8" w:space="0" w:color="auto"/>
              <w:left w:val="single" w:sz="4" w:space="0" w:color="auto"/>
              <w:bottom w:val="single" w:sz="8" w:space="0" w:color="auto"/>
              <w:right w:val="single" w:sz="8" w:space="0" w:color="000000"/>
            </w:tcBorders>
            <w:tcMar>
              <w:top w:w="0" w:type="dxa"/>
              <w:left w:w="108" w:type="dxa"/>
              <w:bottom w:w="0" w:type="dxa"/>
              <w:right w:w="108" w:type="dxa"/>
            </w:tcMar>
          </w:tcPr>
          <w:p w14:paraId="77CB84AB" w14:textId="77777777" w:rsidR="00292161" w:rsidRPr="00C0286C" w:rsidRDefault="00292161" w:rsidP="00B67553">
            <w:pPr>
              <w:pStyle w:val="Tabletext-C"/>
              <w:spacing w:line="276" w:lineRule="auto"/>
              <w:rPr>
                <w:rFonts w:ascii="Arial" w:hAnsi="Arial"/>
                <w:sz w:val="18"/>
                <w:szCs w:val="18"/>
              </w:rPr>
            </w:pPr>
            <w:r w:rsidRPr="00C0286C">
              <w:rPr>
                <w:rFonts w:ascii="Arial" w:hAnsi="Arial"/>
                <w:sz w:val="18"/>
                <w:szCs w:val="18"/>
                <w:lang w:val="fr-FR"/>
              </w:rPr>
              <w:t xml:space="preserve">10 </w:t>
            </w:r>
            <w:r w:rsidRPr="00C0286C">
              <w:rPr>
                <w:rFonts w:ascii="Arial" w:hAnsi="Arial"/>
                <w:sz w:val="18"/>
                <w:szCs w:val="18"/>
              </w:rPr>
              <w:t>μ</w:t>
            </w:r>
            <w:r w:rsidRPr="00C0286C">
              <w:rPr>
                <w:rFonts w:ascii="Arial" w:hAnsi="Arial"/>
                <w:sz w:val="18"/>
                <w:szCs w:val="18"/>
                <w:lang w:val="fr-FR"/>
              </w:rPr>
              <w:t xml:space="preserve">g ID93 + 2 </w:t>
            </w:r>
            <w:r w:rsidRPr="00C0286C">
              <w:rPr>
                <w:rFonts w:ascii="Arial" w:hAnsi="Arial"/>
                <w:sz w:val="18"/>
                <w:szCs w:val="18"/>
              </w:rPr>
              <w:t>μ</w:t>
            </w:r>
            <w:r w:rsidRPr="00C0286C">
              <w:rPr>
                <w:rFonts w:ascii="Arial" w:hAnsi="Arial"/>
                <w:sz w:val="18"/>
                <w:szCs w:val="18"/>
                <w:lang w:val="fr-FR"/>
              </w:rPr>
              <w:t>g GLA-SE</w:t>
            </w:r>
          </w:p>
        </w:tc>
        <w:tc>
          <w:tcPr>
            <w:tcW w:w="2254" w:type="dxa"/>
            <w:tcBorders>
              <w:top w:val="single" w:sz="8" w:space="0" w:color="auto"/>
              <w:left w:val="nil"/>
              <w:bottom w:val="single" w:sz="8" w:space="0" w:color="auto"/>
              <w:right w:val="single" w:sz="12" w:space="0" w:color="auto"/>
            </w:tcBorders>
            <w:tcMar>
              <w:top w:w="0" w:type="dxa"/>
              <w:left w:w="108" w:type="dxa"/>
              <w:bottom w:w="0" w:type="dxa"/>
              <w:right w:w="108" w:type="dxa"/>
            </w:tcMar>
          </w:tcPr>
          <w:p w14:paraId="55AD7B72" w14:textId="77777777" w:rsidR="00292161" w:rsidRPr="00C0286C" w:rsidRDefault="00292161" w:rsidP="00B67553">
            <w:pPr>
              <w:pStyle w:val="Tabletext-C"/>
              <w:spacing w:line="276" w:lineRule="auto"/>
              <w:rPr>
                <w:rFonts w:ascii="Arial" w:hAnsi="Arial"/>
                <w:sz w:val="18"/>
                <w:szCs w:val="18"/>
              </w:rPr>
            </w:pPr>
            <w:r w:rsidRPr="00C0286C">
              <w:rPr>
                <w:rFonts w:ascii="Arial" w:hAnsi="Arial"/>
                <w:sz w:val="18"/>
                <w:szCs w:val="18"/>
              </w:rPr>
              <w:t>Day 0, Day 56</w:t>
            </w:r>
          </w:p>
        </w:tc>
      </w:tr>
      <w:tr w:rsidR="00292161" w:rsidRPr="00C0286C" w14:paraId="6EE603FA" w14:textId="77777777" w:rsidTr="00292161">
        <w:trPr>
          <w:jc w:val="center"/>
        </w:trPr>
        <w:tc>
          <w:tcPr>
            <w:tcW w:w="1182" w:type="dxa"/>
            <w:vMerge/>
            <w:tcBorders>
              <w:left w:val="single" w:sz="12" w:space="0" w:color="auto"/>
              <w:bottom w:val="single" w:sz="4" w:space="0" w:color="auto"/>
              <w:right w:val="single" w:sz="8" w:space="0" w:color="auto"/>
            </w:tcBorders>
            <w:tcMar>
              <w:top w:w="0" w:type="dxa"/>
              <w:left w:w="108" w:type="dxa"/>
              <w:bottom w:w="0" w:type="dxa"/>
              <w:right w:w="108" w:type="dxa"/>
            </w:tcMar>
            <w:vAlign w:val="center"/>
          </w:tcPr>
          <w:p w14:paraId="073DD537" w14:textId="77777777" w:rsidR="00292161" w:rsidRPr="00C0286C" w:rsidRDefault="00292161" w:rsidP="00B67553">
            <w:pPr>
              <w:pStyle w:val="Tabletext-C"/>
              <w:spacing w:line="276" w:lineRule="auto"/>
              <w:rPr>
                <w:rFonts w:ascii="Arial" w:hAnsi="Arial"/>
                <w:b/>
                <w:sz w:val="18"/>
                <w:szCs w:val="18"/>
              </w:rPr>
            </w:pPr>
          </w:p>
        </w:tc>
        <w:tc>
          <w:tcPr>
            <w:tcW w:w="872" w:type="dxa"/>
            <w:tcBorders>
              <w:top w:val="single" w:sz="8" w:space="0" w:color="auto"/>
              <w:left w:val="single" w:sz="4" w:space="0" w:color="auto"/>
              <w:bottom w:val="single" w:sz="8" w:space="0" w:color="auto"/>
              <w:right w:val="single" w:sz="4" w:space="0" w:color="auto"/>
            </w:tcBorders>
            <w:shd w:val="clear" w:color="auto" w:fill="auto"/>
          </w:tcPr>
          <w:p w14:paraId="6A295FCB" w14:textId="5FB3E26D" w:rsidR="00292161" w:rsidRPr="00292161" w:rsidRDefault="00292161" w:rsidP="00B67553">
            <w:pPr>
              <w:pStyle w:val="Tabletext-C"/>
              <w:spacing w:line="276" w:lineRule="auto"/>
              <w:rPr>
                <w:rFonts w:ascii="Arial" w:hAnsi="Arial"/>
                <w:sz w:val="18"/>
                <w:szCs w:val="18"/>
              </w:rPr>
            </w:pPr>
            <w:r w:rsidRPr="00292161">
              <w:rPr>
                <w:rFonts w:ascii="Arial" w:hAnsi="Arial"/>
                <w:sz w:val="18"/>
                <w:szCs w:val="18"/>
              </w:rPr>
              <w:t>3</w:t>
            </w:r>
          </w:p>
        </w:tc>
        <w:tc>
          <w:tcPr>
            <w:tcW w:w="2788" w:type="dxa"/>
            <w:tcBorders>
              <w:top w:val="single" w:sz="8" w:space="0" w:color="auto"/>
              <w:left w:val="single" w:sz="4" w:space="0" w:color="auto"/>
              <w:bottom w:val="single" w:sz="8" w:space="0" w:color="auto"/>
              <w:right w:val="single" w:sz="8" w:space="0" w:color="000000"/>
            </w:tcBorders>
            <w:tcMar>
              <w:top w:w="0" w:type="dxa"/>
              <w:left w:w="108" w:type="dxa"/>
              <w:bottom w:w="0" w:type="dxa"/>
              <w:right w:w="108" w:type="dxa"/>
            </w:tcMar>
          </w:tcPr>
          <w:p w14:paraId="504CCD28" w14:textId="77777777" w:rsidR="00292161" w:rsidRPr="00C0286C" w:rsidRDefault="00292161" w:rsidP="00B67553">
            <w:pPr>
              <w:pStyle w:val="Tabletext-C"/>
              <w:spacing w:line="276" w:lineRule="auto"/>
              <w:rPr>
                <w:rFonts w:ascii="Arial" w:hAnsi="Arial"/>
                <w:sz w:val="18"/>
                <w:szCs w:val="18"/>
              </w:rPr>
            </w:pPr>
            <w:r w:rsidRPr="00C0286C">
              <w:rPr>
                <w:rFonts w:ascii="Arial" w:hAnsi="Arial"/>
                <w:sz w:val="18"/>
                <w:szCs w:val="18"/>
              </w:rPr>
              <w:t>Saline placebo</w:t>
            </w:r>
          </w:p>
        </w:tc>
        <w:tc>
          <w:tcPr>
            <w:tcW w:w="2254" w:type="dxa"/>
            <w:tcBorders>
              <w:top w:val="single" w:sz="8" w:space="0" w:color="auto"/>
              <w:left w:val="nil"/>
              <w:bottom w:val="single" w:sz="8" w:space="0" w:color="auto"/>
              <w:right w:val="single" w:sz="12" w:space="0" w:color="auto"/>
            </w:tcBorders>
            <w:tcMar>
              <w:top w:w="0" w:type="dxa"/>
              <w:left w:w="108" w:type="dxa"/>
              <w:bottom w:w="0" w:type="dxa"/>
              <w:right w:w="108" w:type="dxa"/>
            </w:tcMar>
          </w:tcPr>
          <w:p w14:paraId="2D674C47" w14:textId="77777777" w:rsidR="00292161" w:rsidRPr="00C0286C" w:rsidRDefault="00292161" w:rsidP="00B67553">
            <w:pPr>
              <w:pStyle w:val="Tabletext-C"/>
              <w:spacing w:line="276" w:lineRule="auto"/>
              <w:rPr>
                <w:rFonts w:ascii="Arial" w:hAnsi="Arial"/>
                <w:sz w:val="18"/>
                <w:szCs w:val="18"/>
              </w:rPr>
            </w:pPr>
            <w:r w:rsidRPr="00C0286C">
              <w:rPr>
                <w:rFonts w:ascii="Arial" w:hAnsi="Arial"/>
                <w:sz w:val="18"/>
                <w:szCs w:val="18"/>
              </w:rPr>
              <w:t>Day 0, Day 56</w:t>
            </w:r>
          </w:p>
        </w:tc>
      </w:tr>
      <w:tr w:rsidR="00292161" w:rsidRPr="00C0286C" w14:paraId="436D51D3" w14:textId="77777777" w:rsidTr="00292161">
        <w:trPr>
          <w:jc w:val="center"/>
        </w:trPr>
        <w:tc>
          <w:tcPr>
            <w:tcW w:w="1182" w:type="dxa"/>
            <w:vMerge w:val="restart"/>
            <w:tcBorders>
              <w:top w:val="single" w:sz="4" w:space="0" w:color="auto"/>
              <w:left w:val="single" w:sz="12" w:space="0" w:color="auto"/>
              <w:bottom w:val="double" w:sz="4" w:space="0" w:color="auto"/>
              <w:right w:val="single" w:sz="8" w:space="0" w:color="auto"/>
            </w:tcBorders>
            <w:tcMar>
              <w:top w:w="0" w:type="dxa"/>
              <w:left w:w="108" w:type="dxa"/>
              <w:bottom w:w="0" w:type="dxa"/>
              <w:right w:w="108" w:type="dxa"/>
            </w:tcMar>
            <w:vAlign w:val="center"/>
          </w:tcPr>
          <w:p w14:paraId="093372E7" w14:textId="77777777" w:rsidR="00292161" w:rsidRPr="00C0286C" w:rsidRDefault="00292161" w:rsidP="00B67553">
            <w:pPr>
              <w:pStyle w:val="Tabletext-C"/>
              <w:spacing w:line="276" w:lineRule="auto"/>
              <w:rPr>
                <w:rFonts w:ascii="Arial" w:hAnsi="Arial"/>
                <w:b/>
                <w:sz w:val="18"/>
                <w:szCs w:val="18"/>
              </w:rPr>
            </w:pPr>
            <w:r w:rsidRPr="00C0286C">
              <w:rPr>
                <w:rFonts w:ascii="Arial" w:hAnsi="Arial"/>
                <w:b/>
                <w:sz w:val="18"/>
                <w:szCs w:val="18"/>
              </w:rPr>
              <w:t>3</w:t>
            </w:r>
          </w:p>
        </w:tc>
        <w:tc>
          <w:tcPr>
            <w:tcW w:w="872" w:type="dxa"/>
            <w:tcBorders>
              <w:top w:val="single" w:sz="8" w:space="0" w:color="auto"/>
              <w:left w:val="single" w:sz="4" w:space="0" w:color="auto"/>
              <w:bottom w:val="single" w:sz="8" w:space="0" w:color="auto"/>
              <w:right w:val="single" w:sz="4" w:space="0" w:color="auto"/>
            </w:tcBorders>
            <w:shd w:val="clear" w:color="auto" w:fill="auto"/>
          </w:tcPr>
          <w:p w14:paraId="15CBBCBF" w14:textId="472901E9" w:rsidR="00292161" w:rsidRPr="00292161" w:rsidRDefault="00292161" w:rsidP="00B67553">
            <w:pPr>
              <w:pStyle w:val="Tabletext-C"/>
              <w:spacing w:line="276" w:lineRule="auto"/>
              <w:rPr>
                <w:rFonts w:ascii="Arial" w:hAnsi="Arial"/>
                <w:sz w:val="18"/>
                <w:szCs w:val="18"/>
              </w:rPr>
            </w:pPr>
            <w:r w:rsidRPr="00292161">
              <w:rPr>
                <w:rFonts w:ascii="Arial" w:hAnsi="Arial"/>
                <w:sz w:val="18"/>
                <w:szCs w:val="18"/>
              </w:rPr>
              <w:t>12</w:t>
            </w:r>
          </w:p>
        </w:tc>
        <w:tc>
          <w:tcPr>
            <w:tcW w:w="2788" w:type="dxa"/>
            <w:tcBorders>
              <w:top w:val="single" w:sz="8" w:space="0" w:color="auto"/>
              <w:left w:val="single" w:sz="4" w:space="0" w:color="auto"/>
              <w:bottom w:val="single" w:sz="8" w:space="0" w:color="auto"/>
              <w:right w:val="single" w:sz="8" w:space="0" w:color="000000"/>
            </w:tcBorders>
            <w:tcMar>
              <w:top w:w="0" w:type="dxa"/>
              <w:left w:w="108" w:type="dxa"/>
              <w:bottom w:w="0" w:type="dxa"/>
              <w:right w:w="108" w:type="dxa"/>
            </w:tcMar>
          </w:tcPr>
          <w:p w14:paraId="4414A109" w14:textId="77777777" w:rsidR="00292161" w:rsidRPr="00C0286C" w:rsidRDefault="00292161" w:rsidP="00B67553">
            <w:pPr>
              <w:pStyle w:val="Tabletext-C"/>
              <w:spacing w:line="276" w:lineRule="auto"/>
              <w:rPr>
                <w:rFonts w:ascii="Arial" w:hAnsi="Arial"/>
                <w:sz w:val="18"/>
                <w:szCs w:val="18"/>
                <w:lang w:val="fr-FR"/>
              </w:rPr>
            </w:pPr>
            <w:r w:rsidRPr="00C0286C">
              <w:rPr>
                <w:rFonts w:ascii="Arial" w:hAnsi="Arial"/>
                <w:sz w:val="18"/>
                <w:szCs w:val="18"/>
                <w:lang w:val="fr-FR"/>
              </w:rPr>
              <w:t xml:space="preserve">2 </w:t>
            </w:r>
            <w:r w:rsidRPr="00C0286C">
              <w:rPr>
                <w:rFonts w:ascii="Arial" w:hAnsi="Arial"/>
                <w:sz w:val="18"/>
                <w:szCs w:val="18"/>
              </w:rPr>
              <w:t>μ</w:t>
            </w:r>
            <w:r w:rsidRPr="00C0286C">
              <w:rPr>
                <w:rFonts w:ascii="Arial" w:hAnsi="Arial"/>
                <w:sz w:val="18"/>
                <w:szCs w:val="18"/>
                <w:lang w:val="fr-FR"/>
              </w:rPr>
              <w:t xml:space="preserve">g ID93 + 5 </w:t>
            </w:r>
            <w:r w:rsidRPr="00C0286C">
              <w:rPr>
                <w:rFonts w:ascii="Arial" w:hAnsi="Arial"/>
                <w:sz w:val="18"/>
                <w:szCs w:val="18"/>
              </w:rPr>
              <w:t>μ</w:t>
            </w:r>
            <w:r w:rsidRPr="00C0286C">
              <w:rPr>
                <w:rFonts w:ascii="Arial" w:hAnsi="Arial"/>
                <w:sz w:val="18"/>
                <w:szCs w:val="18"/>
                <w:lang w:val="fr-FR"/>
              </w:rPr>
              <w:t>g GLA-SE</w:t>
            </w:r>
          </w:p>
          <w:p w14:paraId="6672B234" w14:textId="2250BADF" w:rsidR="00292161" w:rsidRPr="00C0286C" w:rsidRDefault="00292161" w:rsidP="00B67553">
            <w:pPr>
              <w:pStyle w:val="Tabletext-C"/>
              <w:spacing w:line="276" w:lineRule="auto"/>
              <w:rPr>
                <w:rFonts w:ascii="Arial" w:hAnsi="Arial"/>
                <w:sz w:val="18"/>
                <w:szCs w:val="18"/>
                <w:lang w:val="fr-FR"/>
              </w:rPr>
            </w:pPr>
            <w:r w:rsidRPr="00C0286C">
              <w:rPr>
                <w:rFonts w:ascii="Arial" w:hAnsi="Arial"/>
                <w:sz w:val="18"/>
                <w:szCs w:val="18"/>
              </w:rPr>
              <w:t>Saline placebo</w:t>
            </w:r>
            <w:r w:rsidR="00E35F4D">
              <w:rPr>
                <w:rFonts w:ascii="Arial" w:hAnsi="Arial"/>
                <w:sz w:val="18"/>
                <w:szCs w:val="18"/>
              </w:rPr>
              <w:t>*</w:t>
            </w:r>
          </w:p>
        </w:tc>
        <w:tc>
          <w:tcPr>
            <w:tcW w:w="2254" w:type="dxa"/>
            <w:tcBorders>
              <w:top w:val="single" w:sz="8" w:space="0" w:color="auto"/>
              <w:left w:val="nil"/>
              <w:bottom w:val="single" w:sz="8" w:space="0" w:color="auto"/>
              <w:right w:val="single" w:sz="12" w:space="0" w:color="auto"/>
            </w:tcBorders>
            <w:tcMar>
              <w:top w:w="0" w:type="dxa"/>
              <w:left w:w="108" w:type="dxa"/>
              <w:bottom w:w="0" w:type="dxa"/>
              <w:right w:w="108" w:type="dxa"/>
            </w:tcMar>
          </w:tcPr>
          <w:p w14:paraId="592B7039" w14:textId="77777777" w:rsidR="00292161" w:rsidRPr="00C0286C" w:rsidRDefault="00292161" w:rsidP="00B67553">
            <w:pPr>
              <w:pStyle w:val="Tabletext-C"/>
              <w:spacing w:line="276" w:lineRule="auto"/>
              <w:rPr>
                <w:rFonts w:ascii="Arial" w:hAnsi="Arial"/>
                <w:sz w:val="18"/>
                <w:szCs w:val="18"/>
              </w:rPr>
            </w:pPr>
            <w:r w:rsidRPr="00C0286C">
              <w:rPr>
                <w:rFonts w:ascii="Arial" w:hAnsi="Arial"/>
                <w:sz w:val="18"/>
                <w:szCs w:val="18"/>
              </w:rPr>
              <w:t>Day 0, Day 56</w:t>
            </w:r>
          </w:p>
          <w:p w14:paraId="727D13CB" w14:textId="0E1DB86F" w:rsidR="00292161" w:rsidRPr="00C0286C" w:rsidRDefault="00292161" w:rsidP="00B67553">
            <w:pPr>
              <w:pStyle w:val="Tabletext-C"/>
              <w:spacing w:line="276" w:lineRule="auto"/>
              <w:rPr>
                <w:rFonts w:ascii="Arial" w:hAnsi="Arial"/>
                <w:sz w:val="18"/>
                <w:szCs w:val="18"/>
              </w:rPr>
            </w:pPr>
            <w:r w:rsidRPr="00C0286C">
              <w:rPr>
                <w:rFonts w:ascii="Arial" w:hAnsi="Arial"/>
                <w:sz w:val="18"/>
                <w:szCs w:val="18"/>
              </w:rPr>
              <w:t>Day 28</w:t>
            </w:r>
            <w:r w:rsidR="00E35F4D">
              <w:rPr>
                <w:rFonts w:ascii="Arial" w:hAnsi="Arial"/>
                <w:sz w:val="18"/>
                <w:szCs w:val="18"/>
              </w:rPr>
              <w:t>*</w:t>
            </w:r>
          </w:p>
        </w:tc>
      </w:tr>
      <w:tr w:rsidR="00292161" w:rsidRPr="00C0286C" w14:paraId="68A8485F" w14:textId="77777777" w:rsidTr="00292161">
        <w:trPr>
          <w:jc w:val="center"/>
        </w:trPr>
        <w:tc>
          <w:tcPr>
            <w:tcW w:w="1182" w:type="dxa"/>
            <w:vMerge/>
            <w:tcBorders>
              <w:top w:val="single" w:sz="4" w:space="0" w:color="auto"/>
              <w:left w:val="single" w:sz="12" w:space="0" w:color="auto"/>
              <w:bottom w:val="double" w:sz="4" w:space="0" w:color="auto"/>
              <w:right w:val="single" w:sz="8" w:space="0" w:color="auto"/>
            </w:tcBorders>
            <w:tcMar>
              <w:top w:w="0" w:type="dxa"/>
              <w:left w:w="108" w:type="dxa"/>
              <w:bottom w:w="0" w:type="dxa"/>
              <w:right w:w="108" w:type="dxa"/>
            </w:tcMar>
            <w:vAlign w:val="center"/>
          </w:tcPr>
          <w:p w14:paraId="53E8E7E3" w14:textId="77777777" w:rsidR="00292161" w:rsidRPr="00C0286C" w:rsidRDefault="00292161" w:rsidP="00B67553">
            <w:pPr>
              <w:pStyle w:val="Tabletext-C"/>
              <w:spacing w:line="276" w:lineRule="auto"/>
              <w:rPr>
                <w:rFonts w:ascii="Arial" w:hAnsi="Arial"/>
                <w:b/>
                <w:sz w:val="18"/>
                <w:szCs w:val="18"/>
              </w:rPr>
            </w:pPr>
          </w:p>
        </w:tc>
        <w:tc>
          <w:tcPr>
            <w:tcW w:w="872" w:type="dxa"/>
            <w:tcBorders>
              <w:top w:val="single" w:sz="8" w:space="0" w:color="auto"/>
              <w:left w:val="single" w:sz="4" w:space="0" w:color="auto"/>
              <w:bottom w:val="single" w:sz="8" w:space="0" w:color="auto"/>
              <w:right w:val="single" w:sz="4" w:space="0" w:color="auto"/>
            </w:tcBorders>
            <w:shd w:val="clear" w:color="auto" w:fill="auto"/>
          </w:tcPr>
          <w:p w14:paraId="2914E04F" w14:textId="0B3B1F9D" w:rsidR="00292161" w:rsidRPr="00292161" w:rsidDel="003E68EE" w:rsidRDefault="00292161" w:rsidP="00B67553">
            <w:pPr>
              <w:pStyle w:val="Tabletext-C"/>
              <w:spacing w:line="276" w:lineRule="auto"/>
              <w:rPr>
                <w:rFonts w:ascii="Arial" w:hAnsi="Arial"/>
                <w:sz w:val="18"/>
                <w:szCs w:val="18"/>
              </w:rPr>
            </w:pPr>
            <w:r w:rsidRPr="00292161">
              <w:rPr>
                <w:rFonts w:ascii="Arial" w:hAnsi="Arial"/>
                <w:sz w:val="18"/>
                <w:szCs w:val="18"/>
              </w:rPr>
              <w:t>12</w:t>
            </w:r>
          </w:p>
        </w:tc>
        <w:tc>
          <w:tcPr>
            <w:tcW w:w="2788" w:type="dxa"/>
            <w:tcBorders>
              <w:top w:val="single" w:sz="8" w:space="0" w:color="auto"/>
              <w:left w:val="single" w:sz="4" w:space="0" w:color="auto"/>
              <w:bottom w:val="single" w:sz="8" w:space="0" w:color="auto"/>
              <w:right w:val="single" w:sz="8" w:space="0" w:color="000000"/>
            </w:tcBorders>
            <w:tcMar>
              <w:top w:w="0" w:type="dxa"/>
              <w:left w:w="108" w:type="dxa"/>
              <w:bottom w:w="0" w:type="dxa"/>
              <w:right w:w="108" w:type="dxa"/>
            </w:tcMar>
          </w:tcPr>
          <w:p w14:paraId="20EDFF4F" w14:textId="77777777" w:rsidR="00292161" w:rsidRPr="00C0286C" w:rsidDel="000E104F" w:rsidRDefault="00292161" w:rsidP="00B67553">
            <w:pPr>
              <w:pStyle w:val="Tabletext-C"/>
              <w:spacing w:line="276" w:lineRule="auto"/>
              <w:rPr>
                <w:rFonts w:ascii="Arial" w:hAnsi="Arial"/>
                <w:sz w:val="18"/>
                <w:szCs w:val="18"/>
                <w:lang w:val="fr-FR"/>
              </w:rPr>
            </w:pPr>
            <w:r w:rsidRPr="00C0286C">
              <w:rPr>
                <w:rFonts w:ascii="Arial" w:hAnsi="Arial"/>
                <w:sz w:val="18"/>
                <w:szCs w:val="18"/>
                <w:lang w:val="fr-FR"/>
              </w:rPr>
              <w:t xml:space="preserve">2 </w:t>
            </w:r>
            <w:r w:rsidRPr="00C0286C">
              <w:rPr>
                <w:rFonts w:ascii="Arial" w:hAnsi="Arial"/>
                <w:sz w:val="18"/>
                <w:szCs w:val="18"/>
              </w:rPr>
              <w:t>μ</w:t>
            </w:r>
            <w:r w:rsidRPr="00C0286C">
              <w:rPr>
                <w:rFonts w:ascii="Arial" w:hAnsi="Arial"/>
                <w:sz w:val="18"/>
                <w:szCs w:val="18"/>
                <w:lang w:val="fr-FR"/>
              </w:rPr>
              <w:t xml:space="preserve">g ID93 + 5 </w:t>
            </w:r>
            <w:r w:rsidRPr="00C0286C">
              <w:rPr>
                <w:rFonts w:ascii="Arial" w:hAnsi="Arial"/>
                <w:sz w:val="18"/>
                <w:szCs w:val="18"/>
              </w:rPr>
              <w:t>μ</w:t>
            </w:r>
            <w:r w:rsidRPr="00C0286C">
              <w:rPr>
                <w:rFonts w:ascii="Arial" w:hAnsi="Arial"/>
                <w:sz w:val="18"/>
                <w:szCs w:val="18"/>
                <w:lang w:val="fr-FR"/>
              </w:rPr>
              <w:t>g GLA-SE</w:t>
            </w:r>
          </w:p>
        </w:tc>
        <w:tc>
          <w:tcPr>
            <w:tcW w:w="2254" w:type="dxa"/>
            <w:tcBorders>
              <w:top w:val="single" w:sz="8" w:space="0" w:color="auto"/>
              <w:left w:val="nil"/>
              <w:bottom w:val="single" w:sz="8" w:space="0" w:color="auto"/>
              <w:right w:val="single" w:sz="12" w:space="0" w:color="auto"/>
            </w:tcBorders>
            <w:tcMar>
              <w:top w:w="0" w:type="dxa"/>
              <w:left w:w="108" w:type="dxa"/>
              <w:bottom w:w="0" w:type="dxa"/>
              <w:right w:w="108" w:type="dxa"/>
            </w:tcMar>
          </w:tcPr>
          <w:p w14:paraId="65682D8C" w14:textId="77777777" w:rsidR="00292161" w:rsidRPr="00C0286C" w:rsidRDefault="00292161" w:rsidP="00B67553">
            <w:pPr>
              <w:pStyle w:val="Tabletext-C"/>
              <w:spacing w:line="276" w:lineRule="auto"/>
              <w:rPr>
                <w:rFonts w:ascii="Arial" w:hAnsi="Arial"/>
                <w:sz w:val="18"/>
                <w:szCs w:val="18"/>
              </w:rPr>
            </w:pPr>
            <w:r w:rsidRPr="00C0286C">
              <w:rPr>
                <w:rFonts w:ascii="Arial" w:hAnsi="Arial"/>
                <w:sz w:val="18"/>
                <w:szCs w:val="18"/>
              </w:rPr>
              <w:t>Day 0, Day 28, Day 56</w:t>
            </w:r>
          </w:p>
        </w:tc>
      </w:tr>
      <w:tr w:rsidR="00292161" w:rsidRPr="00C0286C" w14:paraId="737CC269" w14:textId="77777777" w:rsidTr="00292161">
        <w:trPr>
          <w:jc w:val="center"/>
        </w:trPr>
        <w:tc>
          <w:tcPr>
            <w:tcW w:w="1182" w:type="dxa"/>
            <w:vMerge/>
            <w:tcBorders>
              <w:left w:val="single" w:sz="12" w:space="0" w:color="auto"/>
              <w:bottom w:val="single" w:sz="12" w:space="0" w:color="auto"/>
              <w:right w:val="single" w:sz="8" w:space="0" w:color="auto"/>
            </w:tcBorders>
            <w:tcMar>
              <w:top w:w="0" w:type="dxa"/>
              <w:left w:w="108" w:type="dxa"/>
              <w:bottom w:w="0" w:type="dxa"/>
              <w:right w:w="108" w:type="dxa"/>
            </w:tcMar>
            <w:vAlign w:val="center"/>
            <w:hideMark/>
          </w:tcPr>
          <w:p w14:paraId="1AED4FA9" w14:textId="77777777" w:rsidR="00292161" w:rsidRPr="00C0286C" w:rsidRDefault="00292161" w:rsidP="00B67553">
            <w:pPr>
              <w:pStyle w:val="Tabletext-C"/>
              <w:spacing w:line="276" w:lineRule="auto"/>
              <w:rPr>
                <w:rFonts w:ascii="Arial" w:hAnsi="Arial"/>
                <w:sz w:val="18"/>
                <w:szCs w:val="18"/>
              </w:rPr>
            </w:pPr>
          </w:p>
        </w:tc>
        <w:tc>
          <w:tcPr>
            <w:tcW w:w="872" w:type="dxa"/>
            <w:tcBorders>
              <w:top w:val="nil"/>
              <w:left w:val="single" w:sz="4" w:space="0" w:color="auto"/>
              <w:bottom w:val="single" w:sz="12" w:space="0" w:color="auto"/>
              <w:right w:val="single" w:sz="4" w:space="0" w:color="auto"/>
            </w:tcBorders>
            <w:shd w:val="clear" w:color="auto" w:fill="auto"/>
          </w:tcPr>
          <w:p w14:paraId="1D15D67F" w14:textId="763886F3" w:rsidR="00292161" w:rsidRPr="00292161" w:rsidRDefault="00292161" w:rsidP="00B67553">
            <w:pPr>
              <w:pStyle w:val="Tabletext-C"/>
              <w:spacing w:line="276" w:lineRule="auto"/>
              <w:rPr>
                <w:rFonts w:ascii="Arial" w:hAnsi="Arial"/>
                <w:sz w:val="18"/>
                <w:szCs w:val="18"/>
              </w:rPr>
            </w:pPr>
            <w:r w:rsidRPr="00EE1857">
              <w:rPr>
                <w:rFonts w:ascii="Arial" w:hAnsi="Arial"/>
                <w:sz w:val="18"/>
                <w:szCs w:val="18"/>
              </w:rPr>
              <w:t>4</w:t>
            </w:r>
          </w:p>
        </w:tc>
        <w:tc>
          <w:tcPr>
            <w:tcW w:w="2788" w:type="dxa"/>
            <w:tcBorders>
              <w:top w:val="nil"/>
              <w:left w:val="single" w:sz="4" w:space="0" w:color="auto"/>
              <w:bottom w:val="single" w:sz="12" w:space="0" w:color="auto"/>
              <w:right w:val="single" w:sz="8" w:space="0" w:color="000000"/>
            </w:tcBorders>
            <w:tcMar>
              <w:top w:w="0" w:type="dxa"/>
              <w:left w:w="108" w:type="dxa"/>
              <w:bottom w:w="0" w:type="dxa"/>
              <w:right w:w="108" w:type="dxa"/>
            </w:tcMar>
            <w:hideMark/>
          </w:tcPr>
          <w:p w14:paraId="69D28047" w14:textId="77777777" w:rsidR="00292161" w:rsidRPr="00C0286C" w:rsidRDefault="00292161" w:rsidP="00B67553">
            <w:pPr>
              <w:pStyle w:val="Tabletext-C"/>
              <w:spacing w:line="276" w:lineRule="auto"/>
              <w:rPr>
                <w:rFonts w:ascii="Arial" w:hAnsi="Arial"/>
                <w:sz w:val="18"/>
                <w:szCs w:val="18"/>
              </w:rPr>
            </w:pPr>
            <w:r w:rsidRPr="00C0286C">
              <w:rPr>
                <w:rFonts w:ascii="Arial" w:hAnsi="Arial"/>
                <w:sz w:val="18"/>
                <w:szCs w:val="18"/>
              </w:rPr>
              <w:t>Saline placebo</w:t>
            </w:r>
          </w:p>
        </w:tc>
        <w:tc>
          <w:tcPr>
            <w:tcW w:w="2254" w:type="dxa"/>
            <w:tcBorders>
              <w:top w:val="nil"/>
              <w:left w:val="nil"/>
              <w:bottom w:val="single" w:sz="12" w:space="0" w:color="auto"/>
              <w:right w:val="single" w:sz="12" w:space="0" w:color="auto"/>
            </w:tcBorders>
            <w:tcMar>
              <w:top w:w="0" w:type="dxa"/>
              <w:left w:w="108" w:type="dxa"/>
              <w:bottom w:w="0" w:type="dxa"/>
              <w:right w:w="108" w:type="dxa"/>
            </w:tcMar>
            <w:hideMark/>
          </w:tcPr>
          <w:p w14:paraId="4B902232" w14:textId="77777777" w:rsidR="00292161" w:rsidRPr="00C0286C" w:rsidRDefault="00292161" w:rsidP="00B67553">
            <w:pPr>
              <w:pStyle w:val="Tabletext-C"/>
              <w:spacing w:line="276" w:lineRule="auto"/>
              <w:rPr>
                <w:rFonts w:ascii="Arial" w:hAnsi="Arial"/>
                <w:sz w:val="18"/>
                <w:szCs w:val="18"/>
              </w:rPr>
            </w:pPr>
            <w:r w:rsidRPr="00C0286C">
              <w:rPr>
                <w:rFonts w:ascii="Arial" w:hAnsi="Arial"/>
                <w:sz w:val="18"/>
                <w:szCs w:val="18"/>
              </w:rPr>
              <w:t>Day 0, Day 28, Day 56</w:t>
            </w:r>
          </w:p>
        </w:tc>
      </w:tr>
    </w:tbl>
    <w:p w14:paraId="249865B2" w14:textId="77777777" w:rsidR="00D206BD" w:rsidRPr="00025D36" w:rsidRDefault="00D206BD" w:rsidP="00D206BD">
      <w:pPr>
        <w:pStyle w:val="BodyText"/>
        <w:rPr>
          <w:sz w:val="20"/>
        </w:rPr>
      </w:pPr>
      <w:r w:rsidRPr="00025D36">
        <w:rPr>
          <w:sz w:val="20"/>
        </w:rPr>
        <w:t>*Saline placebo injection to be administered at Day 28 to retain blinding</w:t>
      </w:r>
      <w:r>
        <w:rPr>
          <w:sz w:val="20"/>
        </w:rPr>
        <w:t xml:space="preserve"> in Cohort 3</w:t>
      </w:r>
      <w:r w:rsidRPr="00025D36">
        <w:rPr>
          <w:sz w:val="20"/>
        </w:rPr>
        <w:t>.</w:t>
      </w:r>
    </w:p>
    <w:p w14:paraId="1DB09081" w14:textId="2B973C90" w:rsidR="0070279B" w:rsidRPr="000373E5" w:rsidRDefault="00366BDE" w:rsidP="000D3B48">
      <w:pPr>
        <w:pStyle w:val="BodyText"/>
      </w:pPr>
      <w:r w:rsidRPr="00AB5DB4">
        <w:rPr>
          <w:b/>
        </w:rPr>
        <w:t>Study follow-up</w:t>
      </w:r>
      <w:r w:rsidRPr="00AB5DB4">
        <w:t xml:space="preserve">: </w:t>
      </w:r>
      <w:r w:rsidR="005158D6" w:rsidRPr="00AB5DB4">
        <w:t>Each subject will be followed up for safety,</w:t>
      </w:r>
      <w:r w:rsidR="00194FDC" w:rsidRPr="00AB5DB4">
        <w:t xml:space="preserve"> immunogenicity, and recurrent TB disease </w:t>
      </w:r>
      <w:r w:rsidR="005158D6" w:rsidRPr="00AB5DB4">
        <w:t xml:space="preserve">outcomes for </w:t>
      </w:r>
      <w:r w:rsidR="00567485">
        <w:t>224</w:t>
      </w:r>
      <w:r w:rsidR="00F9362A">
        <w:t xml:space="preserve"> days</w:t>
      </w:r>
      <w:r w:rsidR="005158D6" w:rsidRPr="00AB5DB4">
        <w:t xml:space="preserve"> after the first study injection.</w:t>
      </w:r>
      <w:r w:rsidR="000D3B48" w:rsidRPr="00AB5DB4">
        <w:t xml:space="preserve"> </w:t>
      </w:r>
    </w:p>
    <w:p w14:paraId="62073B6B" w14:textId="439CFF10" w:rsidR="00366BDE" w:rsidRPr="007C35D9" w:rsidRDefault="00366BDE" w:rsidP="0070279B">
      <w:pPr>
        <w:pStyle w:val="HeadingLeft"/>
        <w:spacing w:before="180" w:after="180" w:line="276" w:lineRule="auto"/>
        <w:rPr>
          <w:rFonts w:ascii="Arial" w:hAnsi="Arial"/>
          <w:b w:val="0"/>
          <w:sz w:val="22"/>
          <w:szCs w:val="22"/>
        </w:rPr>
      </w:pPr>
      <w:r w:rsidRPr="007C35D9">
        <w:rPr>
          <w:rFonts w:ascii="Arial" w:hAnsi="Arial"/>
          <w:sz w:val="22"/>
          <w:szCs w:val="22"/>
        </w:rPr>
        <w:t>Statistical Considerations:</w:t>
      </w:r>
      <w:r w:rsidR="002C7697">
        <w:rPr>
          <w:rFonts w:ascii="Arial" w:hAnsi="Arial"/>
          <w:sz w:val="22"/>
          <w:szCs w:val="22"/>
        </w:rPr>
        <w:t xml:space="preserve"> </w:t>
      </w:r>
      <w:r w:rsidR="002C7697" w:rsidRPr="000F630A">
        <w:rPr>
          <w:rFonts w:ascii="Arial" w:hAnsi="Arial"/>
          <w:b w:val="0"/>
          <w:sz w:val="22"/>
          <w:szCs w:val="22"/>
        </w:rPr>
        <w:t xml:space="preserve">The sample size is based on what is </w:t>
      </w:r>
      <w:r w:rsidR="00F9362A">
        <w:rPr>
          <w:rFonts w:ascii="Arial" w:hAnsi="Arial"/>
          <w:b w:val="0"/>
          <w:sz w:val="22"/>
          <w:szCs w:val="22"/>
        </w:rPr>
        <w:t xml:space="preserve">deemed </w:t>
      </w:r>
      <w:r w:rsidR="002C7697" w:rsidRPr="000F630A">
        <w:rPr>
          <w:rFonts w:ascii="Arial" w:hAnsi="Arial"/>
          <w:b w:val="0"/>
          <w:sz w:val="22"/>
          <w:szCs w:val="22"/>
        </w:rPr>
        <w:t xml:space="preserve">reasonable for a </w:t>
      </w:r>
      <w:r w:rsidR="000F630A">
        <w:rPr>
          <w:rFonts w:ascii="Arial" w:hAnsi="Arial"/>
          <w:b w:val="0"/>
          <w:sz w:val="22"/>
          <w:szCs w:val="22"/>
        </w:rPr>
        <w:t>safety</w:t>
      </w:r>
      <w:r w:rsidR="002C7697">
        <w:rPr>
          <w:rFonts w:ascii="Arial" w:hAnsi="Arial"/>
          <w:b w:val="0"/>
          <w:sz w:val="22"/>
          <w:szCs w:val="22"/>
        </w:rPr>
        <w:t xml:space="preserve"> study</w:t>
      </w:r>
      <w:r w:rsidR="002C7697" w:rsidRPr="000F630A">
        <w:rPr>
          <w:rFonts w:ascii="Arial" w:hAnsi="Arial"/>
          <w:b w:val="0"/>
          <w:sz w:val="22"/>
          <w:szCs w:val="22"/>
        </w:rPr>
        <w:t xml:space="preserve"> </w:t>
      </w:r>
      <w:r w:rsidR="00F9362A">
        <w:rPr>
          <w:rFonts w:ascii="Arial" w:hAnsi="Arial"/>
          <w:b w:val="0"/>
          <w:sz w:val="22"/>
          <w:szCs w:val="22"/>
        </w:rPr>
        <w:t>to observe common adverse events</w:t>
      </w:r>
      <w:r w:rsidR="002C7697" w:rsidRPr="000F630A">
        <w:rPr>
          <w:rFonts w:ascii="Arial" w:hAnsi="Arial"/>
          <w:b w:val="0"/>
          <w:sz w:val="22"/>
          <w:szCs w:val="22"/>
        </w:rPr>
        <w:t xml:space="preserve">. The sample size will allow the Sponsor to define a safety profile for the </w:t>
      </w:r>
      <w:r w:rsidR="002C7697">
        <w:rPr>
          <w:rFonts w:ascii="Arial" w:hAnsi="Arial"/>
          <w:b w:val="0"/>
          <w:sz w:val="22"/>
          <w:szCs w:val="22"/>
        </w:rPr>
        <w:t>ID9</w:t>
      </w:r>
      <w:r w:rsidR="002C7697" w:rsidRPr="000F630A">
        <w:rPr>
          <w:rFonts w:ascii="Arial" w:hAnsi="Arial"/>
          <w:b w:val="0"/>
          <w:sz w:val="22"/>
          <w:szCs w:val="22"/>
        </w:rPr>
        <w:t xml:space="preserve">3 + </w:t>
      </w:r>
      <w:r w:rsidR="00926902">
        <w:rPr>
          <w:rFonts w:ascii="Arial" w:hAnsi="Arial"/>
          <w:b w:val="0"/>
          <w:sz w:val="22"/>
          <w:szCs w:val="22"/>
        </w:rPr>
        <w:t>G</w:t>
      </w:r>
      <w:r w:rsidR="002C7697" w:rsidRPr="000F630A">
        <w:rPr>
          <w:rFonts w:ascii="Arial" w:hAnsi="Arial"/>
          <w:b w:val="0"/>
          <w:sz w:val="22"/>
          <w:szCs w:val="22"/>
        </w:rPr>
        <w:t>LA-SE vaccine</w:t>
      </w:r>
      <w:r w:rsidR="00926902">
        <w:rPr>
          <w:rFonts w:ascii="Arial" w:hAnsi="Arial"/>
          <w:b w:val="0"/>
          <w:sz w:val="22"/>
          <w:szCs w:val="22"/>
        </w:rPr>
        <w:t xml:space="preserve"> in pulmonary TB patients</w:t>
      </w:r>
      <w:r w:rsidR="005B4655">
        <w:rPr>
          <w:rFonts w:ascii="Arial" w:hAnsi="Arial"/>
          <w:b w:val="0"/>
          <w:sz w:val="22"/>
          <w:szCs w:val="22"/>
        </w:rPr>
        <w:t xml:space="preserve"> upon completion of treatment</w:t>
      </w:r>
      <w:r w:rsidR="002C7697" w:rsidRPr="000F630A">
        <w:rPr>
          <w:rFonts w:ascii="Arial" w:hAnsi="Arial"/>
          <w:b w:val="0"/>
          <w:sz w:val="22"/>
          <w:szCs w:val="22"/>
        </w:rPr>
        <w:t>, and to evaluate immunogenicity specific to the vaccine</w:t>
      </w:r>
      <w:r w:rsidR="005B4655">
        <w:rPr>
          <w:rFonts w:ascii="Arial" w:hAnsi="Arial"/>
          <w:b w:val="0"/>
          <w:sz w:val="22"/>
          <w:szCs w:val="22"/>
        </w:rPr>
        <w:t xml:space="preserve"> </w:t>
      </w:r>
      <w:r w:rsidR="004F660B">
        <w:rPr>
          <w:rFonts w:ascii="Arial" w:hAnsi="Arial"/>
          <w:b w:val="0"/>
          <w:sz w:val="22"/>
          <w:szCs w:val="22"/>
        </w:rPr>
        <w:t xml:space="preserve">following one, two or three injections </w:t>
      </w:r>
      <w:r w:rsidR="005B4655">
        <w:rPr>
          <w:rFonts w:ascii="Arial" w:hAnsi="Arial"/>
          <w:b w:val="0"/>
          <w:sz w:val="22"/>
          <w:szCs w:val="22"/>
        </w:rPr>
        <w:t>in this study population</w:t>
      </w:r>
      <w:r w:rsidR="002C7697" w:rsidRPr="000F630A">
        <w:rPr>
          <w:rFonts w:ascii="Arial" w:hAnsi="Arial"/>
          <w:b w:val="0"/>
          <w:sz w:val="22"/>
          <w:szCs w:val="22"/>
        </w:rPr>
        <w:t>.</w:t>
      </w:r>
      <w:r w:rsidR="00A775E0" w:rsidRPr="002C7697">
        <w:rPr>
          <w:rFonts w:ascii="Arial" w:hAnsi="Arial"/>
          <w:b w:val="0"/>
          <w:bCs/>
          <w:iCs/>
          <w:sz w:val="22"/>
          <w:szCs w:val="22"/>
        </w:rPr>
        <w:t xml:space="preserve"> </w:t>
      </w:r>
    </w:p>
    <w:p w14:paraId="58B9252D" w14:textId="62F69D53" w:rsidR="00F43682" w:rsidRPr="0040275E" w:rsidRDefault="00F43682" w:rsidP="0040275E">
      <w:pPr>
        <w:pStyle w:val="Heading1"/>
      </w:pPr>
      <w:bookmarkStart w:id="13" w:name="_Toc42588958"/>
      <w:bookmarkStart w:id="14" w:name="_Toc53202799"/>
      <w:bookmarkStart w:id="15" w:name="_Toc389129938"/>
      <w:bookmarkStart w:id="16" w:name="_Toc440906239"/>
      <w:r w:rsidRPr="0040275E">
        <w:t>Key Roles</w:t>
      </w:r>
      <w:bookmarkEnd w:id="13"/>
      <w:bookmarkEnd w:id="14"/>
      <w:bookmarkEnd w:id="15"/>
      <w:bookmarkEnd w:id="16"/>
    </w:p>
    <w:tbl>
      <w:tblPr>
        <w:tblW w:w="9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3"/>
        <w:gridCol w:w="6810"/>
      </w:tblGrid>
      <w:tr w:rsidR="00AE5841" w:rsidRPr="00AE5841" w14:paraId="7B9F65D4" w14:textId="77777777" w:rsidTr="00AE5841">
        <w:trPr>
          <w:trHeight w:val="1049"/>
        </w:trPr>
        <w:tc>
          <w:tcPr>
            <w:tcW w:w="2376" w:type="dxa"/>
            <w:tcBorders>
              <w:top w:val="nil"/>
              <w:left w:val="nil"/>
              <w:bottom w:val="nil"/>
              <w:right w:val="nil"/>
            </w:tcBorders>
          </w:tcPr>
          <w:p w14:paraId="4141DF19" w14:textId="77777777" w:rsidR="00AE5841" w:rsidRPr="00AE5841" w:rsidRDefault="00AE5841" w:rsidP="00AE5841">
            <w:pPr>
              <w:pStyle w:val="BodyText"/>
              <w:rPr>
                <w:b/>
                <w:iCs/>
              </w:rPr>
            </w:pPr>
            <w:r w:rsidRPr="00AE5841">
              <w:rPr>
                <w:b/>
                <w:iCs/>
              </w:rPr>
              <w:t>Study Sites:</w:t>
            </w:r>
          </w:p>
          <w:p w14:paraId="171896E7" w14:textId="77777777" w:rsidR="00AE5841" w:rsidRPr="00AE5841" w:rsidRDefault="00AE5841" w:rsidP="00AE5841">
            <w:pPr>
              <w:pStyle w:val="BodyText"/>
              <w:rPr>
                <w:b/>
                <w:iCs/>
              </w:rPr>
            </w:pPr>
          </w:p>
          <w:p w14:paraId="2561E713" w14:textId="77777777" w:rsidR="00AE5841" w:rsidRPr="00AE5841" w:rsidRDefault="00AE5841" w:rsidP="00AE5841">
            <w:pPr>
              <w:pStyle w:val="BodyText"/>
              <w:rPr>
                <w:b/>
                <w:iCs/>
              </w:rPr>
            </w:pPr>
          </w:p>
          <w:p w14:paraId="43F81834" w14:textId="77777777" w:rsidR="00AE5841" w:rsidRDefault="00AE5841" w:rsidP="00AE5841">
            <w:pPr>
              <w:pStyle w:val="BodyText"/>
              <w:rPr>
                <w:b/>
                <w:iCs/>
              </w:rPr>
            </w:pPr>
          </w:p>
          <w:p w14:paraId="1FC55C35" w14:textId="77777777" w:rsidR="00AE5841" w:rsidRPr="00AE5841" w:rsidRDefault="00AE5841" w:rsidP="00AE5841">
            <w:pPr>
              <w:pStyle w:val="BodyText"/>
              <w:rPr>
                <w:b/>
                <w:iCs/>
              </w:rPr>
            </w:pPr>
          </w:p>
        </w:tc>
        <w:tc>
          <w:tcPr>
            <w:tcW w:w="7227" w:type="dxa"/>
            <w:tcBorders>
              <w:top w:val="nil"/>
              <w:left w:val="nil"/>
              <w:bottom w:val="nil"/>
              <w:right w:val="nil"/>
            </w:tcBorders>
            <w:shd w:val="clear" w:color="auto" w:fill="auto"/>
          </w:tcPr>
          <w:p w14:paraId="4FD88576" w14:textId="03823EA3" w:rsidR="00AE5841" w:rsidRPr="00AE5841" w:rsidRDefault="00AE5841" w:rsidP="00AE5841">
            <w:pPr>
              <w:pStyle w:val="BodyText"/>
              <w:rPr>
                <w:bCs/>
                <w:iCs/>
              </w:rPr>
            </w:pPr>
            <w:r w:rsidRPr="00AE5841">
              <w:rPr>
                <w:bCs/>
                <w:iCs/>
              </w:rPr>
              <w:t xml:space="preserve">South African Tuberculosis Vaccine Initiative (SATVI), University of Cape Town (UCT), South Africa </w:t>
            </w:r>
          </w:p>
          <w:p w14:paraId="47441C86" w14:textId="36A99815" w:rsidR="00AE5841" w:rsidRPr="00AE5841" w:rsidRDefault="00AE5841" w:rsidP="00AE5841">
            <w:pPr>
              <w:pStyle w:val="BodyText"/>
              <w:rPr>
                <w:bCs/>
                <w:iCs/>
              </w:rPr>
            </w:pPr>
            <w:r w:rsidRPr="00AE5841">
              <w:rPr>
                <w:bCs/>
                <w:iCs/>
              </w:rPr>
              <w:t>Desmond Tutu HIV Centre (DTHC), University of Cape Town (UCT), South Africa</w:t>
            </w:r>
          </w:p>
          <w:p w14:paraId="1B072191" w14:textId="67C64852" w:rsidR="00AE5841" w:rsidRPr="00AE5841" w:rsidRDefault="005F0F23" w:rsidP="0038687D">
            <w:pPr>
              <w:pStyle w:val="BodyText"/>
              <w:rPr>
                <w:b/>
                <w:bCs/>
                <w:iCs/>
              </w:rPr>
            </w:pPr>
            <w:r>
              <w:rPr>
                <w:bCs/>
                <w:iCs/>
              </w:rPr>
              <w:t>TASK Applied Science (TASK), Cape Town</w:t>
            </w:r>
            <w:r w:rsidR="00AE5841" w:rsidRPr="00AE5841">
              <w:rPr>
                <w:bCs/>
                <w:iCs/>
              </w:rPr>
              <w:t>, South Africa</w:t>
            </w:r>
          </w:p>
        </w:tc>
      </w:tr>
      <w:tr w:rsidR="00EE636C" w:rsidRPr="00EE636C" w14:paraId="511EDCA4" w14:textId="77777777" w:rsidTr="00AE5841">
        <w:trPr>
          <w:trHeight w:val="1049"/>
        </w:trPr>
        <w:tc>
          <w:tcPr>
            <w:tcW w:w="2376" w:type="dxa"/>
            <w:tcBorders>
              <w:top w:val="nil"/>
              <w:left w:val="nil"/>
              <w:bottom w:val="nil"/>
              <w:right w:val="nil"/>
            </w:tcBorders>
          </w:tcPr>
          <w:p w14:paraId="7DAB1F82" w14:textId="4F821205" w:rsidR="00EE636C" w:rsidRPr="00EE636C" w:rsidRDefault="00EE636C" w:rsidP="00EE636C">
            <w:pPr>
              <w:pStyle w:val="BodyText"/>
              <w:tabs>
                <w:tab w:val="left" w:pos="1440"/>
              </w:tabs>
              <w:ind w:left="1440" w:hanging="1440"/>
              <w:rPr>
                <w:b/>
                <w:iCs/>
              </w:rPr>
            </w:pPr>
            <w:r>
              <w:rPr>
                <w:b/>
                <w:iCs/>
              </w:rPr>
              <w:t xml:space="preserve">Site </w:t>
            </w:r>
            <w:r w:rsidRPr="00EE636C">
              <w:rPr>
                <w:b/>
                <w:iCs/>
              </w:rPr>
              <w:t>Personnel:</w:t>
            </w:r>
          </w:p>
        </w:tc>
        <w:tc>
          <w:tcPr>
            <w:tcW w:w="7227" w:type="dxa"/>
            <w:tcBorders>
              <w:top w:val="nil"/>
              <w:left w:val="nil"/>
              <w:bottom w:val="nil"/>
              <w:right w:val="nil"/>
            </w:tcBorders>
          </w:tcPr>
          <w:p w14:paraId="28E4B703" w14:textId="0D574E17" w:rsidR="00EE636C" w:rsidRPr="00EE636C" w:rsidRDefault="00AE5841" w:rsidP="00EE636C">
            <w:pPr>
              <w:pStyle w:val="BodyText"/>
              <w:tabs>
                <w:tab w:val="left" w:pos="1440"/>
              </w:tabs>
              <w:ind w:left="1440" w:hanging="1440"/>
              <w:rPr>
                <w:b/>
                <w:bCs/>
                <w:iCs/>
              </w:rPr>
            </w:pPr>
            <w:r>
              <w:rPr>
                <w:b/>
                <w:bCs/>
                <w:iCs/>
              </w:rPr>
              <w:t>SATVI</w:t>
            </w:r>
          </w:p>
          <w:p w14:paraId="783E5436" w14:textId="26796CD2" w:rsidR="00EE636C" w:rsidRPr="00EE636C" w:rsidRDefault="00EE636C" w:rsidP="00EE636C">
            <w:pPr>
              <w:pStyle w:val="BodyText"/>
              <w:tabs>
                <w:tab w:val="left" w:pos="1440"/>
              </w:tabs>
              <w:ind w:left="1440" w:hanging="1440"/>
              <w:rPr>
                <w:bCs/>
                <w:iCs/>
              </w:rPr>
            </w:pPr>
            <w:r w:rsidRPr="00EE636C">
              <w:rPr>
                <w:bCs/>
                <w:iCs/>
              </w:rPr>
              <w:t>Mark Hatherill, MD (</w:t>
            </w:r>
            <w:r w:rsidR="00AD6C1B">
              <w:rPr>
                <w:bCs/>
                <w:iCs/>
              </w:rPr>
              <w:t xml:space="preserve">National </w:t>
            </w:r>
            <w:r w:rsidRPr="00EE636C">
              <w:rPr>
                <w:bCs/>
                <w:iCs/>
              </w:rPr>
              <w:t>PI)</w:t>
            </w:r>
          </w:p>
          <w:p w14:paraId="66DC5410" w14:textId="77777777" w:rsidR="00EE636C" w:rsidRPr="00EE636C" w:rsidRDefault="00EE636C" w:rsidP="00EE636C">
            <w:pPr>
              <w:pStyle w:val="BodyText"/>
              <w:tabs>
                <w:tab w:val="left" w:pos="1440"/>
              </w:tabs>
              <w:ind w:left="1440" w:hanging="1440"/>
              <w:rPr>
                <w:bCs/>
                <w:iCs/>
              </w:rPr>
            </w:pPr>
            <w:r w:rsidRPr="00EE636C">
              <w:rPr>
                <w:bCs/>
                <w:iCs/>
              </w:rPr>
              <w:t>Thomas Jens Scriba, PhD (Deputy Director, Immunology)</w:t>
            </w:r>
          </w:p>
          <w:p w14:paraId="503EBEF9" w14:textId="1F2514C4" w:rsidR="00EE636C" w:rsidRPr="00EE636C" w:rsidRDefault="00AE5841" w:rsidP="00EE636C">
            <w:pPr>
              <w:pStyle w:val="BodyText"/>
              <w:tabs>
                <w:tab w:val="left" w:pos="1440"/>
              </w:tabs>
              <w:ind w:left="1440" w:hanging="1440"/>
              <w:rPr>
                <w:bCs/>
                <w:iCs/>
              </w:rPr>
            </w:pPr>
            <w:r>
              <w:rPr>
                <w:bCs/>
                <w:iCs/>
              </w:rPr>
              <w:t>Angelique Kany Kany Luabeya</w:t>
            </w:r>
            <w:r w:rsidR="00EE636C" w:rsidRPr="00EE636C">
              <w:rPr>
                <w:bCs/>
                <w:iCs/>
              </w:rPr>
              <w:t>, M</w:t>
            </w:r>
            <w:r w:rsidR="0038687D">
              <w:rPr>
                <w:bCs/>
                <w:iCs/>
              </w:rPr>
              <w:t>D</w:t>
            </w:r>
            <w:r w:rsidR="00EE636C" w:rsidRPr="00EE636C">
              <w:rPr>
                <w:bCs/>
                <w:iCs/>
              </w:rPr>
              <w:t xml:space="preserve"> (Site PI)</w:t>
            </w:r>
          </w:p>
          <w:p w14:paraId="1231291B" w14:textId="567A2D9E" w:rsidR="00EE636C" w:rsidRPr="00EE636C" w:rsidRDefault="00AE5841" w:rsidP="00EE636C">
            <w:pPr>
              <w:pStyle w:val="BodyText"/>
              <w:tabs>
                <w:tab w:val="left" w:pos="1440"/>
              </w:tabs>
              <w:ind w:left="1440" w:hanging="1440"/>
              <w:rPr>
                <w:b/>
                <w:bCs/>
                <w:iCs/>
              </w:rPr>
            </w:pPr>
            <w:r>
              <w:rPr>
                <w:b/>
                <w:bCs/>
                <w:iCs/>
              </w:rPr>
              <w:t>DTHC</w:t>
            </w:r>
          </w:p>
          <w:p w14:paraId="1967DF0B" w14:textId="014E4521" w:rsidR="00EE636C" w:rsidRPr="00EE636C" w:rsidRDefault="00EE636C" w:rsidP="00EE636C">
            <w:pPr>
              <w:pStyle w:val="BodyText"/>
              <w:tabs>
                <w:tab w:val="left" w:pos="1440"/>
              </w:tabs>
              <w:ind w:left="1440" w:hanging="1440"/>
              <w:rPr>
                <w:bCs/>
                <w:iCs/>
              </w:rPr>
            </w:pPr>
            <w:r w:rsidRPr="00EE636C">
              <w:rPr>
                <w:iCs/>
              </w:rPr>
              <w:t xml:space="preserve">Linda-Gail Bekker, </w:t>
            </w:r>
            <w:r w:rsidRPr="00EE636C">
              <w:rPr>
                <w:bCs/>
                <w:iCs/>
              </w:rPr>
              <w:t>PhD (Site PI)</w:t>
            </w:r>
          </w:p>
          <w:p w14:paraId="74CA052D" w14:textId="3CD15E96" w:rsidR="00344CAF" w:rsidRDefault="00344CAF" w:rsidP="00344CAF">
            <w:pPr>
              <w:pStyle w:val="BodyText"/>
              <w:tabs>
                <w:tab w:val="left" w:pos="1440"/>
              </w:tabs>
              <w:ind w:left="1440" w:hanging="1440"/>
              <w:rPr>
                <w:bCs/>
                <w:iCs/>
              </w:rPr>
            </w:pPr>
            <w:r>
              <w:rPr>
                <w:b/>
                <w:bCs/>
                <w:iCs/>
              </w:rPr>
              <w:t>TASK</w:t>
            </w:r>
            <w:r w:rsidRPr="00EE636C">
              <w:rPr>
                <w:bCs/>
                <w:iCs/>
              </w:rPr>
              <w:t xml:space="preserve"> </w:t>
            </w:r>
          </w:p>
          <w:p w14:paraId="6417FB60" w14:textId="77777777" w:rsidR="005F0F23" w:rsidRDefault="00344CAF" w:rsidP="00344CAF">
            <w:pPr>
              <w:pStyle w:val="BodyText"/>
              <w:tabs>
                <w:tab w:val="left" w:pos="1440"/>
              </w:tabs>
              <w:ind w:left="1440" w:hanging="1440"/>
              <w:rPr>
                <w:bCs/>
                <w:iCs/>
              </w:rPr>
            </w:pPr>
            <w:r>
              <w:rPr>
                <w:bCs/>
                <w:iCs/>
              </w:rPr>
              <w:t>Andreas Diacon, MD (</w:t>
            </w:r>
            <w:r w:rsidRPr="00EE636C">
              <w:rPr>
                <w:bCs/>
                <w:iCs/>
              </w:rPr>
              <w:t>Site PI</w:t>
            </w:r>
            <w:r>
              <w:rPr>
                <w:bCs/>
                <w:iCs/>
              </w:rPr>
              <w:t>)</w:t>
            </w:r>
          </w:p>
          <w:p w14:paraId="181AA454" w14:textId="32BEC5FA" w:rsidR="00AE5841" w:rsidRPr="00EE636C" w:rsidRDefault="00AE5841" w:rsidP="00344CAF">
            <w:pPr>
              <w:pStyle w:val="BodyText"/>
              <w:tabs>
                <w:tab w:val="left" w:pos="1440"/>
              </w:tabs>
              <w:ind w:left="1440" w:hanging="1440"/>
              <w:rPr>
                <w:bCs/>
                <w:iCs/>
              </w:rPr>
            </w:pPr>
          </w:p>
        </w:tc>
      </w:tr>
      <w:tr w:rsidR="00EE636C" w:rsidRPr="00EE636C" w14:paraId="2E325DEA" w14:textId="77777777" w:rsidTr="00AE5841">
        <w:trPr>
          <w:trHeight w:val="360"/>
        </w:trPr>
        <w:tc>
          <w:tcPr>
            <w:tcW w:w="2376" w:type="dxa"/>
            <w:tcBorders>
              <w:top w:val="nil"/>
              <w:left w:val="nil"/>
              <w:bottom w:val="nil"/>
              <w:right w:val="nil"/>
            </w:tcBorders>
          </w:tcPr>
          <w:p w14:paraId="28036D46" w14:textId="77777777" w:rsidR="00EE636C" w:rsidRPr="00EE636C" w:rsidRDefault="00EE636C" w:rsidP="00EE636C">
            <w:pPr>
              <w:pStyle w:val="BodyText"/>
              <w:tabs>
                <w:tab w:val="left" w:pos="1440"/>
              </w:tabs>
              <w:ind w:left="1440" w:hanging="1440"/>
              <w:rPr>
                <w:b/>
                <w:iCs/>
              </w:rPr>
            </w:pPr>
            <w:r w:rsidRPr="00EE636C">
              <w:rPr>
                <w:b/>
                <w:iCs/>
              </w:rPr>
              <w:t>Sponsor:</w:t>
            </w:r>
          </w:p>
        </w:tc>
        <w:tc>
          <w:tcPr>
            <w:tcW w:w="7227" w:type="dxa"/>
            <w:tcBorders>
              <w:top w:val="nil"/>
              <w:left w:val="nil"/>
              <w:bottom w:val="nil"/>
              <w:right w:val="nil"/>
            </w:tcBorders>
          </w:tcPr>
          <w:p w14:paraId="2683ED46" w14:textId="77777777" w:rsidR="00EE636C" w:rsidRPr="00AE5841" w:rsidRDefault="00EE636C" w:rsidP="00EE636C">
            <w:pPr>
              <w:pStyle w:val="BodyText"/>
              <w:tabs>
                <w:tab w:val="left" w:pos="1440"/>
              </w:tabs>
              <w:ind w:left="1440" w:hanging="1440"/>
              <w:rPr>
                <w:b/>
                <w:bCs/>
                <w:iCs/>
              </w:rPr>
            </w:pPr>
            <w:r w:rsidRPr="00AE5841">
              <w:rPr>
                <w:b/>
                <w:bCs/>
                <w:iCs/>
              </w:rPr>
              <w:t>Infectious Disease Research Institute (IDRI)</w:t>
            </w:r>
          </w:p>
        </w:tc>
      </w:tr>
      <w:tr w:rsidR="00EE636C" w:rsidRPr="00EE636C" w14:paraId="7FC0567F" w14:textId="77777777" w:rsidTr="00AE5841">
        <w:trPr>
          <w:trHeight w:val="588"/>
        </w:trPr>
        <w:tc>
          <w:tcPr>
            <w:tcW w:w="2376" w:type="dxa"/>
            <w:tcBorders>
              <w:top w:val="nil"/>
              <w:left w:val="nil"/>
              <w:bottom w:val="nil"/>
              <w:right w:val="nil"/>
            </w:tcBorders>
          </w:tcPr>
          <w:p w14:paraId="5D49986C" w14:textId="615AB886" w:rsidR="00EE636C" w:rsidRPr="00EE636C" w:rsidRDefault="00EE636C" w:rsidP="00EE636C">
            <w:pPr>
              <w:pStyle w:val="BodyText"/>
              <w:tabs>
                <w:tab w:val="left" w:pos="1440"/>
              </w:tabs>
              <w:ind w:left="1440" w:hanging="1440"/>
              <w:rPr>
                <w:b/>
                <w:iCs/>
              </w:rPr>
            </w:pPr>
            <w:r>
              <w:rPr>
                <w:b/>
                <w:iCs/>
              </w:rPr>
              <w:t xml:space="preserve">Sponsor </w:t>
            </w:r>
            <w:r w:rsidRPr="00EE636C">
              <w:rPr>
                <w:b/>
                <w:iCs/>
              </w:rPr>
              <w:t>Personnel:</w:t>
            </w:r>
          </w:p>
        </w:tc>
        <w:tc>
          <w:tcPr>
            <w:tcW w:w="7227" w:type="dxa"/>
            <w:tcBorders>
              <w:top w:val="nil"/>
              <w:left w:val="nil"/>
              <w:bottom w:val="nil"/>
              <w:right w:val="nil"/>
            </w:tcBorders>
          </w:tcPr>
          <w:p w14:paraId="41B59345" w14:textId="77777777" w:rsidR="00EE636C" w:rsidRPr="00EE636C" w:rsidRDefault="00EE636C" w:rsidP="00EE636C">
            <w:pPr>
              <w:pStyle w:val="BodyText"/>
              <w:tabs>
                <w:tab w:val="left" w:pos="1440"/>
              </w:tabs>
              <w:ind w:left="1440" w:hanging="1440"/>
              <w:rPr>
                <w:bCs/>
                <w:iCs/>
              </w:rPr>
            </w:pPr>
            <w:r w:rsidRPr="00EE636C">
              <w:rPr>
                <w:bCs/>
                <w:iCs/>
              </w:rPr>
              <w:t>Rhea Coler, PhD (Clinical Immunology Director)</w:t>
            </w:r>
          </w:p>
          <w:p w14:paraId="462075D7" w14:textId="77777777" w:rsidR="00EE636C" w:rsidRPr="00EE636C" w:rsidRDefault="00EE636C" w:rsidP="00EE636C">
            <w:pPr>
              <w:pStyle w:val="BodyText"/>
              <w:tabs>
                <w:tab w:val="left" w:pos="1440"/>
              </w:tabs>
              <w:ind w:left="1440" w:hanging="1440"/>
              <w:rPr>
                <w:bCs/>
                <w:iCs/>
              </w:rPr>
            </w:pPr>
            <w:r w:rsidRPr="00EE636C">
              <w:rPr>
                <w:bCs/>
                <w:iCs/>
              </w:rPr>
              <w:t>Anna Marie Beckmann, PhD (Project/Regulatory Director)</w:t>
            </w:r>
          </w:p>
          <w:p w14:paraId="1EDD80B7" w14:textId="3C4102A2" w:rsidR="00EE636C" w:rsidRPr="00EE636C" w:rsidRDefault="00EE636C" w:rsidP="00EE636C">
            <w:pPr>
              <w:pStyle w:val="BodyText"/>
              <w:tabs>
                <w:tab w:val="left" w:pos="1440"/>
              </w:tabs>
              <w:ind w:left="1440" w:hanging="1440"/>
              <w:rPr>
                <w:bCs/>
                <w:iCs/>
              </w:rPr>
            </w:pPr>
            <w:r w:rsidRPr="00EE636C">
              <w:rPr>
                <w:bCs/>
                <w:iCs/>
              </w:rPr>
              <w:t xml:space="preserve">Stuart Kahn, MD (Medical </w:t>
            </w:r>
            <w:r w:rsidR="00CF63E5">
              <w:rPr>
                <w:bCs/>
                <w:iCs/>
              </w:rPr>
              <w:t>Advisor</w:t>
            </w:r>
            <w:r w:rsidRPr="00EE636C">
              <w:rPr>
                <w:bCs/>
                <w:iCs/>
              </w:rPr>
              <w:t>)</w:t>
            </w:r>
          </w:p>
          <w:p w14:paraId="6DDF9CB3" w14:textId="329FA9D9" w:rsidR="00EE636C" w:rsidRDefault="00EE636C" w:rsidP="00EE636C">
            <w:pPr>
              <w:pStyle w:val="BodyText"/>
              <w:tabs>
                <w:tab w:val="left" w:pos="1440"/>
              </w:tabs>
              <w:ind w:left="1440" w:hanging="1440"/>
              <w:rPr>
                <w:bCs/>
                <w:iCs/>
              </w:rPr>
            </w:pPr>
            <w:r w:rsidRPr="00EE636C">
              <w:rPr>
                <w:bCs/>
                <w:iCs/>
              </w:rPr>
              <w:t>Jill Ashman, MS (Project Manager)</w:t>
            </w:r>
          </w:p>
          <w:p w14:paraId="340204EA" w14:textId="1E96722E" w:rsidR="00BB71FF" w:rsidRPr="00EE636C" w:rsidRDefault="00BB71FF" w:rsidP="00EE636C">
            <w:pPr>
              <w:pStyle w:val="BodyText"/>
              <w:tabs>
                <w:tab w:val="left" w:pos="1440"/>
              </w:tabs>
              <w:ind w:left="1440" w:hanging="1440"/>
              <w:rPr>
                <w:bCs/>
                <w:iCs/>
              </w:rPr>
            </w:pPr>
            <w:r>
              <w:rPr>
                <w:bCs/>
                <w:iCs/>
              </w:rPr>
              <w:t>Aude Frevol, RN, PMP (Project Coordinator)</w:t>
            </w:r>
          </w:p>
          <w:p w14:paraId="368B68AD" w14:textId="77777777" w:rsidR="00EE636C" w:rsidRPr="00EE636C" w:rsidRDefault="00EE636C" w:rsidP="00EE636C">
            <w:pPr>
              <w:pStyle w:val="BodyText"/>
              <w:tabs>
                <w:tab w:val="left" w:pos="1440"/>
              </w:tabs>
              <w:ind w:left="1440" w:hanging="1440"/>
              <w:rPr>
                <w:bCs/>
                <w:iCs/>
              </w:rPr>
            </w:pPr>
            <w:r w:rsidRPr="00EE636C">
              <w:rPr>
                <w:bCs/>
                <w:iCs/>
              </w:rPr>
              <w:t>Zachary Sagawa, MS (Regulatory Specialist)</w:t>
            </w:r>
          </w:p>
          <w:p w14:paraId="118A3FDA" w14:textId="230B4532" w:rsidR="00EE636C" w:rsidRPr="00EE636C" w:rsidRDefault="00712E0D" w:rsidP="00DC4A71">
            <w:pPr>
              <w:pStyle w:val="BodyText"/>
              <w:tabs>
                <w:tab w:val="left" w:pos="1440"/>
              </w:tabs>
              <w:ind w:left="1440" w:hanging="1440"/>
              <w:rPr>
                <w:bCs/>
                <w:iCs/>
              </w:rPr>
            </w:pPr>
            <w:r>
              <w:rPr>
                <w:bCs/>
                <w:iCs/>
              </w:rPr>
              <w:t>Tracey Day</w:t>
            </w:r>
            <w:r w:rsidR="00EE636C" w:rsidRPr="00EE636C">
              <w:rPr>
                <w:bCs/>
                <w:iCs/>
              </w:rPr>
              <w:t>, PhD (Clinical Immunology Coordinator)</w:t>
            </w:r>
            <w:r w:rsidR="00DC4A71" w:rsidRPr="00EE636C">
              <w:rPr>
                <w:bCs/>
                <w:iCs/>
              </w:rPr>
              <w:t xml:space="preserve"> </w:t>
            </w:r>
          </w:p>
        </w:tc>
      </w:tr>
    </w:tbl>
    <w:p w14:paraId="5F5F1D3E" w14:textId="77777777" w:rsidR="00F43682" w:rsidRDefault="00F43682" w:rsidP="00DC4A71">
      <w:pPr>
        <w:pStyle w:val="Heading1"/>
      </w:pPr>
      <w:bookmarkStart w:id="17" w:name="_Toc42588959"/>
      <w:bookmarkStart w:id="18" w:name="_Toc53202800"/>
      <w:bookmarkStart w:id="19" w:name="_Toc389129939"/>
      <w:bookmarkStart w:id="20" w:name="_Toc440906240"/>
      <w:r>
        <w:t>Background Information and Scientific Rationale</w:t>
      </w:r>
      <w:bookmarkEnd w:id="17"/>
      <w:bookmarkEnd w:id="18"/>
      <w:bookmarkEnd w:id="19"/>
      <w:bookmarkEnd w:id="20"/>
    </w:p>
    <w:p w14:paraId="5EF1C03E" w14:textId="77777777" w:rsidR="00F43682" w:rsidRDefault="00F43682">
      <w:pPr>
        <w:pStyle w:val="Heading2"/>
      </w:pPr>
      <w:bookmarkStart w:id="21" w:name="_Toc42588960"/>
      <w:bookmarkStart w:id="22" w:name="_Toc53202801"/>
      <w:bookmarkStart w:id="23" w:name="_Toc389129940"/>
      <w:bookmarkStart w:id="24" w:name="_Toc440906241"/>
      <w:r>
        <w:t>Background Information</w:t>
      </w:r>
      <w:bookmarkEnd w:id="21"/>
      <w:bookmarkEnd w:id="22"/>
      <w:bookmarkEnd w:id="23"/>
      <w:bookmarkEnd w:id="24"/>
    </w:p>
    <w:p w14:paraId="57B543D2" w14:textId="2EA5B0C5" w:rsidR="00D465C3" w:rsidRPr="00072B81" w:rsidRDefault="002F7D89" w:rsidP="00072B81">
      <w:pPr>
        <w:autoSpaceDE w:val="0"/>
        <w:autoSpaceDN w:val="0"/>
        <w:adjustRightInd w:val="0"/>
        <w:spacing w:before="180" w:after="180" w:line="276" w:lineRule="auto"/>
        <w:rPr>
          <w:rFonts w:cs="Arial"/>
          <w:color w:val="000000"/>
          <w:szCs w:val="22"/>
        </w:rPr>
      </w:pPr>
      <w:r w:rsidRPr="00072B81">
        <w:rPr>
          <w:rFonts w:cs="Arial"/>
          <w:color w:val="000000"/>
          <w:szCs w:val="22"/>
        </w:rPr>
        <w:t xml:space="preserve">IDRI has developed a tetravalent candidate </w:t>
      </w:r>
      <w:r w:rsidR="008C555F">
        <w:rPr>
          <w:rFonts w:cs="Arial"/>
          <w:color w:val="000000"/>
          <w:szCs w:val="22"/>
        </w:rPr>
        <w:t>tuberculosis (</w:t>
      </w:r>
      <w:r w:rsidRPr="00072B81">
        <w:rPr>
          <w:rFonts w:cs="Arial"/>
          <w:color w:val="000000"/>
          <w:szCs w:val="22"/>
        </w:rPr>
        <w:t>TB</w:t>
      </w:r>
      <w:r w:rsidR="008C555F">
        <w:rPr>
          <w:rFonts w:cs="Arial"/>
          <w:color w:val="000000"/>
          <w:szCs w:val="22"/>
        </w:rPr>
        <w:t>)</w:t>
      </w:r>
      <w:r w:rsidRPr="00072B81">
        <w:rPr>
          <w:rFonts w:cs="Arial"/>
          <w:color w:val="000000"/>
          <w:szCs w:val="22"/>
        </w:rPr>
        <w:t xml:space="preserve"> vaccine antigen, ID93, formulated in a synthetic nano-emulsion adjuvant, GLA-SE. Prophylactic immunization with </w:t>
      </w:r>
      <w:r w:rsidR="00072B81" w:rsidRPr="00072B81">
        <w:rPr>
          <w:rFonts w:cs="Arial"/>
          <w:color w:val="000000"/>
          <w:szCs w:val="22"/>
        </w:rPr>
        <w:t>ID93 + GLA-SE</w:t>
      </w:r>
      <w:r w:rsidRPr="00072B81">
        <w:rPr>
          <w:rFonts w:cs="Arial"/>
          <w:color w:val="000000"/>
          <w:szCs w:val="22"/>
        </w:rPr>
        <w:t xml:space="preserve"> limited experimental infection of both drug-sensitive and drug-resistant </w:t>
      </w:r>
      <w:r w:rsidR="008C555F" w:rsidRPr="00941387">
        <w:rPr>
          <w:rFonts w:cs="Arial"/>
          <w:i/>
          <w:color w:val="000000"/>
          <w:szCs w:val="22"/>
        </w:rPr>
        <w:t>Mycobacterium tuberculosis</w:t>
      </w:r>
      <w:r w:rsidR="008C555F" w:rsidRPr="00CB6C59">
        <w:rPr>
          <w:rFonts w:cs="Arial"/>
          <w:color w:val="000000"/>
          <w:szCs w:val="22"/>
        </w:rPr>
        <w:t xml:space="preserve"> </w:t>
      </w:r>
      <w:r w:rsidR="008C555F" w:rsidRPr="007428CA">
        <w:rPr>
          <w:rFonts w:cs="Arial"/>
          <w:color w:val="000000"/>
          <w:szCs w:val="22"/>
        </w:rPr>
        <w:t>(</w:t>
      </w:r>
      <w:r w:rsidR="00E90D64" w:rsidRPr="007428CA">
        <w:rPr>
          <w:rFonts w:cs="Arial"/>
          <w:color w:val="000000"/>
          <w:szCs w:val="22"/>
        </w:rPr>
        <w:t>Mtb</w:t>
      </w:r>
      <w:r w:rsidR="008C555F" w:rsidRPr="007428CA">
        <w:rPr>
          <w:rFonts w:cs="Arial"/>
          <w:color w:val="000000"/>
          <w:szCs w:val="22"/>
        </w:rPr>
        <w:t>)</w:t>
      </w:r>
      <w:r w:rsidR="00E90D64" w:rsidRPr="00E90D64">
        <w:rPr>
          <w:rFonts w:cs="Arial"/>
          <w:i/>
          <w:color w:val="000000"/>
          <w:szCs w:val="22"/>
        </w:rPr>
        <w:t xml:space="preserve"> </w:t>
      </w:r>
      <w:r w:rsidRPr="00072B81">
        <w:rPr>
          <w:rFonts w:cs="Arial"/>
          <w:color w:val="000000"/>
          <w:szCs w:val="22"/>
        </w:rPr>
        <w:t xml:space="preserve">in both mice and guinea pig models. </w:t>
      </w:r>
      <w:r w:rsidR="008C555F">
        <w:rPr>
          <w:rFonts w:cs="Arial"/>
          <w:color w:val="000000"/>
          <w:szCs w:val="22"/>
        </w:rPr>
        <w:t>T</w:t>
      </w:r>
      <w:r w:rsidRPr="00072B81">
        <w:rPr>
          <w:rFonts w:cs="Arial"/>
          <w:color w:val="000000"/>
          <w:szCs w:val="22"/>
        </w:rPr>
        <w:t xml:space="preserve">herapeutic immunization with </w:t>
      </w:r>
      <w:r w:rsidR="00072B81" w:rsidRPr="00072B81">
        <w:rPr>
          <w:rFonts w:cs="Arial"/>
          <w:color w:val="000000"/>
          <w:szCs w:val="22"/>
        </w:rPr>
        <w:t>ID93 + GLA-SE</w:t>
      </w:r>
      <w:r w:rsidRPr="00072B81">
        <w:rPr>
          <w:rFonts w:cs="Arial"/>
          <w:color w:val="000000"/>
          <w:szCs w:val="22"/>
        </w:rPr>
        <w:t xml:space="preserve"> </w:t>
      </w:r>
      <w:r w:rsidR="008C555F">
        <w:rPr>
          <w:rFonts w:cs="Arial"/>
          <w:color w:val="000000"/>
          <w:szCs w:val="22"/>
        </w:rPr>
        <w:t>shortened</w:t>
      </w:r>
      <w:r w:rsidRPr="00072B81">
        <w:rPr>
          <w:rFonts w:cs="Arial"/>
          <w:color w:val="000000"/>
          <w:szCs w:val="22"/>
        </w:rPr>
        <w:t xml:space="preserve"> the course of </w:t>
      </w:r>
      <w:r w:rsidR="00E90D64" w:rsidRPr="00007815">
        <w:rPr>
          <w:rFonts w:cs="Arial"/>
          <w:color w:val="000000"/>
          <w:szCs w:val="22"/>
        </w:rPr>
        <w:t xml:space="preserve">Mtb </w:t>
      </w:r>
      <w:r w:rsidRPr="00007815">
        <w:rPr>
          <w:rFonts w:cs="Arial"/>
          <w:color w:val="000000"/>
          <w:szCs w:val="22"/>
        </w:rPr>
        <w:t>i</w:t>
      </w:r>
      <w:r w:rsidRPr="00072B81">
        <w:rPr>
          <w:rFonts w:cs="Arial"/>
          <w:color w:val="000000"/>
          <w:szCs w:val="22"/>
        </w:rPr>
        <w:t xml:space="preserve">nfection when administered in combination with existing first-line chemotherapeutics rifampicin (RIF) and isoniazid (INH). </w:t>
      </w:r>
      <w:r w:rsidR="008C555F">
        <w:rPr>
          <w:rFonts w:cs="Arial"/>
          <w:color w:val="000000"/>
          <w:szCs w:val="22"/>
        </w:rPr>
        <w:t>T</w:t>
      </w:r>
      <w:r w:rsidRPr="00072B81">
        <w:rPr>
          <w:rFonts w:cs="Arial"/>
          <w:color w:val="000000"/>
          <w:szCs w:val="22"/>
        </w:rPr>
        <w:t xml:space="preserve">hese studies used a mouse model of fatal TB as well as the established cynomolgus monkey model in studies that combined </w:t>
      </w:r>
      <w:r w:rsidR="00072B81" w:rsidRPr="00072B81">
        <w:rPr>
          <w:rFonts w:cs="Arial"/>
          <w:color w:val="000000"/>
          <w:szCs w:val="22"/>
        </w:rPr>
        <w:t>ID93 + GLA-SE</w:t>
      </w:r>
      <w:r w:rsidRPr="00072B81">
        <w:rPr>
          <w:rFonts w:cs="Arial"/>
          <w:color w:val="000000"/>
          <w:szCs w:val="22"/>
        </w:rPr>
        <w:t xml:space="preserve"> with the standard antibiotic chemotherapy (i.e., an immuno-chemotherapeutic strategy). In addition to demonstrating excellent safety profiles, this combined approach reduced the duration of conventional chemotherapy required for survival, induced robust and durable multifunctional antigen-specific </w:t>
      </w:r>
      <w:r w:rsidR="008C555F" w:rsidRPr="00072B81">
        <w:rPr>
          <w:rFonts w:cs="Arial"/>
          <w:color w:val="000000"/>
          <w:szCs w:val="22"/>
        </w:rPr>
        <w:t>T</w:t>
      </w:r>
      <w:r w:rsidR="008C555F">
        <w:rPr>
          <w:rFonts w:cs="Arial"/>
          <w:color w:val="000000"/>
          <w:szCs w:val="22"/>
        </w:rPr>
        <w:t>h</w:t>
      </w:r>
      <w:r w:rsidRPr="00072B81">
        <w:rPr>
          <w:rFonts w:cs="Arial"/>
          <w:color w:val="000000"/>
          <w:szCs w:val="22"/>
        </w:rPr>
        <w:t xml:space="preserve">1 cells, decreased bacterial burden, and decreased </w:t>
      </w:r>
      <w:r w:rsidR="00E90D64" w:rsidRPr="00007815">
        <w:rPr>
          <w:rFonts w:cs="Arial"/>
          <w:color w:val="000000"/>
          <w:szCs w:val="22"/>
        </w:rPr>
        <w:t>Mtb</w:t>
      </w:r>
      <w:r w:rsidRPr="00072B81">
        <w:rPr>
          <w:rFonts w:cs="Arial"/>
          <w:color w:val="000000"/>
          <w:szCs w:val="22"/>
        </w:rPr>
        <w:t xml:space="preserve">-induced lung pathology, as compared to animals receiving chemotherapy alone. </w:t>
      </w:r>
    </w:p>
    <w:p w14:paraId="7C65DA15" w14:textId="00A4633C" w:rsidR="002F7D89" w:rsidRDefault="008C555F" w:rsidP="00072B81">
      <w:pPr>
        <w:autoSpaceDE w:val="0"/>
        <w:autoSpaceDN w:val="0"/>
        <w:adjustRightInd w:val="0"/>
        <w:spacing w:before="180" w:after="180" w:line="276" w:lineRule="auto"/>
        <w:rPr>
          <w:rFonts w:cs="Arial"/>
          <w:szCs w:val="22"/>
        </w:rPr>
      </w:pPr>
      <w:r>
        <w:rPr>
          <w:rFonts w:cs="Arial"/>
          <w:color w:val="000000"/>
          <w:szCs w:val="22"/>
        </w:rPr>
        <w:t>These</w:t>
      </w:r>
      <w:r w:rsidRPr="00072B81">
        <w:rPr>
          <w:rFonts w:cs="Arial"/>
          <w:color w:val="000000"/>
          <w:szCs w:val="22"/>
        </w:rPr>
        <w:t xml:space="preserve"> </w:t>
      </w:r>
      <w:r w:rsidR="002F7D89" w:rsidRPr="00072B81">
        <w:rPr>
          <w:rFonts w:cs="Arial"/>
          <w:color w:val="000000"/>
          <w:szCs w:val="22"/>
        </w:rPr>
        <w:t xml:space="preserve">results </w:t>
      </w:r>
      <w:r w:rsidR="00194FDC" w:rsidRPr="00072B81">
        <w:rPr>
          <w:rFonts w:cs="Arial"/>
          <w:color w:val="000000"/>
          <w:szCs w:val="22"/>
        </w:rPr>
        <w:t xml:space="preserve">have </w:t>
      </w:r>
      <w:r w:rsidR="002F7D89" w:rsidRPr="00072B81">
        <w:rPr>
          <w:rFonts w:cs="Arial"/>
          <w:color w:val="000000"/>
          <w:szCs w:val="22"/>
        </w:rPr>
        <w:t>demonstrate</w:t>
      </w:r>
      <w:r w:rsidR="00194FDC" w:rsidRPr="00072B81">
        <w:rPr>
          <w:rFonts w:cs="Arial"/>
          <w:color w:val="000000"/>
          <w:szCs w:val="22"/>
        </w:rPr>
        <w:t>d</w:t>
      </w:r>
      <w:r w:rsidR="002F7D89" w:rsidRPr="00072B81">
        <w:rPr>
          <w:rFonts w:cs="Arial"/>
          <w:color w:val="000000"/>
          <w:szCs w:val="22"/>
        </w:rPr>
        <w:t xml:space="preserve"> the ability of </w:t>
      </w:r>
      <w:r w:rsidR="002F7D89" w:rsidRPr="00723123">
        <w:rPr>
          <w:rFonts w:cs="Arial"/>
          <w:color w:val="000000"/>
          <w:szCs w:val="22"/>
        </w:rPr>
        <w:t>therapeutic immunization to</w:t>
      </w:r>
      <w:r w:rsidR="002F7D89" w:rsidRPr="00072B81">
        <w:rPr>
          <w:rFonts w:cs="Arial"/>
          <w:color w:val="000000"/>
          <w:szCs w:val="22"/>
        </w:rPr>
        <w:t xml:space="preserve"> significantly enhance the efficacy of chemotherapy against TB, with implications for reduced treatment times, </w:t>
      </w:r>
      <w:r w:rsidR="00194FDC" w:rsidRPr="00072B81">
        <w:rPr>
          <w:rFonts w:cs="Arial"/>
          <w:color w:val="000000"/>
          <w:szCs w:val="22"/>
        </w:rPr>
        <w:t xml:space="preserve">lower </w:t>
      </w:r>
      <w:r w:rsidR="002F7D89" w:rsidRPr="00072B81">
        <w:rPr>
          <w:rFonts w:cs="Arial"/>
          <w:color w:val="000000"/>
          <w:szCs w:val="22"/>
        </w:rPr>
        <w:t xml:space="preserve">recurrence rates and </w:t>
      </w:r>
      <w:r w:rsidR="00194FDC" w:rsidRPr="00072B81">
        <w:rPr>
          <w:rFonts w:cs="Arial"/>
          <w:color w:val="000000"/>
          <w:szCs w:val="22"/>
        </w:rPr>
        <w:t xml:space="preserve">reduced </w:t>
      </w:r>
      <w:r w:rsidR="002F7D89" w:rsidRPr="00072B81">
        <w:rPr>
          <w:rFonts w:cs="Arial"/>
          <w:color w:val="000000"/>
          <w:szCs w:val="22"/>
        </w:rPr>
        <w:t xml:space="preserve">transmission to new patients, as well as expanded resource </w:t>
      </w:r>
      <w:r w:rsidR="002F7D89" w:rsidRPr="00072B81">
        <w:rPr>
          <w:rFonts w:cs="Arial"/>
          <w:szCs w:val="22"/>
        </w:rPr>
        <w:t xml:space="preserve">allocation. </w:t>
      </w:r>
      <w:r w:rsidR="00072B81" w:rsidRPr="00072B81">
        <w:rPr>
          <w:rFonts w:cs="Arial"/>
          <w:szCs w:val="22"/>
        </w:rPr>
        <w:t>ID93 + GLA-SE</w:t>
      </w:r>
      <w:r w:rsidR="002F7D89" w:rsidRPr="00072B81">
        <w:rPr>
          <w:rFonts w:cs="Arial"/>
          <w:szCs w:val="22"/>
        </w:rPr>
        <w:t xml:space="preserve"> is currently in </w:t>
      </w:r>
      <w:r w:rsidR="00F42DB9">
        <w:rPr>
          <w:rFonts w:cs="Arial"/>
          <w:szCs w:val="22"/>
        </w:rPr>
        <w:t>Phase 1</w:t>
      </w:r>
      <w:r w:rsidR="002F7D89" w:rsidRPr="00072B81">
        <w:rPr>
          <w:rFonts w:cs="Arial"/>
          <w:szCs w:val="22"/>
        </w:rPr>
        <w:t xml:space="preserve"> testing; preliminary results in</w:t>
      </w:r>
      <w:r w:rsidR="00194FDC" w:rsidRPr="00072B81">
        <w:rPr>
          <w:rFonts w:cs="Arial"/>
          <w:szCs w:val="22"/>
        </w:rPr>
        <w:t xml:space="preserve">dicate that it is safe and well </w:t>
      </w:r>
      <w:r w:rsidR="002F7D89" w:rsidRPr="00072B81">
        <w:rPr>
          <w:rFonts w:cs="Arial"/>
          <w:szCs w:val="22"/>
        </w:rPr>
        <w:t xml:space="preserve">tolerated in </w:t>
      </w:r>
      <w:r w:rsidR="00926902">
        <w:rPr>
          <w:rFonts w:cs="Arial"/>
          <w:szCs w:val="22"/>
        </w:rPr>
        <w:t xml:space="preserve">both </w:t>
      </w:r>
      <w:r w:rsidR="002F7D89" w:rsidRPr="00072B81">
        <w:rPr>
          <w:rFonts w:cs="Arial"/>
          <w:szCs w:val="22"/>
        </w:rPr>
        <w:t>BCG naïve</w:t>
      </w:r>
      <w:r w:rsidR="00926902">
        <w:rPr>
          <w:rFonts w:cs="Arial"/>
          <w:szCs w:val="22"/>
        </w:rPr>
        <w:t xml:space="preserve"> and BCG immunized</w:t>
      </w:r>
      <w:r w:rsidR="002F7D89" w:rsidRPr="00072B81">
        <w:rPr>
          <w:rFonts w:cs="Arial"/>
          <w:szCs w:val="22"/>
        </w:rPr>
        <w:t>, TB-negative volunteers.</w:t>
      </w:r>
    </w:p>
    <w:p w14:paraId="6A9E75D0" w14:textId="665C240E" w:rsidR="002C6058" w:rsidRDefault="002C6058" w:rsidP="009E0AB3">
      <w:pPr>
        <w:pStyle w:val="Heading3"/>
      </w:pPr>
      <w:bookmarkStart w:id="25" w:name="_Toc389129941"/>
      <w:bookmarkStart w:id="26" w:name="_Toc440906242"/>
      <w:r>
        <w:t>Preclinical Data for ID93 + GLA-SE</w:t>
      </w:r>
      <w:bookmarkEnd w:id="25"/>
      <w:bookmarkEnd w:id="26"/>
    </w:p>
    <w:p w14:paraId="55E19CB6" w14:textId="0525F857" w:rsidR="00001E6D" w:rsidRPr="000150FF" w:rsidRDefault="00001E6D" w:rsidP="00007815">
      <w:pPr>
        <w:widowControl w:val="0"/>
        <w:autoSpaceDE w:val="0"/>
        <w:autoSpaceDN w:val="0"/>
        <w:adjustRightInd w:val="0"/>
        <w:spacing w:before="120" w:after="120" w:line="276" w:lineRule="auto"/>
        <w:rPr>
          <w:rFonts w:cs="Arial"/>
          <w:szCs w:val="22"/>
        </w:rPr>
      </w:pPr>
      <w:r w:rsidRPr="000150FF">
        <w:rPr>
          <w:rFonts w:cs="Arial"/>
          <w:szCs w:val="22"/>
        </w:rPr>
        <w:t xml:space="preserve">Multiple preclinical studies in human cells, mice, guinea pigs, non-human primates, and </w:t>
      </w:r>
      <w:r w:rsidR="008C555F">
        <w:rPr>
          <w:rFonts w:cs="Arial"/>
          <w:szCs w:val="22"/>
        </w:rPr>
        <w:t xml:space="preserve">a </w:t>
      </w:r>
      <w:r w:rsidRPr="000150FF">
        <w:rPr>
          <w:rFonts w:cs="Arial"/>
          <w:szCs w:val="22"/>
        </w:rPr>
        <w:t>GLP</w:t>
      </w:r>
      <w:r w:rsidR="000150FF">
        <w:rPr>
          <w:rFonts w:cs="Arial"/>
          <w:szCs w:val="22"/>
        </w:rPr>
        <w:t xml:space="preserve"> </w:t>
      </w:r>
      <w:r w:rsidRPr="000150FF">
        <w:rPr>
          <w:rFonts w:cs="Arial"/>
          <w:szCs w:val="22"/>
        </w:rPr>
        <w:t xml:space="preserve">toxicity </w:t>
      </w:r>
      <w:r w:rsidR="008C555F" w:rsidRPr="000150FF">
        <w:rPr>
          <w:rFonts w:cs="Arial"/>
          <w:szCs w:val="22"/>
        </w:rPr>
        <w:t>stud</w:t>
      </w:r>
      <w:r w:rsidR="008C555F">
        <w:rPr>
          <w:rFonts w:cs="Arial"/>
          <w:szCs w:val="22"/>
        </w:rPr>
        <w:t>y</w:t>
      </w:r>
      <w:r w:rsidR="008C555F" w:rsidRPr="000150FF">
        <w:rPr>
          <w:rFonts w:cs="Arial"/>
          <w:szCs w:val="22"/>
        </w:rPr>
        <w:t xml:space="preserve"> </w:t>
      </w:r>
      <w:r w:rsidRPr="000150FF">
        <w:rPr>
          <w:rFonts w:cs="Arial"/>
          <w:szCs w:val="22"/>
        </w:rPr>
        <w:t>in rabbits have demonstrated the safety and immunogenicity of ID93 + GLA-SE</w:t>
      </w:r>
      <w:r w:rsidR="000150FF">
        <w:rPr>
          <w:rFonts w:cs="Arial"/>
          <w:szCs w:val="22"/>
        </w:rPr>
        <w:t xml:space="preserve"> </w:t>
      </w:r>
      <w:r w:rsidR="000150FF" w:rsidRPr="00587C6A">
        <w:rPr>
          <w:rFonts w:cs="Arial"/>
          <w:szCs w:val="22"/>
        </w:rPr>
        <w:t>(see Investigator</w:t>
      </w:r>
      <w:r w:rsidR="008C555F">
        <w:rPr>
          <w:rFonts w:cs="Arial"/>
          <w:szCs w:val="22"/>
        </w:rPr>
        <w:t>’s</w:t>
      </w:r>
      <w:r w:rsidR="000150FF" w:rsidRPr="00587C6A">
        <w:rPr>
          <w:rFonts w:cs="Arial"/>
          <w:szCs w:val="22"/>
        </w:rPr>
        <w:t xml:space="preserve"> Brochure)</w:t>
      </w:r>
      <w:r w:rsidRPr="000150FF">
        <w:rPr>
          <w:rFonts w:cs="Arial"/>
          <w:szCs w:val="22"/>
        </w:rPr>
        <w:t>.</w:t>
      </w:r>
    </w:p>
    <w:p w14:paraId="774ACC83" w14:textId="138D5318" w:rsidR="00001E6D" w:rsidRDefault="00001E6D" w:rsidP="00007815">
      <w:pPr>
        <w:widowControl w:val="0"/>
        <w:autoSpaceDE w:val="0"/>
        <w:autoSpaceDN w:val="0"/>
        <w:adjustRightInd w:val="0"/>
        <w:spacing w:before="120" w:after="120" w:line="276" w:lineRule="auto"/>
        <w:rPr>
          <w:rFonts w:cs="Arial"/>
          <w:szCs w:val="22"/>
        </w:rPr>
      </w:pPr>
      <w:r w:rsidRPr="000150FF">
        <w:rPr>
          <w:rFonts w:cs="Arial"/>
          <w:szCs w:val="22"/>
        </w:rPr>
        <w:t xml:space="preserve">ID93 elicits a cytokine response in </w:t>
      </w:r>
      <w:r w:rsidRPr="00587C6A">
        <w:rPr>
          <w:rFonts w:cs="Arial"/>
          <w:i/>
          <w:szCs w:val="22"/>
        </w:rPr>
        <w:t>ex vivo</w:t>
      </w:r>
      <w:r w:rsidRPr="000150FF">
        <w:rPr>
          <w:rFonts w:cs="Arial"/>
          <w:szCs w:val="22"/>
        </w:rPr>
        <w:t xml:space="preserve"> assays of peripheral blood mononuclear cells (PBMC) from humans with prior exposure to </w:t>
      </w:r>
      <w:r w:rsidR="00E90D64" w:rsidRPr="00007815">
        <w:rPr>
          <w:rFonts w:cs="Arial"/>
          <w:szCs w:val="22"/>
        </w:rPr>
        <w:t>Mtb</w:t>
      </w:r>
      <w:r w:rsidR="00725327">
        <w:rPr>
          <w:rFonts w:cs="Arial"/>
          <w:i/>
          <w:szCs w:val="22"/>
        </w:rPr>
        <w:t xml:space="preserve"> </w:t>
      </w:r>
      <w:r w:rsidRPr="000150FF">
        <w:rPr>
          <w:rFonts w:cs="Arial"/>
          <w:szCs w:val="22"/>
        </w:rPr>
        <w:t xml:space="preserve">or Bacille Calmette-Guérin (BCG), a childhood TB vaccine made of attenuated </w:t>
      </w:r>
      <w:r w:rsidRPr="00587C6A">
        <w:rPr>
          <w:rFonts w:cs="Arial"/>
          <w:i/>
          <w:szCs w:val="22"/>
        </w:rPr>
        <w:t>M. bovis</w:t>
      </w:r>
      <w:r w:rsidRPr="000150FF">
        <w:rPr>
          <w:rFonts w:cs="Arial"/>
          <w:szCs w:val="22"/>
        </w:rPr>
        <w:t>, indicating it has relevant antigenic qualities.</w:t>
      </w:r>
    </w:p>
    <w:p w14:paraId="71307993" w14:textId="0CE9BA1C" w:rsidR="00001E6D" w:rsidRDefault="00001E6D" w:rsidP="00007815">
      <w:pPr>
        <w:widowControl w:val="0"/>
        <w:autoSpaceDE w:val="0"/>
        <w:autoSpaceDN w:val="0"/>
        <w:adjustRightInd w:val="0"/>
        <w:spacing w:before="120" w:after="120" w:line="276" w:lineRule="auto"/>
        <w:rPr>
          <w:rFonts w:cs="Arial"/>
          <w:szCs w:val="22"/>
        </w:rPr>
      </w:pPr>
      <w:r w:rsidRPr="000150FF">
        <w:rPr>
          <w:rFonts w:cs="Arial"/>
          <w:szCs w:val="22"/>
        </w:rPr>
        <w:t>Mice</w:t>
      </w:r>
      <w:r w:rsidR="000150FF">
        <w:rPr>
          <w:rFonts w:cs="Arial"/>
          <w:szCs w:val="22"/>
        </w:rPr>
        <w:t xml:space="preserve"> immunized with the ID93 + GLA</w:t>
      </w:r>
      <w:r w:rsidR="008C555F">
        <w:rPr>
          <w:rFonts w:cs="Arial"/>
          <w:szCs w:val="22"/>
        </w:rPr>
        <w:t>-SE</w:t>
      </w:r>
      <w:r w:rsidRPr="000150FF">
        <w:rPr>
          <w:rFonts w:cs="Arial"/>
          <w:szCs w:val="22"/>
        </w:rPr>
        <w:t xml:space="preserve"> vaccine candidate displayed antigen-specific</w:t>
      </w:r>
      <w:r w:rsidR="00E624FD">
        <w:rPr>
          <w:rFonts w:cs="Arial"/>
          <w:szCs w:val="22"/>
        </w:rPr>
        <w:t xml:space="preserve"> </w:t>
      </w:r>
      <w:r w:rsidRPr="000150FF">
        <w:rPr>
          <w:rFonts w:cs="Arial"/>
          <w:szCs w:val="22"/>
        </w:rPr>
        <w:t>Th1-type immune responses</w:t>
      </w:r>
      <w:r w:rsidR="000150FF">
        <w:rPr>
          <w:rFonts w:cs="Arial"/>
          <w:szCs w:val="22"/>
        </w:rPr>
        <w:t>,</w:t>
      </w:r>
      <w:r w:rsidRPr="000150FF">
        <w:rPr>
          <w:rFonts w:cs="Arial"/>
          <w:szCs w:val="22"/>
        </w:rPr>
        <w:t xml:space="preserve"> characterized by high antigen-specific IgG levels and robust</w:t>
      </w:r>
      <w:r w:rsidR="000150FF">
        <w:rPr>
          <w:rFonts w:cs="Arial"/>
          <w:szCs w:val="22"/>
        </w:rPr>
        <w:t xml:space="preserve"> </w:t>
      </w:r>
      <w:r w:rsidRPr="000150FF">
        <w:rPr>
          <w:rFonts w:cs="Arial"/>
          <w:szCs w:val="22"/>
        </w:rPr>
        <w:t>production of pro-inflammat</w:t>
      </w:r>
      <w:r w:rsidR="00546B91">
        <w:rPr>
          <w:rFonts w:cs="Arial"/>
          <w:szCs w:val="22"/>
        </w:rPr>
        <w:t>ory cytokines by restimulated T-</w:t>
      </w:r>
      <w:r w:rsidRPr="000150FF">
        <w:rPr>
          <w:rFonts w:cs="Arial"/>
          <w:szCs w:val="22"/>
        </w:rPr>
        <w:t>cells. A high proportion of the</w:t>
      </w:r>
      <w:r w:rsidR="00E624FD">
        <w:rPr>
          <w:rFonts w:cs="Arial"/>
          <w:szCs w:val="22"/>
        </w:rPr>
        <w:t xml:space="preserve"> </w:t>
      </w:r>
      <w:r w:rsidRPr="000150FF">
        <w:rPr>
          <w:rFonts w:cs="Arial"/>
          <w:szCs w:val="22"/>
        </w:rPr>
        <w:t>ID93-specific T</w:t>
      </w:r>
      <w:r w:rsidR="00546B91">
        <w:rPr>
          <w:rFonts w:cs="Arial"/>
          <w:szCs w:val="22"/>
        </w:rPr>
        <w:t>-</w:t>
      </w:r>
      <w:r w:rsidRPr="000150FF">
        <w:rPr>
          <w:rFonts w:cs="Arial"/>
          <w:szCs w:val="22"/>
        </w:rPr>
        <w:t>cells are polyfunctional, producing the Th1 cytokines IL-2, IFN-γ, and TNF</w:t>
      </w:r>
      <w:r w:rsidR="00E624FD">
        <w:rPr>
          <w:rFonts w:cs="Arial"/>
          <w:szCs w:val="22"/>
        </w:rPr>
        <w:t xml:space="preserve"> </w:t>
      </w:r>
      <w:r w:rsidRPr="000150FF">
        <w:rPr>
          <w:rFonts w:cs="Arial"/>
          <w:szCs w:val="22"/>
        </w:rPr>
        <w:t xml:space="preserve">rather than the Th2 cytokines IL-5, IL-10, and/or IL-17. Upon challenge with </w:t>
      </w:r>
      <w:r w:rsidR="00E90D64" w:rsidRPr="00007815">
        <w:rPr>
          <w:rFonts w:cs="Arial"/>
          <w:szCs w:val="22"/>
        </w:rPr>
        <w:t>Mtb</w:t>
      </w:r>
      <w:r w:rsidRPr="000150FF">
        <w:rPr>
          <w:rFonts w:cs="Arial"/>
          <w:szCs w:val="22"/>
        </w:rPr>
        <w:t>, mice</w:t>
      </w:r>
      <w:r w:rsidR="00E624FD">
        <w:rPr>
          <w:rFonts w:cs="Arial"/>
          <w:szCs w:val="22"/>
        </w:rPr>
        <w:t xml:space="preserve"> </w:t>
      </w:r>
      <w:r w:rsidRPr="000150FF">
        <w:rPr>
          <w:rFonts w:cs="Arial"/>
          <w:szCs w:val="22"/>
        </w:rPr>
        <w:t>immunized with ID93 + GLA</w:t>
      </w:r>
      <w:r w:rsidR="008C555F">
        <w:rPr>
          <w:rFonts w:cs="Arial"/>
          <w:szCs w:val="22"/>
        </w:rPr>
        <w:t>-SE</w:t>
      </w:r>
      <w:r w:rsidRPr="000150FF">
        <w:rPr>
          <w:rFonts w:cs="Arial"/>
          <w:szCs w:val="22"/>
        </w:rPr>
        <w:t xml:space="preserve"> showed significantly lower bacterial</w:t>
      </w:r>
      <w:r w:rsidR="00E624FD">
        <w:rPr>
          <w:rFonts w:cs="Arial"/>
          <w:szCs w:val="22"/>
        </w:rPr>
        <w:t xml:space="preserve"> </w:t>
      </w:r>
      <w:r w:rsidRPr="000150FF">
        <w:rPr>
          <w:rFonts w:cs="Arial"/>
          <w:szCs w:val="22"/>
        </w:rPr>
        <w:t>burdens in lungs and/or spleens compared with mice injected with saline, antigen alone, or</w:t>
      </w:r>
      <w:r w:rsidR="00E624FD">
        <w:rPr>
          <w:rFonts w:cs="Arial"/>
          <w:szCs w:val="22"/>
        </w:rPr>
        <w:t xml:space="preserve"> </w:t>
      </w:r>
      <w:r w:rsidRPr="000150FF">
        <w:rPr>
          <w:rFonts w:cs="Arial"/>
          <w:szCs w:val="22"/>
        </w:rPr>
        <w:t>adjuvant alone. Analysis of lung cellular infiltrates showed that vaccinated animals responded to</w:t>
      </w:r>
      <w:r w:rsidR="00E624FD">
        <w:rPr>
          <w:rFonts w:cs="Arial"/>
          <w:szCs w:val="22"/>
        </w:rPr>
        <w:t xml:space="preserve"> </w:t>
      </w:r>
      <w:r w:rsidRPr="000150FF">
        <w:rPr>
          <w:rFonts w:cs="Arial"/>
          <w:szCs w:val="22"/>
        </w:rPr>
        <w:t xml:space="preserve">challenge with </w:t>
      </w:r>
      <w:r w:rsidR="00E90D64" w:rsidRPr="00007815">
        <w:rPr>
          <w:rFonts w:cs="Arial"/>
          <w:szCs w:val="22"/>
        </w:rPr>
        <w:t>Mtb</w:t>
      </w:r>
      <w:r w:rsidR="00007815">
        <w:rPr>
          <w:rFonts w:cs="Arial"/>
          <w:szCs w:val="22"/>
        </w:rPr>
        <w:t xml:space="preserve"> </w:t>
      </w:r>
      <w:r w:rsidRPr="000150FF">
        <w:rPr>
          <w:rFonts w:cs="Arial"/>
          <w:szCs w:val="22"/>
        </w:rPr>
        <w:t>with a greater proportion of CD4 T</w:t>
      </w:r>
      <w:r w:rsidR="00546B91">
        <w:rPr>
          <w:rFonts w:cs="Arial"/>
          <w:szCs w:val="22"/>
        </w:rPr>
        <w:t>-</w:t>
      </w:r>
      <w:r w:rsidRPr="000150FF">
        <w:rPr>
          <w:rFonts w:cs="Arial"/>
          <w:szCs w:val="22"/>
        </w:rPr>
        <w:t>cells expressing both IFN-γ and TNF,</w:t>
      </w:r>
      <w:r w:rsidR="00E624FD">
        <w:rPr>
          <w:rFonts w:cs="Arial"/>
          <w:szCs w:val="22"/>
        </w:rPr>
        <w:t xml:space="preserve"> </w:t>
      </w:r>
      <w:r w:rsidRPr="000150FF">
        <w:rPr>
          <w:rFonts w:cs="Arial"/>
          <w:szCs w:val="22"/>
        </w:rPr>
        <w:t>relative to controls. There were no safety issues noted.</w:t>
      </w:r>
    </w:p>
    <w:p w14:paraId="4D37554F" w14:textId="4492A9A0" w:rsidR="00001E6D" w:rsidRPr="000150FF" w:rsidRDefault="00001E6D" w:rsidP="00007815">
      <w:pPr>
        <w:widowControl w:val="0"/>
        <w:autoSpaceDE w:val="0"/>
        <w:autoSpaceDN w:val="0"/>
        <w:adjustRightInd w:val="0"/>
        <w:spacing w:before="120" w:after="120" w:line="276" w:lineRule="auto"/>
        <w:rPr>
          <w:rFonts w:cs="Arial"/>
          <w:szCs w:val="22"/>
        </w:rPr>
      </w:pPr>
      <w:r w:rsidRPr="000150FF">
        <w:rPr>
          <w:rFonts w:cs="Arial"/>
          <w:szCs w:val="22"/>
        </w:rPr>
        <w:t>The ID93 + GLA-SE vaccine candidate was evaluated in both naïve and BCG-exposed guinea</w:t>
      </w:r>
      <w:r w:rsidR="001B3435">
        <w:rPr>
          <w:rFonts w:cs="Arial"/>
          <w:szCs w:val="22"/>
        </w:rPr>
        <w:t xml:space="preserve"> </w:t>
      </w:r>
      <w:r w:rsidRPr="000150FF">
        <w:rPr>
          <w:rFonts w:cs="Arial"/>
          <w:szCs w:val="22"/>
        </w:rPr>
        <w:t>pigs. In these animals, the vaccine induced increased antibody levels, ID93-specific Th1</w:t>
      </w:r>
      <w:r w:rsidR="00E624FD">
        <w:rPr>
          <w:rFonts w:cs="Arial"/>
          <w:szCs w:val="22"/>
        </w:rPr>
        <w:t xml:space="preserve"> </w:t>
      </w:r>
      <w:r w:rsidRPr="000150FF">
        <w:rPr>
          <w:rFonts w:cs="Arial"/>
          <w:szCs w:val="22"/>
        </w:rPr>
        <w:t>cytokine responses, and protection from challenge as shown by reduced mortality and</w:t>
      </w:r>
      <w:r w:rsidR="00E624FD">
        <w:rPr>
          <w:rFonts w:cs="Arial"/>
          <w:szCs w:val="22"/>
        </w:rPr>
        <w:t xml:space="preserve"> </w:t>
      </w:r>
      <w:r w:rsidRPr="000150FF">
        <w:rPr>
          <w:rFonts w:cs="Arial"/>
          <w:szCs w:val="22"/>
        </w:rPr>
        <w:t>histopathological findings. No significant local or systemic toxicity was observed.</w:t>
      </w:r>
    </w:p>
    <w:p w14:paraId="16116FF1" w14:textId="581EDDA1" w:rsidR="00622B76" w:rsidRDefault="00001E6D" w:rsidP="00007815">
      <w:pPr>
        <w:widowControl w:val="0"/>
        <w:autoSpaceDE w:val="0"/>
        <w:autoSpaceDN w:val="0"/>
        <w:adjustRightInd w:val="0"/>
        <w:spacing w:before="120" w:after="120" w:line="276" w:lineRule="auto"/>
        <w:rPr>
          <w:rFonts w:cs="Arial"/>
          <w:szCs w:val="22"/>
        </w:rPr>
      </w:pPr>
      <w:r w:rsidRPr="000150FF">
        <w:rPr>
          <w:rFonts w:cs="Arial"/>
          <w:szCs w:val="22"/>
        </w:rPr>
        <w:t>A safety and immunogenicity study in non-human primates demonstrated that administration of</w:t>
      </w:r>
      <w:r w:rsidR="00E624FD">
        <w:rPr>
          <w:rFonts w:cs="Arial"/>
          <w:szCs w:val="22"/>
        </w:rPr>
        <w:t xml:space="preserve"> </w:t>
      </w:r>
      <w:r w:rsidRPr="000150FF">
        <w:rPr>
          <w:rFonts w:cs="Arial"/>
          <w:szCs w:val="22"/>
        </w:rPr>
        <w:t>ID93 + GLA-SE was well-tolerated and immunogenic in male cynomolgus monkeys. No</w:t>
      </w:r>
      <w:r w:rsidR="00E624FD">
        <w:rPr>
          <w:rFonts w:cs="Arial"/>
          <w:szCs w:val="22"/>
        </w:rPr>
        <w:t xml:space="preserve"> </w:t>
      </w:r>
      <w:r w:rsidRPr="000150FF">
        <w:rPr>
          <w:rFonts w:cs="Arial"/>
          <w:szCs w:val="22"/>
        </w:rPr>
        <w:t>vaccine-related mortality occurred and no vaccine-related changes in clinical observations, food</w:t>
      </w:r>
      <w:r w:rsidR="00E624FD">
        <w:rPr>
          <w:rFonts w:cs="Arial"/>
          <w:szCs w:val="22"/>
        </w:rPr>
        <w:t xml:space="preserve"> </w:t>
      </w:r>
      <w:r w:rsidRPr="000150FF">
        <w:rPr>
          <w:rFonts w:cs="Arial"/>
          <w:szCs w:val="22"/>
        </w:rPr>
        <w:t>consumption, body weights, rectal temperature, and injection site reactions were identified.</w:t>
      </w:r>
      <w:r w:rsidR="00E624FD">
        <w:rPr>
          <w:rFonts w:cs="Arial"/>
          <w:szCs w:val="22"/>
        </w:rPr>
        <w:t xml:space="preserve"> </w:t>
      </w:r>
      <w:r w:rsidRPr="000150FF">
        <w:rPr>
          <w:rFonts w:cs="Arial"/>
          <w:szCs w:val="22"/>
        </w:rPr>
        <w:t>Vaccine-related findings were limited to a mild acute phase response following each injection</w:t>
      </w:r>
      <w:r w:rsidR="00E624FD">
        <w:rPr>
          <w:rFonts w:cs="Arial"/>
          <w:szCs w:val="22"/>
        </w:rPr>
        <w:t xml:space="preserve"> </w:t>
      </w:r>
      <w:r w:rsidRPr="000150FF">
        <w:rPr>
          <w:rFonts w:cs="Arial"/>
          <w:szCs w:val="22"/>
        </w:rPr>
        <w:t>associated with modest increases in neutrophils, white blood cells, fibrinogen, and C-reactive</w:t>
      </w:r>
      <w:r w:rsidR="00E624FD">
        <w:rPr>
          <w:rFonts w:cs="Arial"/>
          <w:szCs w:val="22"/>
        </w:rPr>
        <w:t xml:space="preserve"> </w:t>
      </w:r>
      <w:r w:rsidRPr="000150FF">
        <w:rPr>
          <w:rFonts w:cs="Arial"/>
          <w:szCs w:val="22"/>
        </w:rPr>
        <w:t>protein (CRP). Maximal levels of response occurred in an adjuvant (GLA-SE)-dependent</w:t>
      </w:r>
      <w:r w:rsidR="00E624FD">
        <w:rPr>
          <w:rFonts w:cs="Arial"/>
          <w:szCs w:val="22"/>
        </w:rPr>
        <w:t xml:space="preserve"> </w:t>
      </w:r>
      <w:r w:rsidRPr="000150FF">
        <w:rPr>
          <w:rFonts w:cs="Arial"/>
          <w:szCs w:val="22"/>
        </w:rPr>
        <w:t>manner. Increases in neutrophils and white blood cells were similar with each consecutive</w:t>
      </w:r>
      <w:r w:rsidR="00E624FD">
        <w:rPr>
          <w:rFonts w:cs="Arial"/>
          <w:szCs w:val="22"/>
        </w:rPr>
        <w:t xml:space="preserve"> </w:t>
      </w:r>
      <w:r w:rsidRPr="000150FF">
        <w:rPr>
          <w:rFonts w:cs="Arial"/>
          <w:szCs w:val="22"/>
        </w:rPr>
        <w:t>dosing; the magnitude of fibrinogen and CRP responses progressively increased with each</w:t>
      </w:r>
      <w:r w:rsidR="00E624FD">
        <w:rPr>
          <w:rFonts w:cs="Arial"/>
          <w:szCs w:val="22"/>
        </w:rPr>
        <w:t xml:space="preserve"> </w:t>
      </w:r>
      <w:r w:rsidRPr="000150FF">
        <w:rPr>
          <w:rFonts w:cs="Arial"/>
          <w:szCs w:val="22"/>
        </w:rPr>
        <w:t>consecutive dosing; and, all findings resolved within 14 to 15 days after each dosing. None of the</w:t>
      </w:r>
      <w:r w:rsidR="001B3435">
        <w:rPr>
          <w:rFonts w:cs="Arial"/>
          <w:szCs w:val="22"/>
        </w:rPr>
        <w:t xml:space="preserve"> </w:t>
      </w:r>
      <w:r w:rsidRPr="000150FF">
        <w:rPr>
          <w:rFonts w:cs="Arial"/>
          <w:szCs w:val="22"/>
        </w:rPr>
        <w:t>identified vaccine-related changes were considered adverse. Immunogenicity analysis revealed a</w:t>
      </w:r>
      <w:r w:rsidR="001B3435">
        <w:rPr>
          <w:rFonts w:cs="Arial"/>
          <w:szCs w:val="22"/>
        </w:rPr>
        <w:t xml:space="preserve"> </w:t>
      </w:r>
      <w:r w:rsidRPr="000150FF">
        <w:rPr>
          <w:rFonts w:cs="Arial"/>
          <w:szCs w:val="22"/>
        </w:rPr>
        <w:t>mixed Th1 and Th2 cell-mediated response to ID93 + GLA-SE, a complex reaction observed</w:t>
      </w:r>
      <w:r w:rsidR="001B3435">
        <w:rPr>
          <w:rFonts w:cs="Arial"/>
          <w:szCs w:val="22"/>
        </w:rPr>
        <w:t xml:space="preserve"> </w:t>
      </w:r>
      <w:r w:rsidRPr="001B3435">
        <w:rPr>
          <w:rFonts w:cs="Arial"/>
          <w:szCs w:val="22"/>
        </w:rPr>
        <w:t>with other vaccines.</w:t>
      </w:r>
      <w:r w:rsidR="00622B76">
        <w:rPr>
          <w:rFonts w:cs="Arial"/>
          <w:szCs w:val="22"/>
        </w:rPr>
        <w:t xml:space="preserve"> </w:t>
      </w:r>
    </w:p>
    <w:p w14:paraId="4208B6D8" w14:textId="4F2C7327" w:rsidR="000A78E0" w:rsidRDefault="00622B76" w:rsidP="00007815">
      <w:pPr>
        <w:widowControl w:val="0"/>
        <w:autoSpaceDE w:val="0"/>
        <w:autoSpaceDN w:val="0"/>
        <w:adjustRightInd w:val="0"/>
        <w:spacing w:before="120" w:after="120" w:line="276" w:lineRule="auto"/>
        <w:rPr>
          <w:rFonts w:cs="Arial"/>
          <w:szCs w:val="22"/>
        </w:rPr>
      </w:pPr>
      <w:r w:rsidRPr="00622B76">
        <w:rPr>
          <w:rFonts w:cs="Arial"/>
          <w:szCs w:val="22"/>
        </w:rPr>
        <w:t xml:space="preserve">In </w:t>
      </w:r>
      <w:r w:rsidR="00E624FD">
        <w:rPr>
          <w:rFonts w:cs="Arial"/>
          <w:szCs w:val="22"/>
        </w:rPr>
        <w:t>a</w:t>
      </w:r>
      <w:r w:rsidR="00E624FD" w:rsidRPr="00622B76">
        <w:rPr>
          <w:rFonts w:cs="Arial"/>
          <w:szCs w:val="22"/>
        </w:rPr>
        <w:t xml:space="preserve"> </w:t>
      </w:r>
      <w:r w:rsidRPr="00622B76">
        <w:rPr>
          <w:rFonts w:cs="Arial"/>
          <w:szCs w:val="22"/>
        </w:rPr>
        <w:t xml:space="preserve">GLP repeated-dose toxicity </w:t>
      </w:r>
      <w:r w:rsidR="00E624FD" w:rsidRPr="00622B76">
        <w:rPr>
          <w:rFonts w:cs="Arial"/>
          <w:szCs w:val="22"/>
        </w:rPr>
        <w:t>stud</w:t>
      </w:r>
      <w:r w:rsidR="00E624FD">
        <w:rPr>
          <w:rFonts w:cs="Arial"/>
          <w:szCs w:val="22"/>
        </w:rPr>
        <w:t>y</w:t>
      </w:r>
      <w:r w:rsidRPr="00622B76">
        <w:rPr>
          <w:rFonts w:cs="Arial"/>
          <w:szCs w:val="22"/>
        </w:rPr>
        <w:t>, male and female New Zealand White rabbits were</w:t>
      </w:r>
      <w:r w:rsidR="00E624FD">
        <w:rPr>
          <w:rFonts w:cs="Arial"/>
          <w:szCs w:val="22"/>
        </w:rPr>
        <w:t xml:space="preserve"> </w:t>
      </w:r>
      <w:r w:rsidRPr="00622B76">
        <w:rPr>
          <w:rFonts w:cs="Arial"/>
          <w:szCs w:val="22"/>
        </w:rPr>
        <w:t>given four weekly intramuscular (IM) doses of ID93 + GLA-SE.</w:t>
      </w:r>
      <w:r w:rsidR="00007815">
        <w:rPr>
          <w:rFonts w:cs="Arial"/>
          <w:szCs w:val="22"/>
        </w:rPr>
        <w:t xml:space="preserve"> </w:t>
      </w:r>
      <w:r w:rsidRPr="00622B76">
        <w:rPr>
          <w:rFonts w:cs="Arial"/>
          <w:szCs w:val="22"/>
        </w:rPr>
        <w:t>All test articles were well-tolerated and immunogenic. Observations were generally mild</w:t>
      </w:r>
      <w:r w:rsidR="00E624FD">
        <w:rPr>
          <w:rFonts w:cs="Arial"/>
          <w:szCs w:val="22"/>
        </w:rPr>
        <w:t xml:space="preserve"> </w:t>
      </w:r>
      <w:r w:rsidRPr="00622B76">
        <w:rPr>
          <w:rFonts w:cs="Arial"/>
          <w:szCs w:val="22"/>
        </w:rPr>
        <w:t>and reversible, including increases in globulin, fibrinogen, blood cells (WBCs, heterophils, and</w:t>
      </w:r>
      <w:r w:rsidR="00E624FD">
        <w:rPr>
          <w:rFonts w:cs="Arial"/>
          <w:szCs w:val="22"/>
        </w:rPr>
        <w:t xml:space="preserve"> </w:t>
      </w:r>
      <w:r w:rsidRPr="00622B76">
        <w:rPr>
          <w:rFonts w:cs="Arial"/>
          <w:szCs w:val="22"/>
        </w:rPr>
        <w:t>monocytes), and microscopic findings of mixed or mononuclear cell infiltrates. These findings</w:t>
      </w:r>
      <w:r w:rsidR="00E624FD">
        <w:rPr>
          <w:rFonts w:cs="Arial"/>
          <w:szCs w:val="22"/>
        </w:rPr>
        <w:t xml:space="preserve"> </w:t>
      </w:r>
      <w:r w:rsidRPr="00622B76">
        <w:rPr>
          <w:rFonts w:cs="Arial"/>
          <w:szCs w:val="22"/>
        </w:rPr>
        <w:t>are consistent with the administration of immunogenic substances (i.e., the ID93 antigen and the</w:t>
      </w:r>
      <w:r>
        <w:rPr>
          <w:rFonts w:cs="Arial"/>
          <w:szCs w:val="22"/>
        </w:rPr>
        <w:t xml:space="preserve"> </w:t>
      </w:r>
      <w:r w:rsidRPr="00622B76">
        <w:rPr>
          <w:rFonts w:cs="Arial"/>
          <w:szCs w:val="22"/>
        </w:rPr>
        <w:t>GLA-SE adjuvant formulation). Some of these observations were likely secondary</w:t>
      </w:r>
      <w:r>
        <w:rPr>
          <w:rFonts w:cs="Arial"/>
          <w:szCs w:val="22"/>
        </w:rPr>
        <w:t xml:space="preserve"> </w:t>
      </w:r>
      <w:r w:rsidRPr="00622B76">
        <w:rPr>
          <w:rFonts w:cs="Arial"/>
          <w:szCs w:val="22"/>
        </w:rPr>
        <w:t>to local effects at the injection sites as evidenced by the observation of inflammation in injection</w:t>
      </w:r>
      <w:r>
        <w:rPr>
          <w:rFonts w:cs="Arial"/>
          <w:szCs w:val="22"/>
        </w:rPr>
        <w:t xml:space="preserve"> </w:t>
      </w:r>
      <w:r w:rsidRPr="00622B76">
        <w:rPr>
          <w:rFonts w:cs="Arial"/>
          <w:szCs w:val="22"/>
        </w:rPr>
        <w:t>site histopathology.</w:t>
      </w:r>
      <w:r w:rsidR="000A78E0">
        <w:rPr>
          <w:rFonts w:cs="Arial"/>
          <w:szCs w:val="22"/>
        </w:rPr>
        <w:t xml:space="preserve"> </w:t>
      </w:r>
    </w:p>
    <w:p w14:paraId="03844852" w14:textId="105ACB7A" w:rsidR="00001E6D" w:rsidRPr="00001E6D" w:rsidRDefault="000A78E0" w:rsidP="00007815">
      <w:pPr>
        <w:widowControl w:val="0"/>
        <w:autoSpaceDE w:val="0"/>
        <w:autoSpaceDN w:val="0"/>
        <w:adjustRightInd w:val="0"/>
        <w:spacing w:before="120" w:after="120" w:line="276" w:lineRule="auto"/>
        <w:rPr>
          <w:rFonts w:cs="Arial"/>
          <w:szCs w:val="22"/>
        </w:rPr>
      </w:pPr>
      <w:r>
        <w:rPr>
          <w:rFonts w:cs="Arial"/>
          <w:szCs w:val="22"/>
        </w:rPr>
        <w:t>A study in mice and cynomolgus monkeys demonstrated that t</w:t>
      </w:r>
      <w:r w:rsidR="005D5A5A">
        <w:rPr>
          <w:rFonts w:cs="Arial"/>
          <w:szCs w:val="22"/>
        </w:rPr>
        <w:t>herapeutic i</w:t>
      </w:r>
      <w:r w:rsidRPr="000A78E0">
        <w:rPr>
          <w:rFonts w:cs="Arial"/>
          <w:szCs w:val="22"/>
        </w:rPr>
        <w:t xml:space="preserve">mmunization </w:t>
      </w:r>
      <w:r w:rsidR="005D5A5A">
        <w:rPr>
          <w:rFonts w:cs="Arial"/>
          <w:szCs w:val="22"/>
        </w:rPr>
        <w:t>with ID93</w:t>
      </w:r>
      <w:r w:rsidR="00E624FD">
        <w:rPr>
          <w:rFonts w:cs="Arial"/>
          <w:szCs w:val="22"/>
        </w:rPr>
        <w:t xml:space="preserve"> +</w:t>
      </w:r>
      <w:r w:rsidR="005D5A5A" w:rsidRPr="005D5A5A">
        <w:rPr>
          <w:rFonts w:cs="Arial"/>
          <w:szCs w:val="22"/>
        </w:rPr>
        <w:t xml:space="preserve"> GLA-SE, administered</w:t>
      </w:r>
      <w:r w:rsidR="00E624FD">
        <w:rPr>
          <w:rFonts w:cs="Arial"/>
          <w:szCs w:val="22"/>
        </w:rPr>
        <w:t xml:space="preserve"> </w:t>
      </w:r>
      <w:r w:rsidR="005D5A5A" w:rsidRPr="005D5A5A">
        <w:rPr>
          <w:rFonts w:cs="Arial"/>
          <w:szCs w:val="22"/>
        </w:rPr>
        <w:t>in combination with existing first-line chemotherapeutics rifampicin and isoniazid</w:t>
      </w:r>
      <w:r w:rsidR="005D5A5A">
        <w:rPr>
          <w:rFonts w:cs="Arial"/>
          <w:szCs w:val="22"/>
        </w:rPr>
        <w:t>, i</w:t>
      </w:r>
      <w:r>
        <w:rPr>
          <w:rFonts w:cs="Arial"/>
          <w:szCs w:val="22"/>
        </w:rPr>
        <w:t>s an e</w:t>
      </w:r>
      <w:r w:rsidRPr="000A78E0">
        <w:rPr>
          <w:rFonts w:cs="Arial"/>
          <w:szCs w:val="22"/>
        </w:rPr>
        <w:t>ffective</w:t>
      </w:r>
      <w:r>
        <w:rPr>
          <w:rFonts w:cs="Arial"/>
          <w:szCs w:val="22"/>
        </w:rPr>
        <w:t xml:space="preserve"> adjunct to antibiotic t</w:t>
      </w:r>
      <w:r w:rsidRPr="000A78E0">
        <w:rPr>
          <w:rFonts w:cs="Arial"/>
          <w:szCs w:val="22"/>
        </w:rPr>
        <w:t>reatment</w:t>
      </w:r>
      <w:r w:rsidR="00F83EFB">
        <w:rPr>
          <w:rFonts w:cs="Arial"/>
          <w:szCs w:val="22"/>
        </w:rPr>
        <w:t xml:space="preserve"> </w:t>
      </w:r>
      <w:r w:rsidR="003321BC">
        <w:rPr>
          <w:rFonts w:cs="Arial"/>
          <w:szCs w:val="22"/>
        </w:rPr>
        <w:fldChar w:fldCharType="begin"/>
      </w:r>
      <w:r w:rsidR="003321BC">
        <w:rPr>
          <w:rFonts w:cs="Arial"/>
          <w:szCs w:val="22"/>
        </w:rPr>
        <w:instrText xml:space="preserve"> ADDIN EN.CITE &lt;EndNote&gt;&lt;Cite&gt;&lt;Author&gt;Coler&lt;/Author&gt;&lt;Year&gt;2012&lt;/Year&gt;&lt;RecNum&gt;293&lt;/RecNum&gt;&lt;DisplayText&gt;[1]&lt;/DisplayText&gt;&lt;record&gt;&lt;rec-number&gt;293&lt;/rec-number&gt;&lt;foreign-keys&gt;&lt;key app="EN" db-id="evfssswxaawzxqef5tqx5xasdv9ded0rp55x" timestamp="1400491679"&gt;293&lt;/key&gt;&lt;/foreign-keys&gt;&lt;ref-type name="Journal Article"&gt;17&lt;/ref-type&gt;&lt;contributors&gt;&lt;authors&gt;&lt;author&gt;Coler, R. N.&lt;/author&gt;&lt;author&gt;Bertholet, S.&lt;/author&gt;&lt;author&gt;Pine, S. O.&lt;/author&gt;&lt;author&gt;Orr, M. T.&lt;/author&gt;&lt;author&gt;Reese, V.&lt;/author&gt;&lt;author&gt;Windish, H. P.&lt;/author&gt;&lt;author&gt;Davis, C.&lt;/author&gt;&lt;author&gt;Kahn, M.&lt;/author&gt;&lt;author&gt;Baldwin, S. L.&lt;/author&gt;&lt;author&gt;Reed, S. G.&lt;/author&gt;&lt;/authors&gt;&lt;/contributors&gt;&lt;auth-address&gt;Infectious Disease Research Institute, Seattle, Washington.&lt;/auth-address&gt;&lt;titles&gt;&lt;title&gt;Therapeutic Immunization against Mycobacterium tuberculosis Is an Effective Adjunct to Antibiotic Treatment&lt;/title&gt;&lt;secondary-title&gt;J Infect Dis&lt;/secondary-title&gt;&lt;alt-title&gt;The Journal of infectious diseases&lt;/alt-title&gt;&lt;/titles&gt;&lt;periodical&gt;&lt;full-title&gt;J Infect Dis&lt;/full-title&gt;&lt;/periodical&gt;&lt;alt-periodical&gt;&lt;full-title&gt;J Infect Dis&lt;/full-title&gt;&lt;abbr-1&gt;The Journal of infectious diseases&lt;/abbr-1&gt;&lt;/alt-periodical&gt;&lt;edition&gt;2012/08/15&lt;/edition&gt;&lt;dates&gt;&lt;year&gt;2012&lt;/year&gt;&lt;pub-dates&gt;&lt;date&gt;Aug 13&lt;/date&gt;&lt;/pub-dates&gt;&lt;/dates&gt;&lt;isbn&gt;1537-6613 (Electronic)&amp;#xD;0022-1899 (Linking)&lt;/isbn&gt;&lt;accession-num&gt;22891286&lt;/accession-num&gt;&lt;urls&gt;&lt;related-urls&gt;&lt;url&gt;http://www.ncbi.nlm.nih.gov/pubmed/22891286&lt;/url&gt;&lt;/related-urls&gt;&lt;/urls&gt;&lt;electronic-resource-num&gt;10.1093/infdis/jis425&lt;/electronic-resource-num&gt;&lt;language&gt;Eng&lt;/language&gt;&lt;/record&gt;&lt;/Cite&gt;&lt;/EndNote&gt;</w:instrText>
      </w:r>
      <w:r w:rsidR="003321BC">
        <w:rPr>
          <w:rFonts w:cs="Arial"/>
          <w:szCs w:val="22"/>
        </w:rPr>
        <w:fldChar w:fldCharType="separate"/>
      </w:r>
      <w:r w:rsidR="003321BC">
        <w:rPr>
          <w:rFonts w:cs="Arial"/>
          <w:noProof/>
          <w:szCs w:val="22"/>
        </w:rPr>
        <w:t>[</w:t>
      </w:r>
      <w:hyperlink w:anchor="_ENREF_1" w:tooltip="Coler, 2012 #293" w:history="1">
        <w:r w:rsidR="001A1F59" w:rsidRPr="00F83EFB">
          <w:rPr>
            <w:rFonts w:cs="Arial"/>
            <w:noProof/>
            <w:color w:val="0000FF"/>
            <w:szCs w:val="22"/>
          </w:rPr>
          <w:t>1</w:t>
        </w:r>
      </w:hyperlink>
      <w:r w:rsidR="003321BC">
        <w:rPr>
          <w:rFonts w:cs="Arial"/>
          <w:noProof/>
          <w:szCs w:val="22"/>
        </w:rPr>
        <w:t>]</w:t>
      </w:r>
      <w:r w:rsidR="003321BC">
        <w:rPr>
          <w:rFonts w:cs="Arial"/>
          <w:szCs w:val="22"/>
        </w:rPr>
        <w:fldChar w:fldCharType="end"/>
      </w:r>
      <w:r>
        <w:rPr>
          <w:rFonts w:cs="Arial"/>
          <w:szCs w:val="22"/>
        </w:rPr>
        <w:t xml:space="preserve">. </w:t>
      </w:r>
      <w:r w:rsidR="005D5A5A">
        <w:rPr>
          <w:rFonts w:cs="Arial"/>
          <w:szCs w:val="22"/>
        </w:rPr>
        <w:t>A</w:t>
      </w:r>
      <w:r w:rsidRPr="000A78E0">
        <w:rPr>
          <w:rFonts w:cs="Arial"/>
          <w:szCs w:val="22"/>
        </w:rPr>
        <w:t xml:space="preserve"> mouse model of fatal tuberculosis and the established cynomolgus monkey model </w:t>
      </w:r>
      <w:r w:rsidR="005D5A5A">
        <w:rPr>
          <w:rFonts w:cs="Arial"/>
          <w:szCs w:val="22"/>
        </w:rPr>
        <w:t xml:space="preserve">was used </w:t>
      </w:r>
      <w:r w:rsidRPr="000A78E0">
        <w:rPr>
          <w:rFonts w:cs="Arial"/>
          <w:szCs w:val="22"/>
        </w:rPr>
        <w:t>to</w:t>
      </w:r>
      <w:r w:rsidR="005D5A5A">
        <w:rPr>
          <w:rFonts w:cs="Arial"/>
          <w:szCs w:val="22"/>
        </w:rPr>
        <w:t xml:space="preserve"> </w:t>
      </w:r>
      <w:r w:rsidRPr="000A78E0">
        <w:rPr>
          <w:rFonts w:cs="Arial"/>
          <w:szCs w:val="22"/>
        </w:rPr>
        <w:t>design an immuno-chemotherapeutic strategy to increase long-term survival and reduce bacterial burden, compared</w:t>
      </w:r>
      <w:r w:rsidR="005D5A5A">
        <w:rPr>
          <w:rFonts w:cs="Arial"/>
          <w:szCs w:val="22"/>
        </w:rPr>
        <w:t xml:space="preserve"> </w:t>
      </w:r>
      <w:r w:rsidRPr="000A78E0">
        <w:rPr>
          <w:rFonts w:cs="Arial"/>
          <w:szCs w:val="22"/>
        </w:rPr>
        <w:t>with standard antibiotic chemotherapy alone.</w:t>
      </w:r>
      <w:r w:rsidR="005D5A5A">
        <w:rPr>
          <w:rFonts w:cs="Arial"/>
          <w:szCs w:val="22"/>
        </w:rPr>
        <w:t xml:space="preserve"> </w:t>
      </w:r>
      <w:r w:rsidRPr="000A78E0">
        <w:rPr>
          <w:rFonts w:cs="Arial"/>
          <w:szCs w:val="22"/>
        </w:rPr>
        <w:t>This combined approach induced robust and durable pluripotent antigen-specific T</w:t>
      </w:r>
      <w:r w:rsidR="00E624FD">
        <w:rPr>
          <w:rFonts w:cs="Arial"/>
          <w:szCs w:val="22"/>
        </w:rPr>
        <w:t>h</w:t>
      </w:r>
      <w:r w:rsidRPr="000A78E0">
        <w:rPr>
          <w:rFonts w:cs="Arial"/>
          <w:szCs w:val="22"/>
        </w:rPr>
        <w:t>1-type</w:t>
      </w:r>
      <w:r w:rsidR="005E3277">
        <w:rPr>
          <w:rFonts w:cs="Arial"/>
          <w:szCs w:val="22"/>
        </w:rPr>
        <w:t xml:space="preserve"> </w:t>
      </w:r>
      <w:r w:rsidRPr="000A78E0">
        <w:rPr>
          <w:rFonts w:cs="Arial"/>
          <w:szCs w:val="22"/>
        </w:rPr>
        <w:t>immune responses, decreased bacterial burden, reduced the duration of conventional chemotherapy required for</w:t>
      </w:r>
      <w:r w:rsidR="005E3277">
        <w:rPr>
          <w:rFonts w:cs="Arial"/>
          <w:szCs w:val="22"/>
        </w:rPr>
        <w:t xml:space="preserve"> </w:t>
      </w:r>
      <w:r w:rsidRPr="000A78E0">
        <w:rPr>
          <w:rFonts w:cs="Arial"/>
          <w:szCs w:val="22"/>
        </w:rPr>
        <w:t xml:space="preserve">survival, and decreased </w:t>
      </w:r>
      <w:r w:rsidRPr="00007815">
        <w:rPr>
          <w:rFonts w:cs="Arial"/>
          <w:szCs w:val="22"/>
        </w:rPr>
        <w:t>M</w:t>
      </w:r>
      <w:r w:rsidR="00E624FD" w:rsidRPr="00007815">
        <w:rPr>
          <w:rFonts w:cs="Arial"/>
          <w:szCs w:val="22"/>
        </w:rPr>
        <w:t>tb</w:t>
      </w:r>
      <w:r w:rsidR="00007815">
        <w:rPr>
          <w:rFonts w:cs="Arial"/>
          <w:szCs w:val="22"/>
        </w:rPr>
        <w:t xml:space="preserve"> </w:t>
      </w:r>
      <w:r w:rsidRPr="000A78E0">
        <w:rPr>
          <w:rFonts w:cs="Arial"/>
          <w:szCs w:val="22"/>
        </w:rPr>
        <w:t>induced lung pathology, compared with chemotherapy alone.</w:t>
      </w:r>
      <w:r w:rsidR="005E3277">
        <w:rPr>
          <w:rFonts w:cs="Arial"/>
          <w:szCs w:val="22"/>
        </w:rPr>
        <w:t xml:space="preserve"> </w:t>
      </w:r>
      <w:r w:rsidRPr="000A78E0">
        <w:rPr>
          <w:rFonts w:cs="Arial"/>
          <w:szCs w:val="22"/>
        </w:rPr>
        <w:t>These results demonstrate</w:t>
      </w:r>
      <w:r w:rsidR="005E3277">
        <w:rPr>
          <w:rFonts w:cs="Arial"/>
          <w:szCs w:val="22"/>
        </w:rPr>
        <w:t>d</w:t>
      </w:r>
      <w:r w:rsidRPr="000A78E0">
        <w:rPr>
          <w:rFonts w:cs="Arial"/>
          <w:szCs w:val="22"/>
        </w:rPr>
        <w:t xml:space="preserve"> the ability of therapeutic immunization to significantly enhance the</w:t>
      </w:r>
      <w:r w:rsidR="005E3277">
        <w:rPr>
          <w:rFonts w:cs="Arial"/>
          <w:szCs w:val="22"/>
        </w:rPr>
        <w:t xml:space="preserve"> </w:t>
      </w:r>
      <w:r w:rsidRPr="000A78E0">
        <w:rPr>
          <w:rFonts w:cs="Arial"/>
          <w:szCs w:val="22"/>
        </w:rPr>
        <w:t>efficacy of chemotherapy against tuberculosis and other infectious disease</w:t>
      </w:r>
      <w:bookmarkStart w:id="27" w:name="_GoBack"/>
      <w:bookmarkEnd w:id="27"/>
      <w:r w:rsidRPr="000A78E0">
        <w:rPr>
          <w:rFonts w:cs="Arial"/>
          <w:szCs w:val="22"/>
        </w:rPr>
        <w:t>s, with implications for treatment duration,</w:t>
      </w:r>
      <w:r w:rsidR="005E3277">
        <w:rPr>
          <w:rFonts w:cs="Arial"/>
          <w:szCs w:val="22"/>
        </w:rPr>
        <w:t xml:space="preserve"> </w:t>
      </w:r>
      <w:r w:rsidRPr="000A78E0">
        <w:rPr>
          <w:rFonts w:cs="Arial"/>
          <w:szCs w:val="22"/>
        </w:rPr>
        <w:t>patient compliance, and more optimal resource allocation.</w:t>
      </w:r>
    </w:p>
    <w:p w14:paraId="2F8418AA" w14:textId="77777777" w:rsidR="00052022" w:rsidRPr="00052022" w:rsidRDefault="00052022" w:rsidP="00007815">
      <w:pPr>
        <w:pStyle w:val="BodyText2"/>
        <w:spacing w:before="0" w:line="276" w:lineRule="auto"/>
        <w:jc w:val="center"/>
      </w:pPr>
    </w:p>
    <w:p w14:paraId="0BB2FBDE" w14:textId="77E02D83" w:rsidR="002C6058" w:rsidRDefault="002C6058" w:rsidP="009E0AB3">
      <w:pPr>
        <w:pStyle w:val="Heading3"/>
      </w:pPr>
      <w:bookmarkStart w:id="28" w:name="_Toc389129942"/>
      <w:bookmarkStart w:id="29" w:name="_Ref389469541"/>
      <w:bookmarkStart w:id="30" w:name="_Toc440906243"/>
      <w:r>
        <w:t>Clinical Data for ID93 + GLA-SE</w:t>
      </w:r>
      <w:bookmarkEnd w:id="28"/>
      <w:bookmarkEnd w:id="29"/>
      <w:bookmarkEnd w:id="30"/>
    </w:p>
    <w:p w14:paraId="6C2FAB40" w14:textId="77777777" w:rsidR="00E624FD" w:rsidRPr="00CB6C59" w:rsidRDefault="00E624FD" w:rsidP="009E0AB3">
      <w:pPr>
        <w:pStyle w:val="Heading4"/>
      </w:pPr>
      <w:bookmarkStart w:id="31" w:name="_Toc388606750"/>
      <w:bookmarkStart w:id="32" w:name="_Toc388606789"/>
      <w:r w:rsidRPr="00CB6C59">
        <w:t>Protocol IDRI-TBVPX-113</w:t>
      </w:r>
      <w:bookmarkEnd w:id="31"/>
      <w:bookmarkEnd w:id="32"/>
    </w:p>
    <w:p w14:paraId="7BC9B4CD" w14:textId="71D24413" w:rsidR="00E624FD" w:rsidRPr="00CB6C59" w:rsidRDefault="008A4286" w:rsidP="008A4286">
      <w:pPr>
        <w:pStyle w:val="IndentHeader1"/>
        <w:spacing w:line="276" w:lineRule="auto"/>
        <w:rPr>
          <w:rFonts w:ascii="Arial" w:hAnsi="Arial" w:cs="Arial"/>
          <w:sz w:val="22"/>
          <w:szCs w:val="22"/>
        </w:rPr>
      </w:pPr>
      <w:r>
        <w:rPr>
          <w:rFonts w:ascii="Arial" w:hAnsi="Arial" w:cs="Arial"/>
          <w:bCs/>
          <w:sz w:val="22"/>
          <w:szCs w:val="22"/>
        </w:rPr>
        <w:t>This is</w:t>
      </w:r>
      <w:r w:rsidRPr="008A4286">
        <w:rPr>
          <w:rFonts w:ascii="Arial" w:hAnsi="Arial" w:cs="Arial"/>
          <w:bCs/>
          <w:sz w:val="22"/>
          <w:szCs w:val="22"/>
        </w:rPr>
        <w:t xml:space="preserve"> a phase 1 randomized clinical trial to evaluate the safety, tolerability, and immunogenicity </w:t>
      </w:r>
      <w:r>
        <w:rPr>
          <w:rFonts w:ascii="Arial" w:hAnsi="Arial" w:cs="Arial"/>
          <w:bCs/>
          <w:sz w:val="22"/>
          <w:szCs w:val="22"/>
        </w:rPr>
        <w:t xml:space="preserve">of ID93 + GLA-SE </w:t>
      </w:r>
      <w:r w:rsidRPr="008A4286">
        <w:rPr>
          <w:rFonts w:ascii="Arial" w:hAnsi="Arial" w:cs="Arial"/>
          <w:bCs/>
          <w:sz w:val="22"/>
          <w:szCs w:val="22"/>
        </w:rPr>
        <w:t>in healthy adult subjects</w:t>
      </w:r>
      <w:r>
        <w:rPr>
          <w:rFonts w:ascii="Arial" w:hAnsi="Arial" w:cs="Arial"/>
          <w:bCs/>
          <w:sz w:val="22"/>
          <w:szCs w:val="22"/>
        </w:rPr>
        <w:t xml:space="preserve"> naïve to BCG and QFT negative.</w:t>
      </w:r>
      <w:r w:rsidRPr="008A4286">
        <w:rPr>
          <w:rFonts w:ascii="Arial" w:hAnsi="Arial" w:cs="Arial"/>
          <w:sz w:val="22"/>
          <w:szCs w:val="22"/>
        </w:rPr>
        <w:t xml:space="preserve"> </w:t>
      </w:r>
      <w:r w:rsidR="00E624FD" w:rsidRPr="00CB6C59">
        <w:rPr>
          <w:rFonts w:ascii="Arial" w:hAnsi="Arial" w:cs="Arial"/>
          <w:sz w:val="22"/>
          <w:szCs w:val="22"/>
        </w:rPr>
        <w:t>This study has completed enrollment of a total of 60 subjects as listed in</w:t>
      </w:r>
      <w:r w:rsidR="00E624FD" w:rsidRPr="00DD3316">
        <w:rPr>
          <w:rFonts w:ascii="Arial" w:hAnsi="Arial" w:cs="Arial"/>
          <w:sz w:val="22"/>
          <w:szCs w:val="22"/>
        </w:rPr>
        <w:t xml:space="preserve"> </w:t>
      </w:r>
      <w:r w:rsidR="00E624FD" w:rsidRPr="0040275E">
        <w:rPr>
          <w:rFonts w:ascii="Arial" w:hAnsi="Arial" w:cs="Arial"/>
          <w:color w:val="0000FF"/>
          <w:sz w:val="22"/>
          <w:szCs w:val="22"/>
        </w:rPr>
        <w:fldChar w:fldCharType="begin"/>
      </w:r>
      <w:r w:rsidR="00E624FD" w:rsidRPr="0040275E">
        <w:rPr>
          <w:rFonts w:ascii="Arial" w:hAnsi="Arial" w:cs="Arial"/>
          <w:color w:val="0000FF"/>
          <w:sz w:val="22"/>
          <w:szCs w:val="22"/>
        </w:rPr>
        <w:instrText xml:space="preserve"> REF  _Ref346279107 \h  \* MERGEFORMAT </w:instrText>
      </w:r>
      <w:r w:rsidR="00E624FD" w:rsidRPr="0040275E">
        <w:rPr>
          <w:rFonts w:ascii="Arial" w:hAnsi="Arial" w:cs="Arial"/>
          <w:color w:val="0000FF"/>
          <w:sz w:val="22"/>
          <w:szCs w:val="22"/>
        </w:rPr>
      </w:r>
      <w:r w:rsidR="00E624FD" w:rsidRPr="0040275E">
        <w:rPr>
          <w:rFonts w:ascii="Arial" w:hAnsi="Arial" w:cs="Arial"/>
          <w:color w:val="0000FF"/>
          <w:sz w:val="22"/>
          <w:szCs w:val="22"/>
        </w:rPr>
        <w:fldChar w:fldCharType="separate"/>
      </w:r>
      <w:r w:rsidR="00024E24" w:rsidRPr="00024E24">
        <w:rPr>
          <w:rFonts w:ascii="Arial" w:hAnsi="Arial" w:cs="Arial"/>
          <w:color w:val="0000FF"/>
          <w:sz w:val="22"/>
          <w:szCs w:val="22"/>
        </w:rPr>
        <w:t>Table 1</w:t>
      </w:r>
      <w:r w:rsidR="00E624FD" w:rsidRPr="0040275E">
        <w:rPr>
          <w:rFonts w:ascii="Arial" w:hAnsi="Arial" w:cs="Arial"/>
          <w:color w:val="0000FF"/>
          <w:sz w:val="22"/>
          <w:szCs w:val="22"/>
        </w:rPr>
        <w:fldChar w:fldCharType="end"/>
      </w:r>
      <w:r w:rsidR="00E624FD" w:rsidRPr="00CB6C59">
        <w:rPr>
          <w:rFonts w:ascii="Arial" w:hAnsi="Arial" w:cs="Arial"/>
          <w:sz w:val="22"/>
          <w:szCs w:val="22"/>
        </w:rPr>
        <w:t>.</w:t>
      </w:r>
      <w:r>
        <w:rPr>
          <w:rFonts w:ascii="Arial" w:hAnsi="Arial" w:cs="Arial"/>
          <w:sz w:val="22"/>
          <w:szCs w:val="22"/>
        </w:rPr>
        <w:t xml:space="preserve"> </w:t>
      </w:r>
      <w:r w:rsidRPr="008A4286">
        <w:rPr>
          <w:rFonts w:ascii="Arial" w:hAnsi="Arial" w:cs="Arial"/>
          <w:sz w:val="22"/>
          <w:szCs w:val="22"/>
        </w:rPr>
        <w:t>All subjects have completed the study and the data is being cleaned prior to database lock.</w:t>
      </w:r>
    </w:p>
    <w:p w14:paraId="042A14BD" w14:textId="0B5C5672" w:rsidR="00E624FD" w:rsidRPr="00CB6C59" w:rsidRDefault="00E624FD" w:rsidP="00906CD6">
      <w:pPr>
        <w:pStyle w:val="Caption"/>
      </w:pPr>
      <w:bookmarkStart w:id="33" w:name="_Ref346279107"/>
      <w:bookmarkStart w:id="34" w:name="_Toc388606800"/>
      <w:bookmarkStart w:id="35" w:name="_Toc388606828"/>
      <w:bookmarkStart w:id="36" w:name="_Toc389130068"/>
      <w:bookmarkStart w:id="37" w:name="_Toc389130098"/>
      <w:bookmarkStart w:id="38" w:name="_Toc440906399"/>
      <w:r w:rsidRPr="00CB6C59">
        <w:t xml:space="preserve">Table </w:t>
      </w:r>
      <w:r w:rsidR="00024E24">
        <w:fldChar w:fldCharType="begin"/>
      </w:r>
      <w:r w:rsidR="00024E24">
        <w:instrText xml:space="preserve"> SEQ Table \* ARABIC </w:instrText>
      </w:r>
      <w:r w:rsidR="00024E24">
        <w:fldChar w:fldCharType="separate"/>
      </w:r>
      <w:r w:rsidR="00024E24">
        <w:rPr>
          <w:noProof/>
        </w:rPr>
        <w:t>1</w:t>
      </w:r>
      <w:r w:rsidR="00024E24">
        <w:rPr>
          <w:noProof/>
        </w:rPr>
        <w:fldChar w:fldCharType="end"/>
      </w:r>
      <w:bookmarkEnd w:id="33"/>
      <w:r w:rsidRPr="00CB6C59">
        <w:t>:</w:t>
      </w:r>
      <w:r w:rsidRPr="00CB6C59">
        <w:tab/>
        <w:t>IDRI-TBVPX-113: Treatment Groups</w:t>
      </w:r>
      <w:bookmarkEnd w:id="34"/>
      <w:bookmarkEnd w:id="35"/>
      <w:bookmarkEnd w:id="36"/>
      <w:bookmarkEnd w:id="37"/>
      <w:bookmarkEnd w:id="38"/>
    </w:p>
    <w:tbl>
      <w:tblPr>
        <w:tblW w:w="0" w:type="auto"/>
        <w:jc w:val="center"/>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889"/>
        <w:gridCol w:w="868"/>
        <w:gridCol w:w="3121"/>
        <w:gridCol w:w="1121"/>
        <w:gridCol w:w="2497"/>
      </w:tblGrid>
      <w:tr w:rsidR="00F83EFB" w:rsidRPr="00CB6C59" w14:paraId="225510E8" w14:textId="77777777" w:rsidTr="00E624FD">
        <w:trPr>
          <w:jc w:val="center"/>
        </w:trPr>
        <w:tc>
          <w:tcPr>
            <w:tcW w:w="889" w:type="dxa"/>
            <w:tcBorders>
              <w:top w:val="single" w:sz="12" w:space="0" w:color="auto"/>
              <w:left w:val="single" w:sz="12" w:space="0" w:color="auto"/>
              <w:bottom w:val="single" w:sz="6" w:space="0" w:color="auto"/>
              <w:right w:val="single" w:sz="6" w:space="0" w:color="auto"/>
            </w:tcBorders>
            <w:shd w:val="clear" w:color="auto" w:fill="E0E0E0"/>
            <w:vAlign w:val="center"/>
          </w:tcPr>
          <w:p w14:paraId="5D6A384D" w14:textId="77777777" w:rsidR="00F83EFB" w:rsidRPr="00CB6C59" w:rsidRDefault="00F83EFB" w:rsidP="00E624FD">
            <w:pPr>
              <w:pStyle w:val="Tableheading"/>
              <w:rPr>
                <w:rFonts w:ascii="Arial" w:hAnsi="Arial" w:cs="Arial"/>
                <w:szCs w:val="20"/>
              </w:rPr>
            </w:pPr>
            <w:r w:rsidRPr="00CB6C59">
              <w:rPr>
                <w:rFonts w:ascii="Arial" w:hAnsi="Arial" w:cs="Arial"/>
                <w:szCs w:val="20"/>
              </w:rPr>
              <w:t>Cohort</w:t>
            </w:r>
          </w:p>
        </w:tc>
        <w:tc>
          <w:tcPr>
            <w:tcW w:w="868" w:type="dxa"/>
            <w:tcBorders>
              <w:top w:val="single" w:sz="12" w:space="0" w:color="auto"/>
              <w:left w:val="single" w:sz="6" w:space="0" w:color="auto"/>
              <w:bottom w:val="single" w:sz="6" w:space="0" w:color="auto"/>
              <w:right w:val="single" w:sz="6" w:space="0" w:color="auto"/>
            </w:tcBorders>
            <w:shd w:val="clear" w:color="auto" w:fill="E0E0E0"/>
            <w:vAlign w:val="center"/>
          </w:tcPr>
          <w:p w14:paraId="4EFED12A" w14:textId="77777777" w:rsidR="00F83EFB" w:rsidRPr="00CB6C59" w:rsidRDefault="00F83EFB" w:rsidP="00E624FD">
            <w:pPr>
              <w:pStyle w:val="Tableheading"/>
              <w:rPr>
                <w:rFonts w:ascii="Arial" w:hAnsi="Arial" w:cs="Arial"/>
                <w:szCs w:val="20"/>
              </w:rPr>
            </w:pPr>
            <w:r w:rsidRPr="00CB6C59">
              <w:rPr>
                <w:rFonts w:ascii="Arial" w:hAnsi="Arial" w:cs="Arial"/>
                <w:szCs w:val="20"/>
              </w:rPr>
              <w:t>N</w:t>
            </w:r>
          </w:p>
        </w:tc>
        <w:tc>
          <w:tcPr>
            <w:tcW w:w="3121" w:type="dxa"/>
            <w:tcBorders>
              <w:top w:val="single" w:sz="12" w:space="0" w:color="auto"/>
              <w:left w:val="single" w:sz="6" w:space="0" w:color="auto"/>
              <w:bottom w:val="single" w:sz="6" w:space="0" w:color="auto"/>
              <w:right w:val="single" w:sz="4" w:space="0" w:color="000000"/>
            </w:tcBorders>
            <w:shd w:val="clear" w:color="auto" w:fill="E0E0E0"/>
            <w:vAlign w:val="center"/>
          </w:tcPr>
          <w:p w14:paraId="20AB2761" w14:textId="77777777" w:rsidR="00F83EFB" w:rsidRPr="00CB6C59" w:rsidRDefault="00F83EFB" w:rsidP="00E624FD">
            <w:pPr>
              <w:pStyle w:val="Tableheading"/>
              <w:rPr>
                <w:rFonts w:ascii="Arial" w:hAnsi="Arial" w:cs="Arial"/>
                <w:szCs w:val="20"/>
              </w:rPr>
            </w:pPr>
            <w:r w:rsidRPr="00CB6C59">
              <w:rPr>
                <w:rFonts w:ascii="Arial" w:hAnsi="Arial" w:cs="Arial"/>
                <w:szCs w:val="20"/>
              </w:rPr>
              <w:t>Treatment Assignment</w:t>
            </w:r>
          </w:p>
        </w:tc>
        <w:tc>
          <w:tcPr>
            <w:tcW w:w="1121" w:type="dxa"/>
            <w:tcBorders>
              <w:top w:val="single" w:sz="12" w:space="0" w:color="auto"/>
              <w:left w:val="single" w:sz="4" w:space="0" w:color="000000"/>
              <w:bottom w:val="single" w:sz="6" w:space="0" w:color="auto"/>
              <w:right w:val="single" w:sz="4" w:space="0" w:color="000000"/>
            </w:tcBorders>
            <w:shd w:val="clear" w:color="auto" w:fill="E0E0E0"/>
            <w:vAlign w:val="center"/>
          </w:tcPr>
          <w:p w14:paraId="1C46B074" w14:textId="77777777" w:rsidR="00F83EFB" w:rsidRPr="00CB6C59" w:rsidRDefault="00F83EFB" w:rsidP="00E624FD">
            <w:pPr>
              <w:pStyle w:val="Tableheading"/>
              <w:rPr>
                <w:rFonts w:ascii="Arial" w:hAnsi="Arial" w:cs="Arial"/>
                <w:szCs w:val="20"/>
              </w:rPr>
            </w:pPr>
            <w:r w:rsidRPr="00CB6C59">
              <w:rPr>
                <w:rFonts w:ascii="Arial" w:hAnsi="Arial" w:cs="Arial"/>
                <w:szCs w:val="20"/>
              </w:rPr>
              <w:t>Injection Route</w:t>
            </w:r>
          </w:p>
        </w:tc>
        <w:tc>
          <w:tcPr>
            <w:tcW w:w="2497" w:type="dxa"/>
            <w:tcBorders>
              <w:top w:val="single" w:sz="12" w:space="0" w:color="auto"/>
              <w:left w:val="single" w:sz="4" w:space="0" w:color="000000"/>
              <w:bottom w:val="single" w:sz="6" w:space="0" w:color="auto"/>
              <w:right w:val="single" w:sz="12" w:space="0" w:color="auto"/>
            </w:tcBorders>
            <w:shd w:val="clear" w:color="auto" w:fill="E0E0E0"/>
            <w:vAlign w:val="center"/>
          </w:tcPr>
          <w:p w14:paraId="5EEC17AC" w14:textId="77777777" w:rsidR="00F83EFB" w:rsidRPr="00CB6C59" w:rsidRDefault="00F83EFB" w:rsidP="00E624FD">
            <w:pPr>
              <w:pStyle w:val="Tableheading"/>
              <w:rPr>
                <w:rFonts w:ascii="Arial" w:hAnsi="Arial" w:cs="Arial"/>
                <w:szCs w:val="20"/>
              </w:rPr>
            </w:pPr>
            <w:r w:rsidRPr="00CB6C59">
              <w:rPr>
                <w:rFonts w:ascii="Arial" w:hAnsi="Arial" w:cs="Arial"/>
                <w:szCs w:val="20"/>
              </w:rPr>
              <w:t>Timing of Study Injections</w:t>
            </w:r>
          </w:p>
        </w:tc>
      </w:tr>
      <w:tr w:rsidR="00F83EFB" w:rsidRPr="00CB6C59" w14:paraId="4A99F211" w14:textId="77777777" w:rsidTr="00E624FD">
        <w:trPr>
          <w:jc w:val="center"/>
        </w:trPr>
        <w:tc>
          <w:tcPr>
            <w:tcW w:w="889" w:type="dxa"/>
            <w:vMerge w:val="restart"/>
            <w:tcBorders>
              <w:top w:val="single" w:sz="6" w:space="0" w:color="auto"/>
              <w:left w:val="single" w:sz="12" w:space="0" w:color="auto"/>
              <w:bottom w:val="single" w:sz="6" w:space="0" w:color="auto"/>
              <w:right w:val="single" w:sz="6" w:space="0" w:color="auto"/>
            </w:tcBorders>
            <w:vAlign w:val="center"/>
          </w:tcPr>
          <w:p w14:paraId="34764B94" w14:textId="77777777" w:rsidR="00F83EFB" w:rsidRPr="00CB6C59" w:rsidRDefault="00F83EFB" w:rsidP="00E624FD">
            <w:pPr>
              <w:pStyle w:val="Tabletext-C"/>
              <w:rPr>
                <w:rFonts w:ascii="Arial" w:hAnsi="Arial" w:cs="Arial"/>
                <w:szCs w:val="20"/>
              </w:rPr>
            </w:pPr>
            <w:r w:rsidRPr="00CB6C59">
              <w:rPr>
                <w:rFonts w:ascii="Arial" w:hAnsi="Arial" w:cs="Arial"/>
                <w:szCs w:val="20"/>
              </w:rPr>
              <w:t>#1</w:t>
            </w:r>
          </w:p>
        </w:tc>
        <w:tc>
          <w:tcPr>
            <w:tcW w:w="868" w:type="dxa"/>
            <w:tcBorders>
              <w:top w:val="single" w:sz="6" w:space="0" w:color="auto"/>
              <w:left w:val="single" w:sz="6" w:space="0" w:color="auto"/>
              <w:bottom w:val="single" w:sz="6" w:space="0" w:color="auto"/>
              <w:right w:val="single" w:sz="6" w:space="0" w:color="auto"/>
            </w:tcBorders>
            <w:vAlign w:val="center"/>
          </w:tcPr>
          <w:p w14:paraId="393E488E" w14:textId="77777777" w:rsidR="00F83EFB" w:rsidRPr="00CB6C59" w:rsidRDefault="00F83EFB" w:rsidP="00E624FD">
            <w:pPr>
              <w:pStyle w:val="Tabletext-C"/>
              <w:rPr>
                <w:rFonts w:ascii="Arial" w:hAnsi="Arial" w:cs="Arial"/>
                <w:szCs w:val="20"/>
              </w:rPr>
            </w:pPr>
            <w:r w:rsidRPr="00CB6C59">
              <w:rPr>
                <w:rFonts w:ascii="Arial" w:hAnsi="Arial" w:cs="Arial"/>
                <w:szCs w:val="20"/>
              </w:rPr>
              <w:t>12</w:t>
            </w:r>
          </w:p>
        </w:tc>
        <w:tc>
          <w:tcPr>
            <w:tcW w:w="3121" w:type="dxa"/>
            <w:tcBorders>
              <w:top w:val="single" w:sz="6" w:space="0" w:color="auto"/>
              <w:left w:val="single" w:sz="6" w:space="0" w:color="auto"/>
              <w:bottom w:val="single" w:sz="6" w:space="0" w:color="auto"/>
              <w:right w:val="single" w:sz="4" w:space="0" w:color="000000"/>
            </w:tcBorders>
            <w:vAlign w:val="center"/>
          </w:tcPr>
          <w:p w14:paraId="2572369F" w14:textId="77777777" w:rsidR="00F83EFB" w:rsidRPr="000B7056" w:rsidRDefault="00F83EFB" w:rsidP="00E624FD">
            <w:pPr>
              <w:pStyle w:val="Tabletext-C"/>
              <w:rPr>
                <w:rFonts w:ascii="Arial" w:hAnsi="Arial" w:cs="Arial"/>
                <w:szCs w:val="20"/>
                <w:lang w:val="fr-FR"/>
              </w:rPr>
            </w:pPr>
            <w:r w:rsidRPr="000B7056">
              <w:rPr>
                <w:rFonts w:ascii="Arial" w:hAnsi="Arial" w:cs="Arial"/>
                <w:szCs w:val="20"/>
                <w:lang w:val="fr-FR"/>
              </w:rPr>
              <w:t xml:space="preserve">2 </w:t>
            </w:r>
            <w:r w:rsidRPr="00CB6C59">
              <w:rPr>
                <w:rFonts w:ascii="Arial" w:hAnsi="Arial" w:cs="Arial"/>
                <w:szCs w:val="20"/>
              </w:rPr>
              <w:t>μ</w:t>
            </w:r>
            <w:r w:rsidRPr="000B7056">
              <w:rPr>
                <w:rFonts w:ascii="Arial" w:hAnsi="Arial" w:cs="Arial"/>
                <w:szCs w:val="20"/>
                <w:lang w:val="fr-FR"/>
              </w:rPr>
              <w:t xml:space="preserve">g ID93 + 2 </w:t>
            </w:r>
            <w:r w:rsidRPr="00CB6C59">
              <w:rPr>
                <w:rFonts w:ascii="Arial" w:hAnsi="Arial" w:cs="Arial"/>
                <w:szCs w:val="20"/>
              </w:rPr>
              <w:t>μ</w:t>
            </w:r>
            <w:r w:rsidRPr="000B7056">
              <w:rPr>
                <w:rFonts w:ascii="Arial" w:hAnsi="Arial" w:cs="Arial"/>
                <w:szCs w:val="20"/>
                <w:lang w:val="fr-FR"/>
              </w:rPr>
              <w:t>g GLA-SE</w:t>
            </w:r>
          </w:p>
        </w:tc>
        <w:tc>
          <w:tcPr>
            <w:tcW w:w="1121" w:type="dxa"/>
            <w:vMerge w:val="restart"/>
            <w:tcBorders>
              <w:top w:val="single" w:sz="6" w:space="0" w:color="auto"/>
              <w:left w:val="single" w:sz="4" w:space="0" w:color="000000"/>
              <w:right w:val="single" w:sz="4" w:space="0" w:color="000000"/>
            </w:tcBorders>
            <w:vAlign w:val="center"/>
          </w:tcPr>
          <w:p w14:paraId="670ED9E6" w14:textId="77777777" w:rsidR="00F83EFB" w:rsidRPr="00CB6C59" w:rsidRDefault="00F83EFB" w:rsidP="00E624FD">
            <w:pPr>
              <w:pStyle w:val="Tabletext-C"/>
              <w:rPr>
                <w:rFonts w:ascii="Arial" w:hAnsi="Arial" w:cs="Arial"/>
                <w:szCs w:val="20"/>
              </w:rPr>
            </w:pPr>
            <w:r w:rsidRPr="00CB6C59">
              <w:rPr>
                <w:rFonts w:ascii="Arial" w:hAnsi="Arial" w:cs="Arial"/>
                <w:szCs w:val="20"/>
              </w:rPr>
              <w:t>IM</w:t>
            </w:r>
          </w:p>
        </w:tc>
        <w:tc>
          <w:tcPr>
            <w:tcW w:w="2497" w:type="dxa"/>
            <w:vMerge w:val="restart"/>
            <w:tcBorders>
              <w:top w:val="single" w:sz="6" w:space="0" w:color="auto"/>
              <w:left w:val="single" w:sz="4" w:space="0" w:color="000000"/>
              <w:right w:val="single" w:sz="12" w:space="0" w:color="auto"/>
            </w:tcBorders>
            <w:vAlign w:val="center"/>
          </w:tcPr>
          <w:p w14:paraId="3FCA2FD6" w14:textId="77777777" w:rsidR="00F83EFB" w:rsidRPr="00CB6C59" w:rsidRDefault="00F83EFB" w:rsidP="00E624FD">
            <w:pPr>
              <w:pStyle w:val="Tabletext-C"/>
              <w:rPr>
                <w:rFonts w:ascii="Arial" w:hAnsi="Arial" w:cs="Arial"/>
                <w:szCs w:val="20"/>
              </w:rPr>
            </w:pPr>
            <w:r w:rsidRPr="00CB6C59">
              <w:rPr>
                <w:rFonts w:ascii="Arial" w:hAnsi="Arial" w:cs="Arial"/>
                <w:szCs w:val="20"/>
              </w:rPr>
              <w:t>Days 0, 28, and 56</w:t>
            </w:r>
          </w:p>
        </w:tc>
      </w:tr>
      <w:tr w:rsidR="00F83EFB" w:rsidRPr="00CB6C59" w14:paraId="2E683C79" w14:textId="77777777" w:rsidTr="00E624FD">
        <w:trPr>
          <w:jc w:val="center"/>
        </w:trPr>
        <w:tc>
          <w:tcPr>
            <w:tcW w:w="889" w:type="dxa"/>
            <w:vMerge/>
            <w:tcBorders>
              <w:top w:val="single" w:sz="6" w:space="0" w:color="auto"/>
              <w:left w:val="single" w:sz="12" w:space="0" w:color="auto"/>
              <w:bottom w:val="single" w:sz="6" w:space="0" w:color="auto"/>
              <w:right w:val="single" w:sz="6" w:space="0" w:color="auto"/>
            </w:tcBorders>
            <w:vAlign w:val="center"/>
          </w:tcPr>
          <w:p w14:paraId="0EE86167" w14:textId="77777777" w:rsidR="00F83EFB" w:rsidRPr="00CB6C59" w:rsidRDefault="00F83EFB" w:rsidP="00E624FD">
            <w:pPr>
              <w:pStyle w:val="Tabletext-C"/>
              <w:rPr>
                <w:rFonts w:ascii="Arial" w:hAnsi="Arial" w:cs="Arial"/>
                <w:szCs w:val="20"/>
              </w:rPr>
            </w:pPr>
          </w:p>
        </w:tc>
        <w:tc>
          <w:tcPr>
            <w:tcW w:w="868" w:type="dxa"/>
            <w:tcBorders>
              <w:top w:val="single" w:sz="6" w:space="0" w:color="auto"/>
              <w:left w:val="single" w:sz="6" w:space="0" w:color="auto"/>
              <w:bottom w:val="single" w:sz="6" w:space="0" w:color="auto"/>
              <w:right w:val="single" w:sz="6" w:space="0" w:color="auto"/>
            </w:tcBorders>
            <w:vAlign w:val="center"/>
          </w:tcPr>
          <w:p w14:paraId="03ED5D20" w14:textId="77777777" w:rsidR="00F83EFB" w:rsidRPr="00CB6C59" w:rsidRDefault="00F83EFB" w:rsidP="00E624FD">
            <w:pPr>
              <w:pStyle w:val="Tabletext-C"/>
              <w:rPr>
                <w:rFonts w:ascii="Arial" w:hAnsi="Arial" w:cs="Arial"/>
                <w:szCs w:val="20"/>
              </w:rPr>
            </w:pPr>
            <w:r w:rsidRPr="00CB6C59">
              <w:rPr>
                <w:rFonts w:ascii="Arial" w:hAnsi="Arial" w:cs="Arial"/>
                <w:szCs w:val="20"/>
              </w:rPr>
              <w:t>3</w:t>
            </w:r>
          </w:p>
        </w:tc>
        <w:tc>
          <w:tcPr>
            <w:tcW w:w="3121" w:type="dxa"/>
            <w:tcBorders>
              <w:top w:val="single" w:sz="6" w:space="0" w:color="auto"/>
              <w:left w:val="single" w:sz="6" w:space="0" w:color="auto"/>
              <w:bottom w:val="single" w:sz="6" w:space="0" w:color="auto"/>
              <w:right w:val="single" w:sz="4" w:space="0" w:color="000000"/>
            </w:tcBorders>
            <w:vAlign w:val="center"/>
          </w:tcPr>
          <w:p w14:paraId="441A4AA6" w14:textId="77777777" w:rsidR="00F83EFB" w:rsidRPr="000D7A81" w:rsidRDefault="00F83EFB" w:rsidP="00E624FD">
            <w:pPr>
              <w:pStyle w:val="Tabletext-C"/>
              <w:rPr>
                <w:rFonts w:ascii="Arial" w:hAnsi="Arial" w:cs="Arial"/>
                <w:szCs w:val="20"/>
              </w:rPr>
            </w:pPr>
            <w:r w:rsidRPr="000D7A81">
              <w:rPr>
                <w:rFonts w:ascii="Arial" w:hAnsi="Arial" w:cs="Arial"/>
                <w:szCs w:val="20"/>
              </w:rPr>
              <w:t xml:space="preserve">2 </w:t>
            </w:r>
            <w:r w:rsidRPr="00CB6C59">
              <w:rPr>
                <w:rFonts w:ascii="Arial" w:hAnsi="Arial" w:cs="Arial"/>
                <w:szCs w:val="20"/>
              </w:rPr>
              <w:t>μ</w:t>
            </w:r>
            <w:r w:rsidRPr="000D7A81">
              <w:rPr>
                <w:rFonts w:ascii="Arial" w:hAnsi="Arial" w:cs="Arial"/>
                <w:szCs w:val="20"/>
              </w:rPr>
              <w:t>g ID93 alone</w:t>
            </w:r>
          </w:p>
        </w:tc>
        <w:tc>
          <w:tcPr>
            <w:tcW w:w="1121" w:type="dxa"/>
            <w:vMerge/>
            <w:tcBorders>
              <w:left w:val="single" w:sz="4" w:space="0" w:color="000000"/>
              <w:right w:val="single" w:sz="4" w:space="0" w:color="000000"/>
            </w:tcBorders>
            <w:vAlign w:val="center"/>
          </w:tcPr>
          <w:p w14:paraId="28726B92" w14:textId="77777777" w:rsidR="00F83EFB" w:rsidRPr="00CB6C59" w:rsidRDefault="00F83EFB" w:rsidP="00E624FD">
            <w:pPr>
              <w:jc w:val="center"/>
              <w:rPr>
                <w:rFonts w:cs="Arial"/>
                <w:sz w:val="20"/>
              </w:rPr>
            </w:pPr>
          </w:p>
        </w:tc>
        <w:tc>
          <w:tcPr>
            <w:tcW w:w="2497" w:type="dxa"/>
            <w:vMerge/>
            <w:tcBorders>
              <w:left w:val="single" w:sz="4" w:space="0" w:color="000000"/>
              <w:right w:val="single" w:sz="12" w:space="0" w:color="auto"/>
            </w:tcBorders>
            <w:vAlign w:val="center"/>
          </w:tcPr>
          <w:p w14:paraId="48959B00" w14:textId="77777777" w:rsidR="00F83EFB" w:rsidRPr="00CB6C59" w:rsidRDefault="00F83EFB" w:rsidP="00E624FD">
            <w:pPr>
              <w:jc w:val="center"/>
              <w:rPr>
                <w:rFonts w:cs="Arial"/>
                <w:sz w:val="20"/>
              </w:rPr>
            </w:pPr>
          </w:p>
        </w:tc>
      </w:tr>
      <w:tr w:rsidR="00F83EFB" w:rsidRPr="00F3093E" w14:paraId="0041B145" w14:textId="77777777" w:rsidTr="00E624FD">
        <w:trPr>
          <w:jc w:val="center"/>
        </w:trPr>
        <w:tc>
          <w:tcPr>
            <w:tcW w:w="889" w:type="dxa"/>
            <w:vMerge w:val="restart"/>
            <w:tcBorders>
              <w:top w:val="single" w:sz="6" w:space="0" w:color="auto"/>
              <w:left w:val="single" w:sz="12" w:space="0" w:color="auto"/>
              <w:bottom w:val="single" w:sz="6" w:space="0" w:color="auto"/>
              <w:right w:val="single" w:sz="6" w:space="0" w:color="auto"/>
            </w:tcBorders>
            <w:vAlign w:val="center"/>
          </w:tcPr>
          <w:p w14:paraId="6FE4AFE4" w14:textId="77777777" w:rsidR="00F83EFB" w:rsidRPr="00CB6C59" w:rsidRDefault="00F83EFB" w:rsidP="00E624FD">
            <w:pPr>
              <w:pStyle w:val="Tabletext-C"/>
              <w:rPr>
                <w:rFonts w:ascii="Arial" w:hAnsi="Arial" w:cs="Arial"/>
                <w:szCs w:val="20"/>
              </w:rPr>
            </w:pPr>
            <w:r w:rsidRPr="00CB6C59">
              <w:rPr>
                <w:rFonts w:ascii="Arial" w:hAnsi="Arial" w:cs="Arial"/>
                <w:szCs w:val="20"/>
              </w:rPr>
              <w:t>#2</w:t>
            </w:r>
          </w:p>
        </w:tc>
        <w:tc>
          <w:tcPr>
            <w:tcW w:w="868" w:type="dxa"/>
            <w:tcBorders>
              <w:top w:val="single" w:sz="6" w:space="0" w:color="auto"/>
              <w:left w:val="single" w:sz="6" w:space="0" w:color="auto"/>
              <w:bottom w:val="single" w:sz="6" w:space="0" w:color="auto"/>
              <w:right w:val="single" w:sz="6" w:space="0" w:color="auto"/>
            </w:tcBorders>
            <w:vAlign w:val="center"/>
          </w:tcPr>
          <w:p w14:paraId="333CB80A" w14:textId="77777777" w:rsidR="00F83EFB" w:rsidRPr="00CB6C59" w:rsidRDefault="00F83EFB" w:rsidP="00E624FD">
            <w:pPr>
              <w:pStyle w:val="Tabletext-C"/>
              <w:rPr>
                <w:rFonts w:ascii="Arial" w:hAnsi="Arial" w:cs="Arial"/>
                <w:szCs w:val="20"/>
              </w:rPr>
            </w:pPr>
            <w:r w:rsidRPr="00CB6C59">
              <w:rPr>
                <w:rFonts w:ascii="Arial" w:hAnsi="Arial" w:cs="Arial"/>
                <w:szCs w:val="20"/>
              </w:rPr>
              <w:t>12</w:t>
            </w:r>
          </w:p>
        </w:tc>
        <w:tc>
          <w:tcPr>
            <w:tcW w:w="3121" w:type="dxa"/>
            <w:tcBorders>
              <w:top w:val="single" w:sz="6" w:space="0" w:color="auto"/>
              <w:left w:val="single" w:sz="6" w:space="0" w:color="auto"/>
              <w:bottom w:val="single" w:sz="6" w:space="0" w:color="auto"/>
              <w:right w:val="single" w:sz="4" w:space="0" w:color="000000"/>
            </w:tcBorders>
            <w:vAlign w:val="center"/>
          </w:tcPr>
          <w:p w14:paraId="3B6D1500" w14:textId="77777777" w:rsidR="00F83EFB" w:rsidRPr="000B7056" w:rsidDel="00EA6DC6" w:rsidRDefault="00F83EFB" w:rsidP="00E624FD">
            <w:pPr>
              <w:pStyle w:val="Tabletext-C"/>
              <w:rPr>
                <w:rFonts w:ascii="Arial" w:hAnsi="Arial" w:cs="Arial"/>
                <w:szCs w:val="20"/>
                <w:lang w:val="fr-FR"/>
              </w:rPr>
            </w:pPr>
            <w:r w:rsidRPr="000B7056">
              <w:rPr>
                <w:rFonts w:ascii="Arial" w:hAnsi="Arial" w:cs="Arial"/>
                <w:szCs w:val="20"/>
                <w:lang w:val="fr-FR"/>
              </w:rPr>
              <w:t xml:space="preserve">10 </w:t>
            </w:r>
            <w:r w:rsidRPr="00CB6C59">
              <w:rPr>
                <w:rFonts w:ascii="Arial" w:hAnsi="Arial" w:cs="Arial"/>
                <w:szCs w:val="20"/>
              </w:rPr>
              <w:t>μ</w:t>
            </w:r>
            <w:r w:rsidRPr="000B7056">
              <w:rPr>
                <w:rFonts w:ascii="Arial" w:hAnsi="Arial" w:cs="Arial"/>
                <w:szCs w:val="20"/>
                <w:lang w:val="fr-FR"/>
              </w:rPr>
              <w:t xml:space="preserve">g ID93 + 2 </w:t>
            </w:r>
            <w:r w:rsidRPr="00CB6C59">
              <w:rPr>
                <w:rFonts w:ascii="Arial" w:hAnsi="Arial" w:cs="Arial"/>
                <w:szCs w:val="20"/>
              </w:rPr>
              <w:t>μ</w:t>
            </w:r>
            <w:r w:rsidRPr="000B7056">
              <w:rPr>
                <w:rFonts w:ascii="Arial" w:hAnsi="Arial" w:cs="Arial"/>
                <w:szCs w:val="20"/>
                <w:lang w:val="fr-FR"/>
              </w:rPr>
              <w:t>g GLA-SE</w:t>
            </w:r>
          </w:p>
        </w:tc>
        <w:tc>
          <w:tcPr>
            <w:tcW w:w="1121" w:type="dxa"/>
            <w:vMerge/>
            <w:tcBorders>
              <w:left w:val="single" w:sz="4" w:space="0" w:color="000000"/>
              <w:right w:val="single" w:sz="4" w:space="0" w:color="000000"/>
            </w:tcBorders>
            <w:vAlign w:val="center"/>
          </w:tcPr>
          <w:p w14:paraId="31D88B6D" w14:textId="77777777" w:rsidR="00F83EFB" w:rsidRPr="000B7056" w:rsidRDefault="00F83EFB" w:rsidP="00E624FD">
            <w:pPr>
              <w:jc w:val="center"/>
              <w:rPr>
                <w:rFonts w:cs="Arial"/>
                <w:sz w:val="20"/>
                <w:lang w:val="fr-FR"/>
              </w:rPr>
            </w:pPr>
          </w:p>
        </w:tc>
        <w:tc>
          <w:tcPr>
            <w:tcW w:w="2497" w:type="dxa"/>
            <w:vMerge/>
            <w:tcBorders>
              <w:left w:val="single" w:sz="4" w:space="0" w:color="000000"/>
              <w:right w:val="single" w:sz="12" w:space="0" w:color="auto"/>
            </w:tcBorders>
            <w:vAlign w:val="center"/>
          </w:tcPr>
          <w:p w14:paraId="5B69ADE9" w14:textId="77777777" w:rsidR="00F83EFB" w:rsidRPr="000B7056" w:rsidRDefault="00F83EFB" w:rsidP="00E624FD">
            <w:pPr>
              <w:jc w:val="center"/>
              <w:rPr>
                <w:rFonts w:cs="Arial"/>
                <w:sz w:val="20"/>
                <w:lang w:val="fr-FR"/>
              </w:rPr>
            </w:pPr>
          </w:p>
        </w:tc>
      </w:tr>
      <w:tr w:rsidR="00F83EFB" w:rsidRPr="00CB6C59" w14:paraId="13165FC2" w14:textId="77777777" w:rsidTr="00E624FD">
        <w:trPr>
          <w:jc w:val="center"/>
        </w:trPr>
        <w:tc>
          <w:tcPr>
            <w:tcW w:w="889" w:type="dxa"/>
            <w:vMerge/>
            <w:tcBorders>
              <w:top w:val="single" w:sz="6" w:space="0" w:color="auto"/>
              <w:left w:val="single" w:sz="12" w:space="0" w:color="auto"/>
              <w:bottom w:val="single" w:sz="6" w:space="0" w:color="auto"/>
              <w:right w:val="single" w:sz="6" w:space="0" w:color="auto"/>
            </w:tcBorders>
            <w:vAlign w:val="center"/>
          </w:tcPr>
          <w:p w14:paraId="733A4D93" w14:textId="77777777" w:rsidR="00F83EFB" w:rsidRPr="000B7056" w:rsidRDefault="00F83EFB" w:rsidP="00E624FD">
            <w:pPr>
              <w:pStyle w:val="Tabletext-C"/>
              <w:rPr>
                <w:rFonts w:ascii="Arial" w:hAnsi="Arial" w:cs="Arial"/>
                <w:szCs w:val="20"/>
                <w:lang w:val="fr-FR"/>
              </w:rPr>
            </w:pPr>
          </w:p>
        </w:tc>
        <w:tc>
          <w:tcPr>
            <w:tcW w:w="868" w:type="dxa"/>
            <w:tcBorders>
              <w:top w:val="single" w:sz="6" w:space="0" w:color="auto"/>
              <w:left w:val="single" w:sz="6" w:space="0" w:color="auto"/>
              <w:bottom w:val="single" w:sz="4" w:space="0" w:color="auto"/>
              <w:right w:val="single" w:sz="6" w:space="0" w:color="auto"/>
            </w:tcBorders>
            <w:vAlign w:val="center"/>
          </w:tcPr>
          <w:p w14:paraId="1EBEF25F" w14:textId="77777777" w:rsidR="00F83EFB" w:rsidRPr="00CB6C59" w:rsidRDefault="00F83EFB" w:rsidP="00E624FD">
            <w:pPr>
              <w:pStyle w:val="Tabletext-C"/>
              <w:rPr>
                <w:rFonts w:ascii="Arial" w:hAnsi="Arial" w:cs="Arial"/>
                <w:szCs w:val="20"/>
              </w:rPr>
            </w:pPr>
            <w:r w:rsidRPr="00CB6C59">
              <w:rPr>
                <w:rFonts w:ascii="Arial" w:hAnsi="Arial" w:cs="Arial"/>
                <w:szCs w:val="20"/>
              </w:rPr>
              <w:t>3</w:t>
            </w:r>
          </w:p>
        </w:tc>
        <w:tc>
          <w:tcPr>
            <w:tcW w:w="3121" w:type="dxa"/>
            <w:tcBorders>
              <w:top w:val="single" w:sz="6" w:space="0" w:color="auto"/>
              <w:left w:val="single" w:sz="6" w:space="0" w:color="auto"/>
              <w:bottom w:val="single" w:sz="4" w:space="0" w:color="auto"/>
              <w:right w:val="single" w:sz="4" w:space="0" w:color="000000"/>
            </w:tcBorders>
            <w:vAlign w:val="center"/>
          </w:tcPr>
          <w:p w14:paraId="1E64F2DE" w14:textId="77777777" w:rsidR="00F83EFB" w:rsidRPr="000D7A81" w:rsidDel="00EA6DC6" w:rsidRDefault="00F83EFB" w:rsidP="00E624FD">
            <w:pPr>
              <w:pStyle w:val="Tabletext-C"/>
              <w:rPr>
                <w:rFonts w:ascii="Arial" w:hAnsi="Arial" w:cs="Arial"/>
                <w:szCs w:val="20"/>
              </w:rPr>
            </w:pPr>
            <w:r w:rsidRPr="000D7A81">
              <w:rPr>
                <w:rFonts w:ascii="Arial" w:hAnsi="Arial" w:cs="Arial"/>
                <w:szCs w:val="20"/>
              </w:rPr>
              <w:t xml:space="preserve">10 </w:t>
            </w:r>
            <w:r w:rsidRPr="00CB6C59">
              <w:rPr>
                <w:rFonts w:ascii="Arial" w:hAnsi="Arial" w:cs="Arial"/>
                <w:szCs w:val="20"/>
              </w:rPr>
              <w:t>μ</w:t>
            </w:r>
            <w:r w:rsidRPr="000D7A81">
              <w:rPr>
                <w:rFonts w:ascii="Arial" w:hAnsi="Arial" w:cs="Arial"/>
                <w:szCs w:val="20"/>
              </w:rPr>
              <w:t>g ID93 alone</w:t>
            </w:r>
          </w:p>
        </w:tc>
        <w:tc>
          <w:tcPr>
            <w:tcW w:w="1121" w:type="dxa"/>
            <w:vMerge/>
            <w:tcBorders>
              <w:left w:val="single" w:sz="4" w:space="0" w:color="000000"/>
              <w:right w:val="single" w:sz="4" w:space="0" w:color="000000"/>
            </w:tcBorders>
            <w:vAlign w:val="center"/>
          </w:tcPr>
          <w:p w14:paraId="4007D138" w14:textId="77777777" w:rsidR="00F83EFB" w:rsidRPr="00CB6C59" w:rsidRDefault="00F83EFB" w:rsidP="00E624FD">
            <w:pPr>
              <w:jc w:val="center"/>
              <w:rPr>
                <w:rFonts w:cs="Arial"/>
                <w:sz w:val="20"/>
              </w:rPr>
            </w:pPr>
          </w:p>
        </w:tc>
        <w:tc>
          <w:tcPr>
            <w:tcW w:w="2497" w:type="dxa"/>
            <w:vMerge/>
            <w:tcBorders>
              <w:left w:val="single" w:sz="4" w:space="0" w:color="000000"/>
              <w:right w:val="single" w:sz="12" w:space="0" w:color="auto"/>
            </w:tcBorders>
            <w:vAlign w:val="center"/>
          </w:tcPr>
          <w:p w14:paraId="06F228DD" w14:textId="77777777" w:rsidR="00F83EFB" w:rsidRPr="00CB6C59" w:rsidRDefault="00F83EFB" w:rsidP="00E624FD">
            <w:pPr>
              <w:jc w:val="center"/>
              <w:rPr>
                <w:rFonts w:cs="Arial"/>
                <w:sz w:val="20"/>
              </w:rPr>
            </w:pPr>
          </w:p>
        </w:tc>
      </w:tr>
      <w:tr w:rsidR="00F83EFB" w:rsidRPr="00F3093E" w14:paraId="61DEC140" w14:textId="77777777" w:rsidTr="00E624FD">
        <w:trPr>
          <w:jc w:val="center"/>
        </w:trPr>
        <w:tc>
          <w:tcPr>
            <w:tcW w:w="889" w:type="dxa"/>
            <w:vMerge w:val="restart"/>
            <w:tcBorders>
              <w:top w:val="single" w:sz="6" w:space="0" w:color="auto"/>
              <w:left w:val="single" w:sz="12" w:space="0" w:color="auto"/>
              <w:bottom w:val="single" w:sz="6" w:space="0" w:color="auto"/>
              <w:right w:val="single" w:sz="6" w:space="0" w:color="auto"/>
            </w:tcBorders>
            <w:vAlign w:val="center"/>
          </w:tcPr>
          <w:p w14:paraId="5C64552A" w14:textId="77777777" w:rsidR="00F83EFB" w:rsidRPr="00CB6C59" w:rsidRDefault="00F83EFB" w:rsidP="00E624FD">
            <w:pPr>
              <w:pStyle w:val="Tabletext-C"/>
              <w:rPr>
                <w:rFonts w:ascii="Arial" w:hAnsi="Arial" w:cs="Arial"/>
                <w:szCs w:val="20"/>
              </w:rPr>
            </w:pPr>
            <w:r w:rsidRPr="00CB6C59">
              <w:rPr>
                <w:rFonts w:ascii="Arial" w:hAnsi="Arial" w:cs="Arial"/>
                <w:szCs w:val="20"/>
              </w:rPr>
              <w:t>#3</w:t>
            </w:r>
          </w:p>
        </w:tc>
        <w:tc>
          <w:tcPr>
            <w:tcW w:w="868" w:type="dxa"/>
            <w:tcBorders>
              <w:top w:val="single" w:sz="4" w:space="0" w:color="auto"/>
              <w:left w:val="single" w:sz="6" w:space="0" w:color="auto"/>
              <w:bottom w:val="single" w:sz="4" w:space="0" w:color="auto"/>
              <w:right w:val="single" w:sz="6" w:space="0" w:color="auto"/>
            </w:tcBorders>
            <w:vAlign w:val="center"/>
          </w:tcPr>
          <w:p w14:paraId="1024153C" w14:textId="77777777" w:rsidR="00F83EFB" w:rsidRPr="00CB6C59" w:rsidRDefault="00F83EFB" w:rsidP="00E624FD">
            <w:pPr>
              <w:pStyle w:val="Tabletext-C"/>
              <w:rPr>
                <w:rFonts w:ascii="Arial" w:hAnsi="Arial" w:cs="Arial"/>
                <w:szCs w:val="20"/>
              </w:rPr>
            </w:pPr>
            <w:r w:rsidRPr="00CB6C59">
              <w:rPr>
                <w:rFonts w:ascii="Arial" w:hAnsi="Arial" w:cs="Arial"/>
                <w:szCs w:val="20"/>
              </w:rPr>
              <w:t>12</w:t>
            </w:r>
          </w:p>
        </w:tc>
        <w:tc>
          <w:tcPr>
            <w:tcW w:w="3121" w:type="dxa"/>
            <w:tcBorders>
              <w:top w:val="single" w:sz="4" w:space="0" w:color="auto"/>
              <w:left w:val="single" w:sz="6" w:space="0" w:color="auto"/>
              <w:bottom w:val="single" w:sz="4" w:space="0" w:color="auto"/>
              <w:right w:val="single" w:sz="4" w:space="0" w:color="000000"/>
            </w:tcBorders>
            <w:vAlign w:val="center"/>
          </w:tcPr>
          <w:p w14:paraId="534F64A1" w14:textId="77777777" w:rsidR="00F83EFB" w:rsidRPr="000B7056" w:rsidRDefault="00F83EFB" w:rsidP="00E624FD">
            <w:pPr>
              <w:pStyle w:val="Tabletext-C"/>
              <w:rPr>
                <w:rFonts w:ascii="Arial" w:hAnsi="Arial" w:cs="Arial"/>
                <w:szCs w:val="20"/>
                <w:lang w:val="fr-FR"/>
              </w:rPr>
            </w:pPr>
            <w:r w:rsidRPr="000B7056">
              <w:rPr>
                <w:rFonts w:ascii="Arial" w:hAnsi="Arial" w:cs="Arial"/>
                <w:szCs w:val="20"/>
                <w:lang w:val="fr-FR"/>
              </w:rPr>
              <w:t xml:space="preserve">2 </w:t>
            </w:r>
            <w:r w:rsidRPr="00CB6C59">
              <w:rPr>
                <w:rFonts w:ascii="Arial" w:hAnsi="Arial" w:cs="Arial"/>
                <w:szCs w:val="20"/>
              </w:rPr>
              <w:t>μ</w:t>
            </w:r>
            <w:r w:rsidRPr="000B7056">
              <w:rPr>
                <w:rFonts w:ascii="Arial" w:hAnsi="Arial" w:cs="Arial"/>
                <w:szCs w:val="20"/>
                <w:lang w:val="fr-FR"/>
              </w:rPr>
              <w:t xml:space="preserve">g ID93 + 5 </w:t>
            </w:r>
            <w:r w:rsidRPr="00CB6C59">
              <w:rPr>
                <w:rFonts w:ascii="Arial" w:hAnsi="Arial" w:cs="Arial"/>
                <w:szCs w:val="20"/>
              </w:rPr>
              <w:t>μ</w:t>
            </w:r>
            <w:r w:rsidRPr="000B7056">
              <w:rPr>
                <w:rFonts w:ascii="Arial" w:hAnsi="Arial" w:cs="Arial"/>
                <w:szCs w:val="20"/>
                <w:lang w:val="fr-FR"/>
              </w:rPr>
              <w:t>g GLA-SE</w:t>
            </w:r>
          </w:p>
        </w:tc>
        <w:tc>
          <w:tcPr>
            <w:tcW w:w="1121" w:type="dxa"/>
            <w:vMerge/>
            <w:tcBorders>
              <w:left w:val="single" w:sz="4" w:space="0" w:color="000000"/>
              <w:right w:val="single" w:sz="4" w:space="0" w:color="000000"/>
            </w:tcBorders>
            <w:vAlign w:val="center"/>
          </w:tcPr>
          <w:p w14:paraId="18772B0D" w14:textId="77777777" w:rsidR="00F83EFB" w:rsidRPr="000B7056" w:rsidRDefault="00F83EFB" w:rsidP="00E624FD">
            <w:pPr>
              <w:jc w:val="center"/>
              <w:rPr>
                <w:rFonts w:cs="Arial"/>
                <w:sz w:val="20"/>
                <w:lang w:val="fr-FR"/>
              </w:rPr>
            </w:pPr>
          </w:p>
        </w:tc>
        <w:tc>
          <w:tcPr>
            <w:tcW w:w="2497" w:type="dxa"/>
            <w:vMerge/>
            <w:tcBorders>
              <w:left w:val="single" w:sz="4" w:space="0" w:color="000000"/>
              <w:right w:val="single" w:sz="12" w:space="0" w:color="auto"/>
            </w:tcBorders>
            <w:vAlign w:val="center"/>
          </w:tcPr>
          <w:p w14:paraId="2EBB48A5" w14:textId="77777777" w:rsidR="00F83EFB" w:rsidRPr="000B7056" w:rsidRDefault="00F83EFB" w:rsidP="00E624FD">
            <w:pPr>
              <w:jc w:val="center"/>
              <w:rPr>
                <w:rFonts w:cs="Arial"/>
                <w:sz w:val="20"/>
                <w:lang w:val="fr-FR"/>
              </w:rPr>
            </w:pPr>
          </w:p>
        </w:tc>
      </w:tr>
      <w:tr w:rsidR="00F83EFB" w:rsidRPr="00CB6C59" w14:paraId="70A09C32" w14:textId="77777777" w:rsidTr="00E624FD">
        <w:trPr>
          <w:jc w:val="center"/>
        </w:trPr>
        <w:tc>
          <w:tcPr>
            <w:tcW w:w="889" w:type="dxa"/>
            <w:vMerge/>
            <w:tcBorders>
              <w:top w:val="single" w:sz="6" w:space="0" w:color="auto"/>
              <w:left w:val="single" w:sz="12" w:space="0" w:color="auto"/>
              <w:bottom w:val="single" w:sz="6" w:space="0" w:color="auto"/>
              <w:right w:val="single" w:sz="6" w:space="0" w:color="auto"/>
            </w:tcBorders>
            <w:vAlign w:val="center"/>
          </w:tcPr>
          <w:p w14:paraId="39A88FE3" w14:textId="77777777" w:rsidR="00F83EFB" w:rsidRPr="000B7056" w:rsidRDefault="00F83EFB" w:rsidP="00E624FD">
            <w:pPr>
              <w:pStyle w:val="Tabletext-C"/>
              <w:rPr>
                <w:rFonts w:ascii="Arial" w:hAnsi="Arial" w:cs="Arial"/>
                <w:szCs w:val="20"/>
                <w:lang w:val="fr-FR"/>
              </w:rPr>
            </w:pPr>
          </w:p>
        </w:tc>
        <w:tc>
          <w:tcPr>
            <w:tcW w:w="868" w:type="dxa"/>
            <w:tcBorders>
              <w:top w:val="single" w:sz="4" w:space="0" w:color="auto"/>
              <w:left w:val="single" w:sz="6" w:space="0" w:color="auto"/>
              <w:bottom w:val="single" w:sz="4" w:space="0" w:color="auto"/>
              <w:right w:val="single" w:sz="6" w:space="0" w:color="auto"/>
            </w:tcBorders>
            <w:vAlign w:val="center"/>
          </w:tcPr>
          <w:p w14:paraId="12A4D6ED" w14:textId="77777777" w:rsidR="00F83EFB" w:rsidRPr="00CB6C59" w:rsidRDefault="00F83EFB" w:rsidP="00E624FD">
            <w:pPr>
              <w:pStyle w:val="Tabletext-C"/>
              <w:rPr>
                <w:rFonts w:ascii="Arial" w:hAnsi="Arial" w:cs="Arial"/>
                <w:szCs w:val="20"/>
              </w:rPr>
            </w:pPr>
            <w:r w:rsidRPr="00CB6C59">
              <w:rPr>
                <w:rFonts w:ascii="Arial" w:hAnsi="Arial" w:cs="Arial"/>
                <w:szCs w:val="20"/>
              </w:rPr>
              <w:t>3</w:t>
            </w:r>
          </w:p>
        </w:tc>
        <w:tc>
          <w:tcPr>
            <w:tcW w:w="3121" w:type="dxa"/>
            <w:tcBorders>
              <w:top w:val="single" w:sz="4" w:space="0" w:color="auto"/>
              <w:left w:val="single" w:sz="6" w:space="0" w:color="auto"/>
              <w:bottom w:val="single" w:sz="4" w:space="0" w:color="auto"/>
              <w:right w:val="single" w:sz="4" w:space="0" w:color="000000"/>
            </w:tcBorders>
            <w:vAlign w:val="center"/>
          </w:tcPr>
          <w:p w14:paraId="58D6054F" w14:textId="77777777" w:rsidR="00F83EFB" w:rsidRPr="00CB6C59" w:rsidRDefault="00F83EFB" w:rsidP="00E624FD">
            <w:pPr>
              <w:pStyle w:val="Tabletext-C"/>
              <w:rPr>
                <w:rFonts w:ascii="Arial" w:hAnsi="Arial" w:cs="Arial"/>
                <w:szCs w:val="20"/>
              </w:rPr>
            </w:pPr>
            <w:r w:rsidRPr="00CB6C59">
              <w:rPr>
                <w:rFonts w:ascii="Arial" w:hAnsi="Arial" w:cs="Arial"/>
                <w:szCs w:val="20"/>
              </w:rPr>
              <w:t>2 μg ID93 alone</w:t>
            </w:r>
          </w:p>
        </w:tc>
        <w:tc>
          <w:tcPr>
            <w:tcW w:w="1121" w:type="dxa"/>
            <w:vMerge/>
            <w:tcBorders>
              <w:left w:val="single" w:sz="4" w:space="0" w:color="000000"/>
              <w:right w:val="single" w:sz="4" w:space="0" w:color="000000"/>
            </w:tcBorders>
            <w:vAlign w:val="center"/>
          </w:tcPr>
          <w:p w14:paraId="198FC155" w14:textId="77777777" w:rsidR="00F83EFB" w:rsidRPr="00CB6C59" w:rsidRDefault="00F83EFB" w:rsidP="00E624FD">
            <w:pPr>
              <w:jc w:val="center"/>
              <w:rPr>
                <w:rFonts w:cs="Arial"/>
                <w:sz w:val="20"/>
              </w:rPr>
            </w:pPr>
          </w:p>
        </w:tc>
        <w:tc>
          <w:tcPr>
            <w:tcW w:w="2497" w:type="dxa"/>
            <w:vMerge/>
            <w:tcBorders>
              <w:left w:val="single" w:sz="4" w:space="0" w:color="000000"/>
              <w:right w:val="single" w:sz="12" w:space="0" w:color="auto"/>
            </w:tcBorders>
            <w:vAlign w:val="center"/>
          </w:tcPr>
          <w:p w14:paraId="3AF8AA0E" w14:textId="77777777" w:rsidR="00F83EFB" w:rsidRPr="00CB6C59" w:rsidRDefault="00F83EFB" w:rsidP="00E624FD">
            <w:pPr>
              <w:jc w:val="center"/>
              <w:rPr>
                <w:rFonts w:cs="Arial"/>
                <w:sz w:val="20"/>
              </w:rPr>
            </w:pPr>
          </w:p>
        </w:tc>
      </w:tr>
      <w:tr w:rsidR="00F83EFB" w:rsidRPr="00F3093E" w14:paraId="583F3F4C" w14:textId="77777777" w:rsidTr="00E624FD">
        <w:trPr>
          <w:jc w:val="center"/>
        </w:trPr>
        <w:tc>
          <w:tcPr>
            <w:tcW w:w="889" w:type="dxa"/>
            <w:vMerge w:val="restart"/>
            <w:tcBorders>
              <w:top w:val="single" w:sz="6" w:space="0" w:color="auto"/>
              <w:left w:val="single" w:sz="12" w:space="0" w:color="auto"/>
              <w:bottom w:val="single" w:sz="6" w:space="0" w:color="auto"/>
              <w:right w:val="single" w:sz="6" w:space="0" w:color="auto"/>
            </w:tcBorders>
            <w:vAlign w:val="center"/>
          </w:tcPr>
          <w:p w14:paraId="5C952472" w14:textId="77777777" w:rsidR="00F83EFB" w:rsidRPr="00CB6C59" w:rsidRDefault="00F83EFB" w:rsidP="00E624FD">
            <w:pPr>
              <w:pStyle w:val="Tabletext-C"/>
              <w:rPr>
                <w:rFonts w:ascii="Arial" w:hAnsi="Arial" w:cs="Arial"/>
                <w:szCs w:val="20"/>
              </w:rPr>
            </w:pPr>
            <w:r w:rsidRPr="00CB6C59">
              <w:rPr>
                <w:rFonts w:ascii="Arial" w:hAnsi="Arial" w:cs="Arial"/>
                <w:szCs w:val="20"/>
              </w:rPr>
              <w:t>#4</w:t>
            </w:r>
          </w:p>
        </w:tc>
        <w:tc>
          <w:tcPr>
            <w:tcW w:w="868" w:type="dxa"/>
            <w:tcBorders>
              <w:top w:val="single" w:sz="4" w:space="0" w:color="auto"/>
              <w:left w:val="single" w:sz="6" w:space="0" w:color="auto"/>
              <w:bottom w:val="single" w:sz="4" w:space="0" w:color="auto"/>
              <w:right w:val="single" w:sz="6" w:space="0" w:color="auto"/>
            </w:tcBorders>
            <w:vAlign w:val="center"/>
          </w:tcPr>
          <w:p w14:paraId="60A41409" w14:textId="77777777" w:rsidR="00F83EFB" w:rsidRPr="00CB6C59" w:rsidRDefault="00F83EFB" w:rsidP="00E624FD">
            <w:pPr>
              <w:pStyle w:val="Tabletext-C"/>
              <w:rPr>
                <w:rFonts w:ascii="Arial" w:hAnsi="Arial" w:cs="Arial"/>
                <w:szCs w:val="20"/>
              </w:rPr>
            </w:pPr>
            <w:r w:rsidRPr="00CB6C59">
              <w:rPr>
                <w:rFonts w:ascii="Arial" w:hAnsi="Arial" w:cs="Arial"/>
                <w:szCs w:val="20"/>
              </w:rPr>
              <w:t>12</w:t>
            </w:r>
          </w:p>
        </w:tc>
        <w:tc>
          <w:tcPr>
            <w:tcW w:w="3121" w:type="dxa"/>
            <w:tcBorders>
              <w:top w:val="single" w:sz="4" w:space="0" w:color="auto"/>
              <w:left w:val="single" w:sz="6" w:space="0" w:color="auto"/>
              <w:bottom w:val="single" w:sz="4" w:space="0" w:color="auto"/>
              <w:right w:val="single" w:sz="4" w:space="0" w:color="000000"/>
            </w:tcBorders>
            <w:vAlign w:val="center"/>
          </w:tcPr>
          <w:p w14:paraId="11A18952" w14:textId="77777777" w:rsidR="00F83EFB" w:rsidRPr="000B7056" w:rsidDel="00EA6DC6" w:rsidRDefault="00F83EFB" w:rsidP="00E624FD">
            <w:pPr>
              <w:pStyle w:val="Tabletext-C"/>
              <w:rPr>
                <w:rFonts w:ascii="Arial" w:hAnsi="Arial" w:cs="Arial"/>
                <w:szCs w:val="20"/>
                <w:lang w:val="fr-FR"/>
              </w:rPr>
            </w:pPr>
            <w:r w:rsidRPr="000B7056">
              <w:rPr>
                <w:rFonts w:ascii="Arial" w:hAnsi="Arial" w:cs="Arial"/>
                <w:szCs w:val="20"/>
                <w:lang w:val="fr-FR"/>
              </w:rPr>
              <w:t xml:space="preserve">10 </w:t>
            </w:r>
            <w:r w:rsidRPr="00CB6C59">
              <w:rPr>
                <w:rFonts w:ascii="Arial" w:hAnsi="Arial" w:cs="Arial"/>
                <w:szCs w:val="20"/>
              </w:rPr>
              <w:t>μ</w:t>
            </w:r>
            <w:r w:rsidRPr="000B7056">
              <w:rPr>
                <w:rFonts w:ascii="Arial" w:hAnsi="Arial" w:cs="Arial"/>
                <w:szCs w:val="20"/>
                <w:lang w:val="fr-FR"/>
              </w:rPr>
              <w:t xml:space="preserve">g ID93 + 5 </w:t>
            </w:r>
            <w:r w:rsidRPr="00CB6C59">
              <w:rPr>
                <w:rFonts w:ascii="Arial" w:hAnsi="Arial" w:cs="Arial"/>
                <w:szCs w:val="20"/>
              </w:rPr>
              <w:t>μ</w:t>
            </w:r>
            <w:r w:rsidRPr="000B7056">
              <w:rPr>
                <w:rFonts w:ascii="Arial" w:hAnsi="Arial" w:cs="Arial"/>
                <w:szCs w:val="20"/>
                <w:lang w:val="fr-FR"/>
              </w:rPr>
              <w:t>g GLA-SE</w:t>
            </w:r>
          </w:p>
        </w:tc>
        <w:tc>
          <w:tcPr>
            <w:tcW w:w="1121" w:type="dxa"/>
            <w:vMerge/>
            <w:tcBorders>
              <w:left w:val="single" w:sz="4" w:space="0" w:color="000000"/>
              <w:right w:val="single" w:sz="4" w:space="0" w:color="000000"/>
            </w:tcBorders>
            <w:vAlign w:val="center"/>
          </w:tcPr>
          <w:p w14:paraId="79454149" w14:textId="77777777" w:rsidR="00F83EFB" w:rsidRPr="000B7056" w:rsidRDefault="00F83EFB" w:rsidP="00E624FD">
            <w:pPr>
              <w:jc w:val="center"/>
              <w:rPr>
                <w:rFonts w:cs="Arial"/>
                <w:sz w:val="20"/>
                <w:lang w:val="fr-FR"/>
              </w:rPr>
            </w:pPr>
          </w:p>
        </w:tc>
        <w:tc>
          <w:tcPr>
            <w:tcW w:w="2497" w:type="dxa"/>
            <w:vMerge/>
            <w:tcBorders>
              <w:left w:val="single" w:sz="4" w:space="0" w:color="000000"/>
              <w:right w:val="single" w:sz="12" w:space="0" w:color="auto"/>
            </w:tcBorders>
            <w:vAlign w:val="center"/>
          </w:tcPr>
          <w:p w14:paraId="70E6906B" w14:textId="77777777" w:rsidR="00F83EFB" w:rsidRPr="000B7056" w:rsidRDefault="00F83EFB" w:rsidP="00E624FD">
            <w:pPr>
              <w:jc w:val="center"/>
              <w:rPr>
                <w:rFonts w:cs="Arial"/>
                <w:sz w:val="20"/>
                <w:lang w:val="fr-FR"/>
              </w:rPr>
            </w:pPr>
          </w:p>
        </w:tc>
      </w:tr>
      <w:tr w:rsidR="00F83EFB" w:rsidRPr="00CB6C59" w14:paraId="5623BB92" w14:textId="77777777" w:rsidTr="00E624FD">
        <w:trPr>
          <w:jc w:val="center"/>
        </w:trPr>
        <w:tc>
          <w:tcPr>
            <w:tcW w:w="889" w:type="dxa"/>
            <w:vMerge/>
            <w:tcBorders>
              <w:top w:val="single" w:sz="6" w:space="0" w:color="auto"/>
              <w:left w:val="single" w:sz="12" w:space="0" w:color="auto"/>
              <w:bottom w:val="single" w:sz="12" w:space="0" w:color="auto"/>
              <w:right w:val="single" w:sz="6" w:space="0" w:color="auto"/>
            </w:tcBorders>
            <w:vAlign w:val="center"/>
          </w:tcPr>
          <w:p w14:paraId="0D6C2C24" w14:textId="77777777" w:rsidR="00F83EFB" w:rsidRPr="000B7056" w:rsidRDefault="00F83EFB" w:rsidP="00E624FD">
            <w:pPr>
              <w:pStyle w:val="Tabletext-C"/>
              <w:rPr>
                <w:rFonts w:ascii="Arial" w:hAnsi="Arial" w:cs="Arial"/>
                <w:szCs w:val="20"/>
                <w:lang w:val="fr-FR"/>
              </w:rPr>
            </w:pPr>
          </w:p>
        </w:tc>
        <w:tc>
          <w:tcPr>
            <w:tcW w:w="868" w:type="dxa"/>
            <w:tcBorders>
              <w:top w:val="single" w:sz="4" w:space="0" w:color="auto"/>
              <w:left w:val="single" w:sz="6" w:space="0" w:color="auto"/>
              <w:bottom w:val="single" w:sz="12" w:space="0" w:color="auto"/>
              <w:right w:val="single" w:sz="6" w:space="0" w:color="auto"/>
            </w:tcBorders>
            <w:vAlign w:val="center"/>
          </w:tcPr>
          <w:p w14:paraId="09E61947" w14:textId="77777777" w:rsidR="00F83EFB" w:rsidRPr="00CB6C59" w:rsidRDefault="00F83EFB" w:rsidP="00E624FD">
            <w:pPr>
              <w:pStyle w:val="Tabletext-C"/>
              <w:rPr>
                <w:rFonts w:ascii="Arial" w:hAnsi="Arial" w:cs="Arial"/>
                <w:szCs w:val="20"/>
              </w:rPr>
            </w:pPr>
            <w:r w:rsidRPr="00CB6C59">
              <w:rPr>
                <w:rFonts w:ascii="Arial" w:hAnsi="Arial" w:cs="Arial"/>
                <w:szCs w:val="20"/>
              </w:rPr>
              <w:t>3</w:t>
            </w:r>
          </w:p>
        </w:tc>
        <w:tc>
          <w:tcPr>
            <w:tcW w:w="3121" w:type="dxa"/>
            <w:tcBorders>
              <w:top w:val="single" w:sz="4" w:space="0" w:color="auto"/>
              <w:left w:val="single" w:sz="6" w:space="0" w:color="auto"/>
              <w:bottom w:val="single" w:sz="12" w:space="0" w:color="auto"/>
              <w:right w:val="single" w:sz="4" w:space="0" w:color="000000"/>
            </w:tcBorders>
            <w:vAlign w:val="center"/>
          </w:tcPr>
          <w:p w14:paraId="5B64751C" w14:textId="77777777" w:rsidR="00F83EFB" w:rsidRPr="00CB6C59" w:rsidDel="00EA6DC6" w:rsidRDefault="00F83EFB" w:rsidP="00E624FD">
            <w:pPr>
              <w:pStyle w:val="Tabletext-C"/>
              <w:rPr>
                <w:rFonts w:ascii="Arial" w:hAnsi="Arial" w:cs="Arial"/>
                <w:szCs w:val="20"/>
              </w:rPr>
            </w:pPr>
            <w:r w:rsidRPr="00CB6C59">
              <w:rPr>
                <w:rFonts w:ascii="Arial" w:hAnsi="Arial" w:cs="Arial"/>
                <w:szCs w:val="20"/>
              </w:rPr>
              <w:t>10 μg ID93 alone</w:t>
            </w:r>
          </w:p>
        </w:tc>
        <w:tc>
          <w:tcPr>
            <w:tcW w:w="1121" w:type="dxa"/>
            <w:vMerge/>
            <w:tcBorders>
              <w:left w:val="single" w:sz="4" w:space="0" w:color="000000"/>
              <w:bottom w:val="single" w:sz="12" w:space="0" w:color="auto"/>
              <w:right w:val="single" w:sz="4" w:space="0" w:color="000000"/>
            </w:tcBorders>
            <w:vAlign w:val="center"/>
          </w:tcPr>
          <w:p w14:paraId="308C4F26" w14:textId="77777777" w:rsidR="00F83EFB" w:rsidRPr="00CB6C59" w:rsidRDefault="00F83EFB" w:rsidP="00E624FD">
            <w:pPr>
              <w:jc w:val="center"/>
              <w:rPr>
                <w:rFonts w:cs="Arial"/>
                <w:sz w:val="20"/>
              </w:rPr>
            </w:pPr>
          </w:p>
        </w:tc>
        <w:tc>
          <w:tcPr>
            <w:tcW w:w="2497" w:type="dxa"/>
            <w:vMerge/>
            <w:tcBorders>
              <w:left w:val="single" w:sz="4" w:space="0" w:color="000000"/>
              <w:bottom w:val="single" w:sz="12" w:space="0" w:color="auto"/>
              <w:right w:val="single" w:sz="12" w:space="0" w:color="auto"/>
            </w:tcBorders>
            <w:vAlign w:val="center"/>
          </w:tcPr>
          <w:p w14:paraId="11C538E1" w14:textId="77777777" w:rsidR="00F83EFB" w:rsidRPr="00CB6C59" w:rsidRDefault="00F83EFB" w:rsidP="00E624FD">
            <w:pPr>
              <w:jc w:val="center"/>
              <w:rPr>
                <w:rFonts w:cs="Arial"/>
                <w:sz w:val="20"/>
              </w:rPr>
            </w:pPr>
          </w:p>
        </w:tc>
      </w:tr>
    </w:tbl>
    <w:p w14:paraId="33DFB3D8" w14:textId="0C38BC76" w:rsidR="00E624FD" w:rsidRPr="00CB6C59" w:rsidRDefault="00E624FD" w:rsidP="00007815">
      <w:pPr>
        <w:pStyle w:val="IndentHeader1"/>
        <w:spacing w:before="120" w:after="120" w:line="276" w:lineRule="auto"/>
        <w:rPr>
          <w:rFonts w:ascii="Arial" w:hAnsi="Arial" w:cs="Arial"/>
          <w:sz w:val="22"/>
          <w:szCs w:val="22"/>
        </w:rPr>
      </w:pPr>
      <w:r w:rsidRPr="00CB6C59">
        <w:rPr>
          <w:rFonts w:ascii="Arial" w:hAnsi="Arial" w:cs="Arial"/>
          <w:sz w:val="22"/>
          <w:szCs w:val="22"/>
        </w:rPr>
        <w:t>Subjects received a total of three intramuscular (IM) study injections at the Day 0, Day 28, and Day 56 visits. Safety assessments were performed 1, 3, 7, 14, and 28 days after each study injection. Subjects remain</w:t>
      </w:r>
      <w:r w:rsidR="008A4286">
        <w:rPr>
          <w:rFonts w:ascii="Arial" w:hAnsi="Arial" w:cs="Arial"/>
          <w:sz w:val="22"/>
          <w:szCs w:val="22"/>
        </w:rPr>
        <w:t>ed</w:t>
      </w:r>
      <w:r w:rsidRPr="00CB6C59">
        <w:rPr>
          <w:rFonts w:ascii="Arial" w:hAnsi="Arial" w:cs="Arial"/>
          <w:sz w:val="22"/>
          <w:szCs w:val="22"/>
        </w:rPr>
        <w:t xml:space="preserve"> in follow-up for one year after the last study injection. This study is being conducted at Johnson County Clin-Trials in Lenexa, Kansas (Clinicaltrials.gov identifier: </w:t>
      </w:r>
      <w:r w:rsidRPr="000D7A81">
        <w:rPr>
          <w:rFonts w:ascii="Arial" w:hAnsi="Arial" w:cs="Arial"/>
          <w:sz w:val="22"/>
          <w:szCs w:val="22"/>
        </w:rPr>
        <w:t>NCT01599897</w:t>
      </w:r>
      <w:r w:rsidRPr="00CB6C59">
        <w:rPr>
          <w:rFonts w:ascii="Arial" w:hAnsi="Arial" w:cs="Arial"/>
          <w:sz w:val="22"/>
          <w:szCs w:val="22"/>
        </w:rPr>
        <w:t>).</w:t>
      </w:r>
    </w:p>
    <w:p w14:paraId="28033D36" w14:textId="28450D86" w:rsidR="00E624FD" w:rsidRPr="00CB6C59" w:rsidRDefault="008A4286" w:rsidP="00007815">
      <w:pPr>
        <w:pStyle w:val="IndentHeader1"/>
        <w:spacing w:before="120" w:after="120" w:line="276" w:lineRule="auto"/>
        <w:rPr>
          <w:rFonts w:ascii="Arial" w:hAnsi="Arial" w:cs="Arial"/>
          <w:sz w:val="22"/>
          <w:szCs w:val="22"/>
        </w:rPr>
      </w:pPr>
      <w:r w:rsidRPr="008A4286">
        <w:rPr>
          <w:rFonts w:ascii="Arial" w:hAnsi="Arial" w:cs="Arial"/>
          <w:sz w:val="22"/>
          <w:szCs w:val="22"/>
        </w:rPr>
        <w:t>Although all subjects have completed the study as of 30MAY2014, as of the data cutoff date of 05MAY2014, subjects in Cohorts 1 and 2 had completed the study and subjects in Cohorts 3 and 4 only had the final follow-up phone call to complete.</w:t>
      </w:r>
      <w:r w:rsidR="00E624FD" w:rsidRPr="00CB6C59">
        <w:rPr>
          <w:rFonts w:ascii="Arial" w:hAnsi="Arial" w:cs="Arial"/>
          <w:sz w:val="22"/>
          <w:szCs w:val="22"/>
        </w:rPr>
        <w:t xml:space="preserve"> The preliminary safety data is summarized below.</w:t>
      </w:r>
    </w:p>
    <w:p w14:paraId="1F500EFF" w14:textId="6DAA494E" w:rsidR="00E624FD" w:rsidRPr="00CB6C59" w:rsidRDefault="00E624FD" w:rsidP="00007815">
      <w:pPr>
        <w:pStyle w:val="IndentHeader1"/>
        <w:spacing w:before="120" w:after="120" w:line="276" w:lineRule="auto"/>
        <w:rPr>
          <w:rFonts w:ascii="Arial" w:hAnsi="Arial" w:cs="Arial"/>
          <w:sz w:val="22"/>
          <w:szCs w:val="22"/>
        </w:rPr>
      </w:pPr>
      <w:r w:rsidRPr="00CB6C59">
        <w:rPr>
          <w:rFonts w:ascii="Arial" w:hAnsi="Arial" w:cs="Arial"/>
          <w:sz w:val="22"/>
          <w:szCs w:val="22"/>
        </w:rPr>
        <w:t xml:space="preserve">The safety data is blinded within each cohort with respect to whether the adjuvanted vaccine or the antigen alone was administered. </w:t>
      </w:r>
      <w:r w:rsidR="00116C31">
        <w:rPr>
          <w:rFonts w:ascii="Arial" w:hAnsi="Arial" w:cs="Arial"/>
          <w:sz w:val="22"/>
          <w:szCs w:val="22"/>
        </w:rPr>
        <w:t>E</w:t>
      </w:r>
      <w:r w:rsidRPr="00CB6C59">
        <w:rPr>
          <w:rFonts w:ascii="Arial" w:hAnsi="Arial" w:cs="Arial"/>
          <w:sz w:val="22"/>
          <w:szCs w:val="22"/>
        </w:rPr>
        <w:t>ach column in the tables that follow is headed with the Cohort number and the dose of ID93 plus or minus (±) the dose of GLA-SE; the “n” for each group is 15.</w:t>
      </w:r>
    </w:p>
    <w:p w14:paraId="5D5BFFF6" w14:textId="77777777" w:rsidR="00E624FD" w:rsidRPr="00CB6C59" w:rsidRDefault="00E624FD" w:rsidP="00007815">
      <w:pPr>
        <w:pStyle w:val="IndentHeader2"/>
        <w:spacing w:before="120" w:after="120" w:line="276" w:lineRule="auto"/>
        <w:ind w:left="0"/>
        <w:rPr>
          <w:rFonts w:ascii="Arial" w:hAnsi="Arial" w:cs="Arial"/>
          <w:sz w:val="22"/>
          <w:szCs w:val="22"/>
        </w:rPr>
      </w:pPr>
      <w:r w:rsidRPr="00CB6C59">
        <w:rPr>
          <w:rFonts w:ascii="Arial" w:hAnsi="Arial" w:cs="Arial"/>
          <w:sz w:val="22"/>
          <w:szCs w:val="22"/>
        </w:rPr>
        <w:t>There were no Grade 4 adverse events, SAEs, AESIs, or deaths. Five subjects withdrew consent prior to receiving all three injections. No subjects withdrew because of safety-related reasons (e.g., an adverse event).</w:t>
      </w:r>
    </w:p>
    <w:p w14:paraId="2D776A78" w14:textId="4A0BA95B" w:rsidR="00E624FD" w:rsidRPr="00CB6C59" w:rsidRDefault="00E624FD" w:rsidP="00007815">
      <w:pPr>
        <w:autoSpaceDE w:val="0"/>
        <w:autoSpaceDN w:val="0"/>
        <w:spacing w:before="120" w:after="120" w:line="276" w:lineRule="auto"/>
        <w:rPr>
          <w:rFonts w:cs="Arial"/>
          <w:szCs w:val="22"/>
        </w:rPr>
      </w:pPr>
      <w:r w:rsidRPr="00CB6C59">
        <w:rPr>
          <w:rFonts w:cs="Arial"/>
          <w:szCs w:val="22"/>
        </w:rPr>
        <w:t>Local injection site adverse events (AEs) are tabulate</w:t>
      </w:r>
      <w:r w:rsidRPr="00DD3316">
        <w:rPr>
          <w:rFonts w:cs="Arial"/>
          <w:szCs w:val="22"/>
        </w:rPr>
        <w:t xml:space="preserve">d in </w:t>
      </w:r>
      <w:r w:rsidRPr="0040275E">
        <w:rPr>
          <w:rFonts w:cs="Arial"/>
          <w:color w:val="0000FF"/>
          <w:szCs w:val="22"/>
        </w:rPr>
        <w:fldChar w:fldCharType="begin"/>
      </w:r>
      <w:r w:rsidRPr="0040275E">
        <w:rPr>
          <w:rFonts w:cs="Arial"/>
          <w:color w:val="0000FF"/>
          <w:szCs w:val="22"/>
        </w:rPr>
        <w:instrText xml:space="preserve"> REF  _Ref346272396 \h  \* MERGEFORMAT </w:instrText>
      </w:r>
      <w:r w:rsidRPr="0040275E">
        <w:rPr>
          <w:rFonts w:cs="Arial"/>
          <w:color w:val="0000FF"/>
          <w:szCs w:val="22"/>
        </w:rPr>
      </w:r>
      <w:r w:rsidRPr="0040275E">
        <w:rPr>
          <w:rFonts w:cs="Arial"/>
          <w:color w:val="0000FF"/>
          <w:szCs w:val="22"/>
        </w:rPr>
        <w:fldChar w:fldCharType="separate"/>
      </w:r>
      <w:r w:rsidR="00024E24" w:rsidRPr="00024E24">
        <w:rPr>
          <w:rFonts w:cs="Arial"/>
          <w:color w:val="0000FF"/>
          <w:szCs w:val="22"/>
        </w:rPr>
        <w:t>Table 2</w:t>
      </w:r>
      <w:r w:rsidRPr="0040275E">
        <w:rPr>
          <w:rFonts w:cs="Arial"/>
          <w:color w:val="0000FF"/>
          <w:szCs w:val="22"/>
        </w:rPr>
        <w:fldChar w:fldCharType="end"/>
      </w:r>
      <w:r w:rsidRPr="00DD3316">
        <w:rPr>
          <w:rFonts w:cs="Arial"/>
          <w:szCs w:val="22"/>
        </w:rPr>
        <w:t>. The mos</w:t>
      </w:r>
      <w:r w:rsidRPr="00CB6C59">
        <w:rPr>
          <w:rFonts w:cs="Arial"/>
          <w:szCs w:val="22"/>
        </w:rPr>
        <w:t>t frequent local reaction was injection site pain, followed by induration and erythema. One Grade 3 self-limiting erythema was noted in a Cohort 1 subject three days after the third dose. This event caused no discomfort to the subject and resolved by the next day. The Safety Monitoring Committee reviewed the case along with all other available injection site reactions and recommended continuing study as is without modifications. There were no Grade 4 local reactions.</w:t>
      </w:r>
    </w:p>
    <w:p w14:paraId="593C38DC" w14:textId="6192CBD1" w:rsidR="00E624FD" w:rsidRPr="00CB6C59" w:rsidRDefault="00E624FD" w:rsidP="00906CD6">
      <w:pPr>
        <w:pStyle w:val="Caption"/>
      </w:pPr>
      <w:bookmarkStart w:id="39" w:name="_Ref346272396"/>
      <w:bookmarkStart w:id="40" w:name="_Toc388606804"/>
      <w:bookmarkStart w:id="41" w:name="_Toc388606832"/>
      <w:bookmarkStart w:id="42" w:name="_Toc389130069"/>
      <w:bookmarkStart w:id="43" w:name="_Toc389130099"/>
      <w:bookmarkStart w:id="44" w:name="_Toc440906400"/>
      <w:r w:rsidRPr="00CB6C59">
        <w:t xml:space="preserve">Table </w:t>
      </w:r>
      <w:r w:rsidR="00024E24">
        <w:fldChar w:fldCharType="begin"/>
      </w:r>
      <w:r w:rsidR="00024E24">
        <w:instrText xml:space="preserve"> SEQ Table \* ARABIC </w:instrText>
      </w:r>
      <w:r w:rsidR="00024E24">
        <w:fldChar w:fldCharType="separate"/>
      </w:r>
      <w:r w:rsidR="00024E24">
        <w:rPr>
          <w:noProof/>
        </w:rPr>
        <w:t>2</w:t>
      </w:r>
      <w:r w:rsidR="00024E24">
        <w:rPr>
          <w:noProof/>
        </w:rPr>
        <w:fldChar w:fldCharType="end"/>
      </w:r>
      <w:bookmarkEnd w:id="39"/>
      <w:r w:rsidRPr="00CB6C59">
        <w:t>:</w:t>
      </w:r>
      <w:r w:rsidRPr="00CB6C59">
        <w:tab/>
        <w:t xml:space="preserve">IDRI-TBVPX-113: Incidence of Local </w:t>
      </w:r>
      <w:r>
        <w:t xml:space="preserve">and Systemic </w:t>
      </w:r>
      <w:r w:rsidRPr="00CB6C59">
        <w:t>Reactogenicity Adverse Events</w:t>
      </w:r>
      <w:bookmarkEnd w:id="40"/>
      <w:bookmarkEnd w:id="41"/>
      <w:bookmarkEnd w:id="42"/>
      <w:bookmarkEnd w:id="43"/>
      <w:bookmarkEnd w:id="44"/>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80"/>
        <w:gridCol w:w="720"/>
        <w:gridCol w:w="1440"/>
        <w:gridCol w:w="1440"/>
        <w:gridCol w:w="1440"/>
        <w:gridCol w:w="1440"/>
      </w:tblGrid>
      <w:tr w:rsidR="00E624FD" w:rsidRPr="00CB6C59" w14:paraId="2F03D941" w14:textId="77777777" w:rsidTr="00E624FD">
        <w:trPr>
          <w:cantSplit/>
          <w:trHeight w:val="288"/>
          <w:tblHeader/>
          <w:jc w:val="center"/>
        </w:trPr>
        <w:tc>
          <w:tcPr>
            <w:tcW w:w="2880" w:type="dxa"/>
            <w:tcBorders>
              <w:top w:val="single" w:sz="12" w:space="0" w:color="auto"/>
              <w:bottom w:val="nil"/>
            </w:tcBorders>
            <w:shd w:val="clear" w:color="auto" w:fill="D9D9D9"/>
            <w:vAlign w:val="bottom"/>
          </w:tcPr>
          <w:p w14:paraId="765E43C2" w14:textId="77777777" w:rsidR="00E624FD" w:rsidRPr="00CB6C59" w:rsidRDefault="00E624FD" w:rsidP="00E624FD">
            <w:pPr>
              <w:keepNext/>
              <w:autoSpaceDE w:val="0"/>
              <w:autoSpaceDN w:val="0"/>
              <w:adjustRightInd w:val="0"/>
              <w:rPr>
                <w:rFonts w:cs="Arial"/>
                <w:b/>
                <w:bCs/>
                <w:color w:val="000000"/>
                <w:sz w:val="20"/>
              </w:rPr>
            </w:pPr>
          </w:p>
        </w:tc>
        <w:tc>
          <w:tcPr>
            <w:tcW w:w="720" w:type="dxa"/>
            <w:tcBorders>
              <w:top w:val="single" w:sz="12" w:space="0" w:color="auto"/>
              <w:bottom w:val="nil"/>
            </w:tcBorders>
            <w:shd w:val="clear" w:color="auto" w:fill="D9D9D9"/>
            <w:vAlign w:val="bottom"/>
          </w:tcPr>
          <w:p w14:paraId="195A62A3" w14:textId="77777777" w:rsidR="00E624FD" w:rsidRPr="00CB6C59" w:rsidRDefault="00E624FD" w:rsidP="00E624FD">
            <w:pPr>
              <w:keepNext/>
              <w:autoSpaceDE w:val="0"/>
              <w:autoSpaceDN w:val="0"/>
              <w:adjustRightInd w:val="0"/>
              <w:jc w:val="center"/>
              <w:rPr>
                <w:rFonts w:cs="Arial"/>
                <w:b/>
                <w:color w:val="000000"/>
                <w:sz w:val="20"/>
              </w:rPr>
            </w:pPr>
          </w:p>
        </w:tc>
        <w:tc>
          <w:tcPr>
            <w:tcW w:w="1440" w:type="dxa"/>
            <w:shd w:val="clear" w:color="auto" w:fill="D9D9D9"/>
            <w:vAlign w:val="center"/>
          </w:tcPr>
          <w:p w14:paraId="3B86D61D"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1</w:t>
            </w:r>
          </w:p>
        </w:tc>
        <w:tc>
          <w:tcPr>
            <w:tcW w:w="1440" w:type="dxa"/>
            <w:shd w:val="clear" w:color="auto" w:fill="D9D9D9"/>
            <w:vAlign w:val="center"/>
          </w:tcPr>
          <w:p w14:paraId="3ED0FAA4"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2</w:t>
            </w:r>
          </w:p>
        </w:tc>
        <w:tc>
          <w:tcPr>
            <w:tcW w:w="1440" w:type="dxa"/>
            <w:shd w:val="clear" w:color="auto" w:fill="D9D9D9"/>
            <w:vAlign w:val="center"/>
          </w:tcPr>
          <w:p w14:paraId="722C32D4"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3</w:t>
            </w:r>
          </w:p>
        </w:tc>
        <w:tc>
          <w:tcPr>
            <w:tcW w:w="1440" w:type="dxa"/>
            <w:shd w:val="clear" w:color="auto" w:fill="D9D9D9"/>
            <w:vAlign w:val="center"/>
          </w:tcPr>
          <w:p w14:paraId="24A6D346"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4</w:t>
            </w:r>
          </w:p>
        </w:tc>
      </w:tr>
      <w:tr w:rsidR="00E624FD" w:rsidRPr="00F3093E" w14:paraId="7415CEF5" w14:textId="77777777" w:rsidTr="00E624FD">
        <w:trPr>
          <w:cantSplit/>
          <w:trHeight w:val="288"/>
          <w:tblHeader/>
          <w:jc w:val="center"/>
        </w:trPr>
        <w:tc>
          <w:tcPr>
            <w:tcW w:w="2880" w:type="dxa"/>
            <w:tcBorders>
              <w:top w:val="nil"/>
              <w:bottom w:val="single" w:sz="4" w:space="0" w:color="auto"/>
            </w:tcBorders>
            <w:shd w:val="clear" w:color="auto" w:fill="D9D9D9"/>
            <w:vAlign w:val="bottom"/>
          </w:tcPr>
          <w:p w14:paraId="41B26EA0" w14:textId="77777777" w:rsidR="00E624FD" w:rsidRPr="00CB6C59" w:rsidRDefault="00E624FD" w:rsidP="00E624FD">
            <w:pPr>
              <w:keepNext/>
              <w:autoSpaceDE w:val="0"/>
              <w:autoSpaceDN w:val="0"/>
              <w:adjustRightInd w:val="0"/>
              <w:rPr>
                <w:rFonts w:cs="Arial"/>
                <w:b/>
                <w:bCs/>
                <w:color w:val="000000"/>
                <w:sz w:val="20"/>
              </w:rPr>
            </w:pPr>
            <w:bookmarkStart w:id="45" w:name="IDX"/>
            <w:bookmarkEnd w:id="45"/>
            <w:r w:rsidRPr="00CB6C59">
              <w:rPr>
                <w:rFonts w:cs="Arial"/>
                <w:b/>
                <w:bCs/>
                <w:color w:val="000000"/>
                <w:sz w:val="20"/>
              </w:rPr>
              <w:t>Finding</w:t>
            </w:r>
          </w:p>
        </w:tc>
        <w:tc>
          <w:tcPr>
            <w:tcW w:w="720" w:type="dxa"/>
            <w:tcBorders>
              <w:top w:val="nil"/>
              <w:bottom w:val="single" w:sz="4" w:space="0" w:color="auto"/>
            </w:tcBorders>
            <w:shd w:val="clear" w:color="auto" w:fill="D9D9D9"/>
            <w:vAlign w:val="bottom"/>
          </w:tcPr>
          <w:p w14:paraId="754ACC0F" w14:textId="77777777" w:rsidR="00E624FD" w:rsidRPr="00CB6C59" w:rsidRDefault="00E624FD" w:rsidP="00E624FD">
            <w:pPr>
              <w:keepNext/>
              <w:autoSpaceDE w:val="0"/>
              <w:autoSpaceDN w:val="0"/>
              <w:adjustRightInd w:val="0"/>
              <w:jc w:val="center"/>
              <w:rPr>
                <w:rFonts w:cs="Arial"/>
                <w:b/>
                <w:color w:val="000000"/>
                <w:sz w:val="20"/>
              </w:rPr>
            </w:pPr>
            <w:r w:rsidRPr="00CB6C59">
              <w:rPr>
                <w:rFonts w:cs="Arial"/>
                <w:b/>
                <w:color w:val="000000"/>
                <w:sz w:val="20"/>
              </w:rPr>
              <w:t>Grade</w:t>
            </w:r>
          </w:p>
        </w:tc>
        <w:tc>
          <w:tcPr>
            <w:tcW w:w="1440" w:type="dxa"/>
            <w:shd w:val="clear" w:color="auto" w:fill="D9D9D9"/>
            <w:vAlign w:val="center"/>
          </w:tcPr>
          <w:p w14:paraId="518356C8"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2 µg ID93 ±</w:t>
            </w:r>
          </w:p>
          <w:p w14:paraId="36A50FBF"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2 µg GLA-SE</w:t>
            </w:r>
            <w:r w:rsidRPr="000B7056">
              <w:rPr>
                <w:rFonts w:cs="Arial"/>
                <w:b/>
                <w:bCs/>
                <w:color w:val="000000"/>
                <w:sz w:val="20"/>
                <w:lang w:val="fr-FR"/>
              </w:rPr>
              <w:br/>
              <w:t>(n=15)</w:t>
            </w:r>
          </w:p>
        </w:tc>
        <w:tc>
          <w:tcPr>
            <w:tcW w:w="1440" w:type="dxa"/>
            <w:shd w:val="clear" w:color="auto" w:fill="D9D9D9"/>
            <w:vAlign w:val="center"/>
          </w:tcPr>
          <w:p w14:paraId="7559EB19"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10 µg ID93 ±</w:t>
            </w:r>
          </w:p>
          <w:p w14:paraId="159D20AF"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2 µg GLA-SE</w:t>
            </w:r>
            <w:r w:rsidRPr="000B7056">
              <w:rPr>
                <w:rFonts w:cs="Arial"/>
                <w:b/>
                <w:bCs/>
                <w:color w:val="000000"/>
                <w:sz w:val="20"/>
                <w:lang w:val="fr-FR"/>
              </w:rPr>
              <w:br/>
              <w:t>(n=15)</w:t>
            </w:r>
          </w:p>
        </w:tc>
        <w:tc>
          <w:tcPr>
            <w:tcW w:w="1440" w:type="dxa"/>
            <w:shd w:val="clear" w:color="auto" w:fill="D9D9D9"/>
            <w:vAlign w:val="center"/>
          </w:tcPr>
          <w:p w14:paraId="47FBA421"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2 µg ID93 ±</w:t>
            </w:r>
          </w:p>
          <w:p w14:paraId="1BD45591"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5 µg GLA-SE (n=15)</w:t>
            </w:r>
          </w:p>
        </w:tc>
        <w:tc>
          <w:tcPr>
            <w:tcW w:w="1440" w:type="dxa"/>
            <w:shd w:val="clear" w:color="auto" w:fill="D9D9D9"/>
            <w:vAlign w:val="center"/>
          </w:tcPr>
          <w:p w14:paraId="3BE34B68"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10 µg ID93 ±</w:t>
            </w:r>
          </w:p>
          <w:p w14:paraId="19D0A34F"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5 µg GLA-SE (n=15)</w:t>
            </w:r>
          </w:p>
        </w:tc>
      </w:tr>
      <w:tr w:rsidR="00E624FD" w:rsidRPr="00CB6C59" w14:paraId="551A32F3" w14:textId="77777777" w:rsidTr="00E624FD">
        <w:trPr>
          <w:cantSplit/>
          <w:trHeight w:val="288"/>
          <w:jc w:val="center"/>
        </w:trPr>
        <w:tc>
          <w:tcPr>
            <w:tcW w:w="2880" w:type="dxa"/>
            <w:tcBorders>
              <w:top w:val="single" w:sz="4" w:space="0" w:color="auto"/>
              <w:bottom w:val="nil"/>
            </w:tcBorders>
            <w:shd w:val="clear" w:color="auto" w:fill="FFFFFF"/>
            <w:vAlign w:val="center"/>
          </w:tcPr>
          <w:p w14:paraId="03B1953A"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Injection site erythema</w:t>
            </w:r>
          </w:p>
        </w:tc>
        <w:tc>
          <w:tcPr>
            <w:tcW w:w="720" w:type="dxa"/>
            <w:tcBorders>
              <w:top w:val="single" w:sz="4" w:space="0" w:color="auto"/>
            </w:tcBorders>
            <w:shd w:val="clear" w:color="auto" w:fill="FFFFFF"/>
            <w:vAlign w:val="center"/>
          </w:tcPr>
          <w:p w14:paraId="4EB68E16"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shd w:val="clear" w:color="auto" w:fill="FFFFFF"/>
            <w:vAlign w:val="center"/>
          </w:tcPr>
          <w:p w14:paraId="4C75CECA"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440" w:type="dxa"/>
            <w:shd w:val="clear" w:color="auto" w:fill="FFFFFF"/>
            <w:vAlign w:val="center"/>
          </w:tcPr>
          <w:p w14:paraId="5E8AEB54"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1272EE74"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5E32920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2CC51568" w14:textId="77777777" w:rsidTr="00E624FD">
        <w:trPr>
          <w:cantSplit/>
          <w:trHeight w:val="288"/>
          <w:jc w:val="center"/>
        </w:trPr>
        <w:tc>
          <w:tcPr>
            <w:tcW w:w="2880" w:type="dxa"/>
            <w:tcBorders>
              <w:top w:val="nil"/>
              <w:bottom w:val="single" w:sz="4" w:space="0" w:color="auto"/>
            </w:tcBorders>
            <w:shd w:val="clear" w:color="auto" w:fill="FFFFFF"/>
            <w:vAlign w:val="center"/>
          </w:tcPr>
          <w:p w14:paraId="69216486" w14:textId="77777777" w:rsidR="00E624FD" w:rsidRPr="00CB6C59" w:rsidRDefault="00E624FD" w:rsidP="00E624FD">
            <w:pPr>
              <w:keepNext/>
              <w:autoSpaceDE w:val="0"/>
              <w:autoSpaceDN w:val="0"/>
              <w:adjustRightInd w:val="0"/>
              <w:ind w:left="90"/>
              <w:rPr>
                <w:rFonts w:cs="Arial"/>
                <w:color w:val="000000"/>
                <w:sz w:val="20"/>
              </w:rPr>
            </w:pPr>
          </w:p>
        </w:tc>
        <w:tc>
          <w:tcPr>
            <w:tcW w:w="720" w:type="dxa"/>
            <w:shd w:val="clear" w:color="auto" w:fill="FFFFFF"/>
            <w:vAlign w:val="center"/>
          </w:tcPr>
          <w:p w14:paraId="411A572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w:t>
            </w:r>
          </w:p>
        </w:tc>
        <w:tc>
          <w:tcPr>
            <w:tcW w:w="1440" w:type="dxa"/>
            <w:shd w:val="clear" w:color="auto" w:fill="FFFFFF"/>
            <w:vAlign w:val="center"/>
          </w:tcPr>
          <w:p w14:paraId="2A8D366D"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440" w:type="dxa"/>
            <w:shd w:val="clear" w:color="auto" w:fill="FFFFFF"/>
            <w:vAlign w:val="center"/>
          </w:tcPr>
          <w:p w14:paraId="066DB83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3A4197F6"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016F7AC2"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07A8292C" w14:textId="77777777" w:rsidTr="00E624FD">
        <w:trPr>
          <w:cantSplit/>
          <w:trHeight w:val="288"/>
          <w:jc w:val="center"/>
        </w:trPr>
        <w:tc>
          <w:tcPr>
            <w:tcW w:w="2880" w:type="dxa"/>
            <w:tcBorders>
              <w:top w:val="single" w:sz="4" w:space="0" w:color="auto"/>
              <w:bottom w:val="nil"/>
            </w:tcBorders>
            <w:shd w:val="clear" w:color="auto" w:fill="FFFFFF"/>
            <w:vAlign w:val="center"/>
          </w:tcPr>
          <w:p w14:paraId="1FD301B7"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Injection site hematoma</w:t>
            </w:r>
          </w:p>
        </w:tc>
        <w:tc>
          <w:tcPr>
            <w:tcW w:w="720" w:type="dxa"/>
            <w:shd w:val="clear" w:color="auto" w:fill="FFFFFF"/>
            <w:vAlign w:val="center"/>
          </w:tcPr>
          <w:p w14:paraId="7CF57AA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shd w:val="clear" w:color="auto" w:fill="FFFFFF"/>
            <w:vAlign w:val="center"/>
          </w:tcPr>
          <w:p w14:paraId="706FE89E"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103BEC9D"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440" w:type="dxa"/>
            <w:shd w:val="clear" w:color="auto" w:fill="FFFFFF"/>
            <w:vAlign w:val="center"/>
          </w:tcPr>
          <w:p w14:paraId="65F0F636"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682251C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1C9648BE" w14:textId="77777777" w:rsidTr="00E624FD">
        <w:trPr>
          <w:cantSplit/>
          <w:trHeight w:val="288"/>
          <w:jc w:val="center"/>
        </w:trPr>
        <w:tc>
          <w:tcPr>
            <w:tcW w:w="2880" w:type="dxa"/>
            <w:tcBorders>
              <w:top w:val="single" w:sz="4" w:space="0" w:color="auto"/>
              <w:bottom w:val="nil"/>
            </w:tcBorders>
            <w:shd w:val="clear" w:color="auto" w:fill="FFFFFF"/>
            <w:vAlign w:val="center"/>
          </w:tcPr>
          <w:p w14:paraId="59402359"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Injection site pain</w:t>
            </w:r>
          </w:p>
        </w:tc>
        <w:tc>
          <w:tcPr>
            <w:tcW w:w="720" w:type="dxa"/>
            <w:shd w:val="clear" w:color="auto" w:fill="FFFFFF"/>
            <w:vAlign w:val="center"/>
          </w:tcPr>
          <w:p w14:paraId="0C98E72D"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shd w:val="clear" w:color="auto" w:fill="FFFFFF"/>
            <w:vAlign w:val="center"/>
          </w:tcPr>
          <w:p w14:paraId="60E954A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12 (80.0%)</w:t>
            </w:r>
          </w:p>
        </w:tc>
        <w:tc>
          <w:tcPr>
            <w:tcW w:w="1440" w:type="dxa"/>
            <w:shd w:val="clear" w:color="auto" w:fill="FFFFFF"/>
            <w:vAlign w:val="center"/>
          </w:tcPr>
          <w:p w14:paraId="72618A6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9 (60.0%)</w:t>
            </w:r>
          </w:p>
        </w:tc>
        <w:tc>
          <w:tcPr>
            <w:tcW w:w="1440" w:type="dxa"/>
            <w:shd w:val="clear" w:color="auto" w:fill="FFFFFF"/>
            <w:vAlign w:val="center"/>
          </w:tcPr>
          <w:p w14:paraId="23081F76"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10 (66.7%)</w:t>
            </w:r>
          </w:p>
        </w:tc>
        <w:tc>
          <w:tcPr>
            <w:tcW w:w="1440" w:type="dxa"/>
            <w:shd w:val="clear" w:color="auto" w:fill="FFFFFF"/>
            <w:vAlign w:val="center"/>
          </w:tcPr>
          <w:p w14:paraId="09ABBDA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9 (60.0%)</w:t>
            </w:r>
          </w:p>
        </w:tc>
      </w:tr>
      <w:tr w:rsidR="00E624FD" w:rsidRPr="00CB6C59" w14:paraId="4FAAD744" w14:textId="77777777" w:rsidTr="00E624FD">
        <w:trPr>
          <w:cantSplit/>
          <w:trHeight w:val="288"/>
          <w:jc w:val="center"/>
        </w:trPr>
        <w:tc>
          <w:tcPr>
            <w:tcW w:w="2880" w:type="dxa"/>
            <w:tcBorders>
              <w:top w:val="nil"/>
              <w:bottom w:val="single" w:sz="4" w:space="0" w:color="auto"/>
            </w:tcBorders>
            <w:shd w:val="clear" w:color="auto" w:fill="FFFFFF"/>
            <w:vAlign w:val="center"/>
          </w:tcPr>
          <w:p w14:paraId="4C715B8B" w14:textId="77777777" w:rsidR="00E624FD" w:rsidRPr="00CB6C59" w:rsidRDefault="00E624FD" w:rsidP="00E624FD">
            <w:pPr>
              <w:keepNext/>
              <w:autoSpaceDE w:val="0"/>
              <w:autoSpaceDN w:val="0"/>
              <w:adjustRightInd w:val="0"/>
              <w:ind w:left="90"/>
              <w:rPr>
                <w:rFonts w:cs="Arial"/>
                <w:color w:val="000000"/>
                <w:sz w:val="20"/>
              </w:rPr>
            </w:pPr>
          </w:p>
        </w:tc>
        <w:tc>
          <w:tcPr>
            <w:tcW w:w="720" w:type="dxa"/>
            <w:shd w:val="clear" w:color="auto" w:fill="FFFFFF"/>
            <w:vAlign w:val="center"/>
          </w:tcPr>
          <w:p w14:paraId="33D1B804"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440" w:type="dxa"/>
            <w:shd w:val="clear" w:color="auto" w:fill="FFFFFF"/>
            <w:vAlign w:val="center"/>
          </w:tcPr>
          <w:p w14:paraId="0F8D4719"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39ED5529"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 (20.0%)</w:t>
            </w:r>
          </w:p>
        </w:tc>
        <w:tc>
          <w:tcPr>
            <w:tcW w:w="1440" w:type="dxa"/>
            <w:shd w:val="clear" w:color="auto" w:fill="FFFFFF"/>
            <w:vAlign w:val="center"/>
          </w:tcPr>
          <w:p w14:paraId="60E8DFE2"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440" w:type="dxa"/>
            <w:shd w:val="clear" w:color="auto" w:fill="FFFFFF"/>
            <w:vAlign w:val="center"/>
          </w:tcPr>
          <w:p w14:paraId="60E1C0B5"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(13.3%)</w:t>
            </w:r>
          </w:p>
        </w:tc>
      </w:tr>
      <w:tr w:rsidR="00E624FD" w:rsidRPr="00CB6C59" w14:paraId="40BD3650" w14:textId="77777777" w:rsidTr="00E624FD">
        <w:trPr>
          <w:cantSplit/>
          <w:trHeight w:val="288"/>
          <w:jc w:val="center"/>
        </w:trPr>
        <w:tc>
          <w:tcPr>
            <w:tcW w:w="2880" w:type="dxa"/>
            <w:tcBorders>
              <w:top w:val="single" w:sz="4" w:space="0" w:color="auto"/>
              <w:bottom w:val="single" w:sz="4" w:space="0" w:color="auto"/>
            </w:tcBorders>
            <w:shd w:val="clear" w:color="auto" w:fill="FFFFFF"/>
            <w:vAlign w:val="center"/>
          </w:tcPr>
          <w:p w14:paraId="68111AAD"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Injection site reaction</w:t>
            </w:r>
          </w:p>
        </w:tc>
        <w:tc>
          <w:tcPr>
            <w:tcW w:w="720" w:type="dxa"/>
            <w:tcBorders>
              <w:bottom w:val="single" w:sz="4" w:space="0" w:color="auto"/>
            </w:tcBorders>
            <w:shd w:val="clear" w:color="auto" w:fill="FFFFFF"/>
            <w:vAlign w:val="center"/>
          </w:tcPr>
          <w:p w14:paraId="733949E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tcBorders>
              <w:bottom w:val="single" w:sz="4" w:space="0" w:color="auto"/>
            </w:tcBorders>
            <w:shd w:val="clear" w:color="auto" w:fill="FFFFFF"/>
            <w:vAlign w:val="center"/>
          </w:tcPr>
          <w:p w14:paraId="77D5ABD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440" w:type="dxa"/>
            <w:tcBorders>
              <w:bottom w:val="single" w:sz="4" w:space="0" w:color="auto"/>
            </w:tcBorders>
            <w:shd w:val="clear" w:color="auto" w:fill="FFFFFF"/>
            <w:vAlign w:val="center"/>
          </w:tcPr>
          <w:p w14:paraId="5B2F21EA"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tcBorders>
              <w:bottom w:val="single" w:sz="4" w:space="0" w:color="auto"/>
            </w:tcBorders>
            <w:shd w:val="clear" w:color="auto" w:fill="FFFFFF"/>
            <w:vAlign w:val="center"/>
          </w:tcPr>
          <w:p w14:paraId="3A34E5C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tcBorders>
              <w:bottom w:val="single" w:sz="4" w:space="0" w:color="auto"/>
            </w:tcBorders>
            <w:shd w:val="clear" w:color="auto" w:fill="FFFFFF"/>
            <w:vAlign w:val="center"/>
          </w:tcPr>
          <w:p w14:paraId="1A5EC521"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41A50466" w14:textId="77777777" w:rsidTr="00E624FD">
        <w:trPr>
          <w:cantSplit/>
          <w:trHeight w:val="288"/>
          <w:jc w:val="center"/>
        </w:trPr>
        <w:tc>
          <w:tcPr>
            <w:tcW w:w="2880" w:type="dxa"/>
            <w:tcBorders>
              <w:top w:val="single" w:sz="4" w:space="0" w:color="auto"/>
              <w:bottom w:val="single" w:sz="12" w:space="0" w:color="auto"/>
            </w:tcBorders>
            <w:shd w:val="clear" w:color="auto" w:fill="FFFFFF"/>
            <w:vAlign w:val="center"/>
          </w:tcPr>
          <w:p w14:paraId="35D98529"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Injection site induration</w:t>
            </w:r>
          </w:p>
        </w:tc>
        <w:tc>
          <w:tcPr>
            <w:tcW w:w="720" w:type="dxa"/>
            <w:tcBorders>
              <w:top w:val="single" w:sz="4" w:space="0" w:color="auto"/>
              <w:bottom w:val="single" w:sz="12" w:space="0" w:color="auto"/>
            </w:tcBorders>
            <w:shd w:val="clear" w:color="auto" w:fill="FFFFFF"/>
            <w:vAlign w:val="center"/>
          </w:tcPr>
          <w:p w14:paraId="74D65786"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tcBorders>
              <w:top w:val="single" w:sz="4" w:space="0" w:color="auto"/>
              <w:bottom w:val="single" w:sz="12" w:space="0" w:color="auto"/>
            </w:tcBorders>
            <w:shd w:val="clear" w:color="auto" w:fill="FFFFFF"/>
            <w:vAlign w:val="center"/>
          </w:tcPr>
          <w:p w14:paraId="5DE8A384"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440" w:type="dxa"/>
            <w:tcBorders>
              <w:top w:val="single" w:sz="4" w:space="0" w:color="auto"/>
              <w:bottom w:val="single" w:sz="12" w:space="0" w:color="auto"/>
            </w:tcBorders>
            <w:shd w:val="clear" w:color="auto" w:fill="FFFFFF"/>
            <w:vAlign w:val="center"/>
          </w:tcPr>
          <w:p w14:paraId="40D5F81D"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440" w:type="dxa"/>
            <w:tcBorders>
              <w:top w:val="single" w:sz="4" w:space="0" w:color="auto"/>
              <w:bottom w:val="single" w:sz="12" w:space="0" w:color="auto"/>
            </w:tcBorders>
            <w:shd w:val="clear" w:color="auto" w:fill="FFFFFF"/>
            <w:vAlign w:val="center"/>
          </w:tcPr>
          <w:p w14:paraId="6B9C3F5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440" w:type="dxa"/>
            <w:tcBorders>
              <w:top w:val="single" w:sz="4" w:space="0" w:color="auto"/>
              <w:bottom w:val="single" w:sz="12" w:space="0" w:color="auto"/>
            </w:tcBorders>
            <w:shd w:val="clear" w:color="auto" w:fill="FFFFFF"/>
            <w:vAlign w:val="center"/>
          </w:tcPr>
          <w:p w14:paraId="6437898E"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bl>
    <w:p w14:paraId="72A68189" w14:textId="77777777" w:rsidR="00E624FD" w:rsidRPr="00CB6C59" w:rsidRDefault="00E624FD" w:rsidP="00E624FD">
      <w:pPr>
        <w:autoSpaceDE w:val="0"/>
        <w:autoSpaceDN w:val="0"/>
        <w:ind w:left="180"/>
        <w:rPr>
          <w:rFonts w:cs="Arial"/>
          <w:sz w:val="18"/>
          <w:szCs w:val="18"/>
          <w:highlight w:val="yellow"/>
        </w:rPr>
      </w:pPr>
      <w:r w:rsidRPr="00CB6C59">
        <w:rPr>
          <w:rFonts w:cs="Arial"/>
          <w:color w:val="000000"/>
          <w:sz w:val="18"/>
          <w:szCs w:val="18"/>
        </w:rPr>
        <w:t>Note: Highest severity per subject reported for each event</w:t>
      </w:r>
    </w:p>
    <w:p w14:paraId="78C465B8" w14:textId="77777777" w:rsidR="00E624FD" w:rsidRPr="00CB6C59" w:rsidRDefault="00E624FD" w:rsidP="00E624FD">
      <w:pPr>
        <w:autoSpaceDE w:val="0"/>
        <w:autoSpaceDN w:val="0"/>
        <w:rPr>
          <w:rFonts w:cs="Arial"/>
          <w:szCs w:val="22"/>
          <w:highlight w:val="yellow"/>
        </w:rPr>
      </w:pPr>
    </w:p>
    <w:p w14:paraId="217F34EA" w14:textId="5F3477E5" w:rsidR="00E624FD" w:rsidRPr="00CB6C59" w:rsidRDefault="00E624FD" w:rsidP="00E624FD">
      <w:pPr>
        <w:autoSpaceDE w:val="0"/>
        <w:autoSpaceDN w:val="0"/>
        <w:rPr>
          <w:rFonts w:cs="Arial"/>
          <w:szCs w:val="22"/>
        </w:rPr>
      </w:pPr>
      <w:r w:rsidRPr="00CB6C59">
        <w:rPr>
          <w:rFonts w:cs="Arial"/>
          <w:szCs w:val="22"/>
        </w:rPr>
        <w:t>Solicited systemic reactogenicity AEs are summarize</w:t>
      </w:r>
      <w:r w:rsidRPr="00DD3316">
        <w:rPr>
          <w:rFonts w:cs="Arial"/>
          <w:szCs w:val="22"/>
        </w:rPr>
        <w:t xml:space="preserve">d in </w:t>
      </w:r>
      <w:r w:rsidRPr="0040275E">
        <w:rPr>
          <w:rFonts w:cs="Arial"/>
          <w:color w:val="0000FF"/>
          <w:szCs w:val="22"/>
        </w:rPr>
        <w:fldChar w:fldCharType="begin"/>
      </w:r>
      <w:r w:rsidRPr="0040275E">
        <w:rPr>
          <w:rFonts w:cs="Arial"/>
          <w:color w:val="0000FF"/>
          <w:szCs w:val="22"/>
        </w:rPr>
        <w:instrText xml:space="preserve"> REF  _Ref346272960 \h  \* MERGEFORMAT </w:instrText>
      </w:r>
      <w:r w:rsidRPr="0040275E">
        <w:rPr>
          <w:rFonts w:cs="Arial"/>
          <w:color w:val="0000FF"/>
          <w:szCs w:val="22"/>
        </w:rPr>
      </w:r>
      <w:r w:rsidRPr="0040275E">
        <w:rPr>
          <w:rFonts w:cs="Arial"/>
          <w:color w:val="0000FF"/>
          <w:szCs w:val="22"/>
        </w:rPr>
        <w:fldChar w:fldCharType="separate"/>
      </w:r>
      <w:r w:rsidR="00024E24" w:rsidRPr="00024E24">
        <w:rPr>
          <w:rFonts w:cs="Arial"/>
          <w:color w:val="0000FF"/>
          <w:szCs w:val="22"/>
        </w:rPr>
        <w:t>Table 3</w:t>
      </w:r>
      <w:r w:rsidRPr="0040275E">
        <w:rPr>
          <w:rFonts w:cs="Arial"/>
          <w:color w:val="0000FF"/>
          <w:szCs w:val="22"/>
        </w:rPr>
        <w:fldChar w:fldCharType="end"/>
      </w:r>
      <w:r w:rsidRPr="00DD3316">
        <w:rPr>
          <w:rFonts w:cs="Arial"/>
          <w:szCs w:val="22"/>
        </w:rPr>
        <w:t>. T</w:t>
      </w:r>
      <w:r w:rsidRPr="00CB6C59">
        <w:rPr>
          <w:rFonts w:cs="Arial"/>
          <w:szCs w:val="22"/>
        </w:rPr>
        <w:t>he most frequent systemic reaction was headache, followed by fatigue and myalgia. There were no Grade 3 or Grade 4 systemic reactions.</w:t>
      </w:r>
    </w:p>
    <w:p w14:paraId="281DAC3B" w14:textId="581A5F08" w:rsidR="00E624FD" w:rsidRPr="00CB6C59" w:rsidRDefault="00E624FD" w:rsidP="00906CD6">
      <w:pPr>
        <w:pStyle w:val="Caption"/>
      </w:pPr>
      <w:bookmarkStart w:id="46" w:name="_Ref346272960"/>
      <w:bookmarkStart w:id="47" w:name="_Toc388606805"/>
      <w:bookmarkStart w:id="48" w:name="_Toc388606833"/>
      <w:bookmarkStart w:id="49" w:name="_Toc389130070"/>
      <w:bookmarkStart w:id="50" w:name="_Toc389130100"/>
      <w:bookmarkStart w:id="51" w:name="_Toc440906401"/>
      <w:r w:rsidRPr="00CB6C59">
        <w:t xml:space="preserve">Table </w:t>
      </w:r>
      <w:r w:rsidR="00024E24">
        <w:fldChar w:fldCharType="begin"/>
      </w:r>
      <w:r w:rsidR="00024E24">
        <w:instrText xml:space="preserve"> SEQ Table \* ARABIC </w:instrText>
      </w:r>
      <w:r w:rsidR="00024E24">
        <w:fldChar w:fldCharType="separate"/>
      </w:r>
      <w:r w:rsidR="00024E24">
        <w:rPr>
          <w:noProof/>
        </w:rPr>
        <w:t>3</w:t>
      </w:r>
      <w:r w:rsidR="00024E24">
        <w:rPr>
          <w:noProof/>
        </w:rPr>
        <w:fldChar w:fldCharType="end"/>
      </w:r>
      <w:bookmarkEnd w:id="46"/>
      <w:r w:rsidRPr="00CB6C59">
        <w:t>:</w:t>
      </w:r>
      <w:r w:rsidRPr="00CB6C59">
        <w:tab/>
        <w:t>IDRI-TBVPX-113: Incidence of Systemic Reactogenicity Adverse Events</w:t>
      </w:r>
      <w:bookmarkEnd w:id="47"/>
      <w:bookmarkEnd w:id="48"/>
      <w:bookmarkEnd w:id="49"/>
      <w:bookmarkEnd w:id="50"/>
      <w:bookmarkEnd w:id="51"/>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80"/>
        <w:gridCol w:w="720"/>
        <w:gridCol w:w="1440"/>
        <w:gridCol w:w="1440"/>
        <w:gridCol w:w="1440"/>
        <w:gridCol w:w="1440"/>
      </w:tblGrid>
      <w:tr w:rsidR="00E624FD" w:rsidRPr="00CB6C59" w14:paraId="0E6D09D0" w14:textId="77777777" w:rsidTr="00E624FD">
        <w:trPr>
          <w:cantSplit/>
          <w:trHeight w:val="288"/>
          <w:tblHeader/>
          <w:jc w:val="center"/>
        </w:trPr>
        <w:tc>
          <w:tcPr>
            <w:tcW w:w="2880" w:type="dxa"/>
            <w:tcBorders>
              <w:top w:val="single" w:sz="12" w:space="0" w:color="auto"/>
              <w:bottom w:val="nil"/>
            </w:tcBorders>
            <w:shd w:val="clear" w:color="auto" w:fill="D9D9D9"/>
            <w:vAlign w:val="bottom"/>
          </w:tcPr>
          <w:p w14:paraId="15652841" w14:textId="77777777" w:rsidR="00E624FD" w:rsidRPr="00CB6C59" w:rsidRDefault="00E624FD" w:rsidP="00E624FD">
            <w:pPr>
              <w:keepNext/>
              <w:autoSpaceDE w:val="0"/>
              <w:autoSpaceDN w:val="0"/>
              <w:adjustRightInd w:val="0"/>
              <w:rPr>
                <w:rFonts w:cs="Arial"/>
                <w:b/>
                <w:bCs/>
                <w:color w:val="000000"/>
                <w:sz w:val="20"/>
              </w:rPr>
            </w:pPr>
          </w:p>
        </w:tc>
        <w:tc>
          <w:tcPr>
            <w:tcW w:w="720" w:type="dxa"/>
            <w:tcBorders>
              <w:top w:val="single" w:sz="12" w:space="0" w:color="auto"/>
              <w:bottom w:val="nil"/>
            </w:tcBorders>
            <w:shd w:val="clear" w:color="auto" w:fill="D9D9D9"/>
            <w:vAlign w:val="bottom"/>
          </w:tcPr>
          <w:p w14:paraId="64C610C4" w14:textId="77777777" w:rsidR="00E624FD" w:rsidRPr="00CB6C59" w:rsidRDefault="00E624FD" w:rsidP="00E624FD">
            <w:pPr>
              <w:keepNext/>
              <w:autoSpaceDE w:val="0"/>
              <w:autoSpaceDN w:val="0"/>
              <w:adjustRightInd w:val="0"/>
              <w:jc w:val="center"/>
              <w:rPr>
                <w:rFonts w:cs="Arial"/>
                <w:b/>
                <w:color w:val="000000"/>
                <w:sz w:val="20"/>
              </w:rPr>
            </w:pPr>
          </w:p>
        </w:tc>
        <w:tc>
          <w:tcPr>
            <w:tcW w:w="1440" w:type="dxa"/>
            <w:shd w:val="clear" w:color="auto" w:fill="D9D9D9"/>
            <w:vAlign w:val="center"/>
          </w:tcPr>
          <w:p w14:paraId="1D7E102A"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1</w:t>
            </w:r>
          </w:p>
        </w:tc>
        <w:tc>
          <w:tcPr>
            <w:tcW w:w="1440" w:type="dxa"/>
            <w:shd w:val="clear" w:color="auto" w:fill="D9D9D9"/>
            <w:vAlign w:val="center"/>
          </w:tcPr>
          <w:p w14:paraId="083ED063"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2</w:t>
            </w:r>
          </w:p>
        </w:tc>
        <w:tc>
          <w:tcPr>
            <w:tcW w:w="1440" w:type="dxa"/>
            <w:shd w:val="clear" w:color="auto" w:fill="D9D9D9"/>
            <w:vAlign w:val="center"/>
          </w:tcPr>
          <w:p w14:paraId="6CCD111F"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3</w:t>
            </w:r>
          </w:p>
        </w:tc>
        <w:tc>
          <w:tcPr>
            <w:tcW w:w="1440" w:type="dxa"/>
            <w:shd w:val="clear" w:color="auto" w:fill="D9D9D9"/>
            <w:vAlign w:val="center"/>
          </w:tcPr>
          <w:p w14:paraId="1216C415"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4</w:t>
            </w:r>
          </w:p>
        </w:tc>
      </w:tr>
      <w:tr w:rsidR="00E624FD" w:rsidRPr="00F3093E" w14:paraId="45160F4B" w14:textId="77777777" w:rsidTr="00E624FD">
        <w:trPr>
          <w:cantSplit/>
          <w:trHeight w:val="288"/>
          <w:tblHeader/>
          <w:jc w:val="center"/>
        </w:trPr>
        <w:tc>
          <w:tcPr>
            <w:tcW w:w="2880" w:type="dxa"/>
            <w:tcBorders>
              <w:top w:val="nil"/>
              <w:bottom w:val="single" w:sz="4" w:space="0" w:color="auto"/>
            </w:tcBorders>
            <w:shd w:val="clear" w:color="auto" w:fill="D9D9D9"/>
            <w:vAlign w:val="bottom"/>
          </w:tcPr>
          <w:p w14:paraId="081E1C2D" w14:textId="77777777" w:rsidR="00E624FD" w:rsidRPr="00CB6C59" w:rsidRDefault="00E624FD" w:rsidP="00E624FD">
            <w:pPr>
              <w:keepNext/>
              <w:autoSpaceDE w:val="0"/>
              <w:autoSpaceDN w:val="0"/>
              <w:adjustRightInd w:val="0"/>
              <w:rPr>
                <w:rFonts w:cs="Arial"/>
                <w:b/>
                <w:bCs/>
                <w:color w:val="000000"/>
                <w:sz w:val="20"/>
              </w:rPr>
            </w:pPr>
            <w:r w:rsidRPr="00CB6C59">
              <w:rPr>
                <w:rFonts w:cs="Arial"/>
                <w:b/>
                <w:bCs/>
                <w:color w:val="000000"/>
                <w:sz w:val="20"/>
              </w:rPr>
              <w:t>Finding</w:t>
            </w:r>
          </w:p>
        </w:tc>
        <w:tc>
          <w:tcPr>
            <w:tcW w:w="720" w:type="dxa"/>
            <w:tcBorders>
              <w:top w:val="nil"/>
              <w:bottom w:val="single" w:sz="4" w:space="0" w:color="auto"/>
            </w:tcBorders>
            <w:shd w:val="clear" w:color="auto" w:fill="D9D9D9"/>
            <w:vAlign w:val="bottom"/>
          </w:tcPr>
          <w:p w14:paraId="062B92E3" w14:textId="77777777" w:rsidR="00E624FD" w:rsidRPr="00CB6C59" w:rsidRDefault="00E624FD" w:rsidP="00E624FD">
            <w:pPr>
              <w:keepNext/>
              <w:autoSpaceDE w:val="0"/>
              <w:autoSpaceDN w:val="0"/>
              <w:adjustRightInd w:val="0"/>
              <w:jc w:val="center"/>
              <w:rPr>
                <w:rFonts w:cs="Arial"/>
                <w:b/>
                <w:color w:val="000000"/>
                <w:sz w:val="20"/>
              </w:rPr>
            </w:pPr>
            <w:r w:rsidRPr="00CB6C59">
              <w:rPr>
                <w:rFonts w:cs="Arial"/>
                <w:b/>
                <w:color w:val="000000"/>
                <w:sz w:val="20"/>
              </w:rPr>
              <w:t>Grade</w:t>
            </w:r>
          </w:p>
        </w:tc>
        <w:tc>
          <w:tcPr>
            <w:tcW w:w="1440" w:type="dxa"/>
            <w:shd w:val="clear" w:color="auto" w:fill="D9D9D9"/>
            <w:vAlign w:val="center"/>
          </w:tcPr>
          <w:p w14:paraId="50AECC34"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2 µg ID93 ±</w:t>
            </w:r>
          </w:p>
          <w:p w14:paraId="5CDCDA81"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2 µg GLA-SE</w:t>
            </w:r>
            <w:r w:rsidRPr="000B7056">
              <w:rPr>
                <w:rFonts w:cs="Arial"/>
                <w:b/>
                <w:bCs/>
                <w:color w:val="000000"/>
                <w:sz w:val="20"/>
                <w:lang w:val="fr-FR"/>
              </w:rPr>
              <w:br/>
              <w:t>(n=15)</w:t>
            </w:r>
          </w:p>
        </w:tc>
        <w:tc>
          <w:tcPr>
            <w:tcW w:w="1440" w:type="dxa"/>
            <w:shd w:val="clear" w:color="auto" w:fill="D9D9D9"/>
            <w:vAlign w:val="center"/>
          </w:tcPr>
          <w:p w14:paraId="1FB76B1F"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10 µg ID93 ±</w:t>
            </w:r>
          </w:p>
          <w:p w14:paraId="5A953916"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2 µg GLA-SE</w:t>
            </w:r>
            <w:r w:rsidRPr="000B7056">
              <w:rPr>
                <w:rFonts w:cs="Arial"/>
                <w:b/>
                <w:bCs/>
                <w:color w:val="000000"/>
                <w:sz w:val="20"/>
                <w:lang w:val="fr-FR"/>
              </w:rPr>
              <w:br/>
              <w:t>(n=15)</w:t>
            </w:r>
          </w:p>
        </w:tc>
        <w:tc>
          <w:tcPr>
            <w:tcW w:w="1440" w:type="dxa"/>
            <w:shd w:val="clear" w:color="auto" w:fill="D9D9D9"/>
            <w:vAlign w:val="center"/>
          </w:tcPr>
          <w:p w14:paraId="29BBDD01"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2 µg ID93 ±</w:t>
            </w:r>
          </w:p>
          <w:p w14:paraId="271A4B4D"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5 µg GLA-SE (n=15)</w:t>
            </w:r>
          </w:p>
        </w:tc>
        <w:tc>
          <w:tcPr>
            <w:tcW w:w="1440" w:type="dxa"/>
            <w:shd w:val="clear" w:color="auto" w:fill="D9D9D9"/>
            <w:vAlign w:val="center"/>
          </w:tcPr>
          <w:p w14:paraId="36C79DF1"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10 µg ID93 ±</w:t>
            </w:r>
          </w:p>
          <w:p w14:paraId="2302FFA5"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5 µg GLA-SE (n=15)</w:t>
            </w:r>
          </w:p>
        </w:tc>
      </w:tr>
      <w:tr w:rsidR="00E624FD" w:rsidRPr="00CB6C59" w14:paraId="46656956" w14:textId="77777777" w:rsidTr="00E624FD">
        <w:trPr>
          <w:cantSplit/>
          <w:trHeight w:val="288"/>
          <w:jc w:val="center"/>
        </w:trPr>
        <w:tc>
          <w:tcPr>
            <w:tcW w:w="2880" w:type="dxa"/>
            <w:tcBorders>
              <w:top w:val="single" w:sz="4" w:space="0" w:color="auto"/>
              <w:bottom w:val="single" w:sz="4" w:space="0" w:color="auto"/>
            </w:tcBorders>
            <w:shd w:val="clear" w:color="auto" w:fill="FFFFFF"/>
            <w:vAlign w:val="center"/>
          </w:tcPr>
          <w:p w14:paraId="7A558C7B"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Anorexia</w:t>
            </w:r>
          </w:p>
        </w:tc>
        <w:tc>
          <w:tcPr>
            <w:tcW w:w="720" w:type="dxa"/>
            <w:tcBorders>
              <w:top w:val="single" w:sz="4" w:space="0" w:color="auto"/>
            </w:tcBorders>
            <w:shd w:val="clear" w:color="auto" w:fill="FFFFFF"/>
            <w:vAlign w:val="center"/>
          </w:tcPr>
          <w:p w14:paraId="3EFB3B8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shd w:val="clear" w:color="auto" w:fill="FFFFFF"/>
            <w:vAlign w:val="center"/>
          </w:tcPr>
          <w:p w14:paraId="472772A6"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(13.3%)</w:t>
            </w:r>
          </w:p>
        </w:tc>
        <w:tc>
          <w:tcPr>
            <w:tcW w:w="1440" w:type="dxa"/>
            <w:shd w:val="clear" w:color="auto" w:fill="FFFFFF"/>
            <w:vAlign w:val="center"/>
          </w:tcPr>
          <w:p w14:paraId="4F662485"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1C93D07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440" w:type="dxa"/>
            <w:shd w:val="clear" w:color="auto" w:fill="FFFFFF"/>
            <w:vAlign w:val="center"/>
          </w:tcPr>
          <w:p w14:paraId="6DB1506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r>
      <w:tr w:rsidR="00E624FD" w:rsidRPr="00CB6C59" w14:paraId="0D57327F" w14:textId="77777777" w:rsidTr="00E624FD">
        <w:trPr>
          <w:cantSplit/>
          <w:trHeight w:val="288"/>
          <w:jc w:val="center"/>
        </w:trPr>
        <w:tc>
          <w:tcPr>
            <w:tcW w:w="2880" w:type="dxa"/>
            <w:tcBorders>
              <w:top w:val="single" w:sz="4" w:space="0" w:color="auto"/>
              <w:bottom w:val="nil"/>
            </w:tcBorders>
            <w:shd w:val="clear" w:color="auto" w:fill="FFFFFF"/>
            <w:vAlign w:val="center"/>
          </w:tcPr>
          <w:p w14:paraId="3B86E8D3"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Arthralgia</w:t>
            </w:r>
          </w:p>
        </w:tc>
        <w:tc>
          <w:tcPr>
            <w:tcW w:w="720" w:type="dxa"/>
            <w:shd w:val="clear" w:color="auto" w:fill="FFFFFF"/>
            <w:vAlign w:val="center"/>
          </w:tcPr>
          <w:p w14:paraId="419EC5A9"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shd w:val="clear" w:color="auto" w:fill="FFFFFF"/>
            <w:vAlign w:val="center"/>
          </w:tcPr>
          <w:p w14:paraId="0311CA8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5C934042"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18150C0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7A7C4B0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r>
      <w:tr w:rsidR="00E624FD" w:rsidRPr="00CB6C59" w14:paraId="0956B1FE" w14:textId="77777777" w:rsidTr="00E624FD">
        <w:trPr>
          <w:cantSplit/>
          <w:trHeight w:val="288"/>
          <w:jc w:val="center"/>
        </w:trPr>
        <w:tc>
          <w:tcPr>
            <w:tcW w:w="2880" w:type="dxa"/>
            <w:tcBorders>
              <w:top w:val="nil"/>
              <w:bottom w:val="nil"/>
            </w:tcBorders>
            <w:shd w:val="clear" w:color="auto" w:fill="FFFFFF"/>
            <w:vAlign w:val="center"/>
          </w:tcPr>
          <w:p w14:paraId="6538FBA4" w14:textId="77777777" w:rsidR="00E624FD" w:rsidRPr="00CB6C59" w:rsidRDefault="00E624FD" w:rsidP="00E624FD">
            <w:pPr>
              <w:keepNext/>
              <w:autoSpaceDE w:val="0"/>
              <w:autoSpaceDN w:val="0"/>
              <w:adjustRightInd w:val="0"/>
              <w:ind w:left="90"/>
              <w:rPr>
                <w:rFonts w:cs="Arial"/>
                <w:color w:val="000000"/>
                <w:sz w:val="20"/>
              </w:rPr>
            </w:pPr>
          </w:p>
        </w:tc>
        <w:tc>
          <w:tcPr>
            <w:tcW w:w="720" w:type="dxa"/>
            <w:shd w:val="clear" w:color="auto" w:fill="FFFFFF"/>
            <w:vAlign w:val="center"/>
          </w:tcPr>
          <w:p w14:paraId="561AA3A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440" w:type="dxa"/>
            <w:shd w:val="clear" w:color="auto" w:fill="FFFFFF"/>
            <w:vAlign w:val="center"/>
          </w:tcPr>
          <w:p w14:paraId="570659F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29B77B4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7F01455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440" w:type="dxa"/>
            <w:shd w:val="clear" w:color="auto" w:fill="FFFFFF"/>
            <w:vAlign w:val="center"/>
          </w:tcPr>
          <w:p w14:paraId="6ECEA9D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0F1484B1" w14:textId="77777777" w:rsidTr="00E624FD">
        <w:trPr>
          <w:cantSplit/>
          <w:trHeight w:val="288"/>
          <w:jc w:val="center"/>
        </w:trPr>
        <w:tc>
          <w:tcPr>
            <w:tcW w:w="2880" w:type="dxa"/>
            <w:tcBorders>
              <w:top w:val="single" w:sz="4" w:space="0" w:color="auto"/>
              <w:bottom w:val="single" w:sz="4" w:space="0" w:color="auto"/>
            </w:tcBorders>
            <w:shd w:val="clear" w:color="auto" w:fill="FFFFFF"/>
            <w:vAlign w:val="center"/>
          </w:tcPr>
          <w:p w14:paraId="5DF70DC0"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Chills</w:t>
            </w:r>
          </w:p>
        </w:tc>
        <w:tc>
          <w:tcPr>
            <w:tcW w:w="720" w:type="dxa"/>
            <w:shd w:val="clear" w:color="auto" w:fill="FFFFFF"/>
            <w:vAlign w:val="center"/>
          </w:tcPr>
          <w:p w14:paraId="69D76C9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shd w:val="clear" w:color="auto" w:fill="FFFFFF"/>
            <w:vAlign w:val="center"/>
          </w:tcPr>
          <w:p w14:paraId="086DE80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(13.3%)</w:t>
            </w:r>
          </w:p>
        </w:tc>
        <w:tc>
          <w:tcPr>
            <w:tcW w:w="1440" w:type="dxa"/>
            <w:shd w:val="clear" w:color="auto" w:fill="FFFFFF"/>
            <w:vAlign w:val="center"/>
          </w:tcPr>
          <w:p w14:paraId="7B6A073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2DA494B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1DE90293"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3E1AB9A3" w14:textId="77777777" w:rsidTr="00E624FD">
        <w:trPr>
          <w:cantSplit/>
          <w:trHeight w:val="288"/>
          <w:jc w:val="center"/>
        </w:trPr>
        <w:tc>
          <w:tcPr>
            <w:tcW w:w="2880" w:type="dxa"/>
            <w:tcBorders>
              <w:top w:val="single" w:sz="4" w:space="0" w:color="auto"/>
              <w:bottom w:val="nil"/>
            </w:tcBorders>
            <w:shd w:val="clear" w:color="auto" w:fill="FFFFFF"/>
            <w:vAlign w:val="center"/>
          </w:tcPr>
          <w:p w14:paraId="21333220"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Fatigue</w:t>
            </w:r>
          </w:p>
        </w:tc>
        <w:tc>
          <w:tcPr>
            <w:tcW w:w="720" w:type="dxa"/>
            <w:shd w:val="clear" w:color="auto" w:fill="FFFFFF"/>
            <w:vAlign w:val="center"/>
          </w:tcPr>
          <w:p w14:paraId="4416B57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shd w:val="clear" w:color="auto" w:fill="FFFFFF"/>
            <w:vAlign w:val="center"/>
          </w:tcPr>
          <w:p w14:paraId="363C66C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4 (26.7%)</w:t>
            </w:r>
          </w:p>
        </w:tc>
        <w:tc>
          <w:tcPr>
            <w:tcW w:w="1440" w:type="dxa"/>
            <w:shd w:val="clear" w:color="auto" w:fill="FFFFFF"/>
            <w:vAlign w:val="center"/>
          </w:tcPr>
          <w:p w14:paraId="463FC43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440" w:type="dxa"/>
            <w:shd w:val="clear" w:color="auto" w:fill="FFFFFF"/>
            <w:vAlign w:val="center"/>
          </w:tcPr>
          <w:p w14:paraId="17588A91"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 (20.0%)</w:t>
            </w:r>
          </w:p>
        </w:tc>
        <w:tc>
          <w:tcPr>
            <w:tcW w:w="1440" w:type="dxa"/>
            <w:shd w:val="clear" w:color="auto" w:fill="FFFFFF"/>
            <w:vAlign w:val="center"/>
          </w:tcPr>
          <w:p w14:paraId="3AC8A2C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 (20.0%)</w:t>
            </w:r>
          </w:p>
        </w:tc>
      </w:tr>
      <w:tr w:rsidR="00E624FD" w:rsidRPr="00CB6C59" w14:paraId="2C2B50E9" w14:textId="77777777" w:rsidTr="00E624FD">
        <w:trPr>
          <w:cantSplit/>
          <w:trHeight w:val="288"/>
          <w:jc w:val="center"/>
        </w:trPr>
        <w:tc>
          <w:tcPr>
            <w:tcW w:w="2880" w:type="dxa"/>
            <w:tcBorders>
              <w:top w:val="nil"/>
              <w:bottom w:val="single" w:sz="4" w:space="0" w:color="auto"/>
            </w:tcBorders>
            <w:shd w:val="clear" w:color="auto" w:fill="FFFFFF"/>
            <w:vAlign w:val="center"/>
          </w:tcPr>
          <w:p w14:paraId="22508546" w14:textId="77777777" w:rsidR="00E624FD" w:rsidRPr="00CB6C59" w:rsidRDefault="00E624FD" w:rsidP="00E624FD">
            <w:pPr>
              <w:keepNext/>
              <w:autoSpaceDE w:val="0"/>
              <w:autoSpaceDN w:val="0"/>
              <w:adjustRightInd w:val="0"/>
              <w:ind w:left="90"/>
              <w:rPr>
                <w:rFonts w:cs="Arial"/>
                <w:color w:val="000000"/>
                <w:sz w:val="20"/>
              </w:rPr>
            </w:pPr>
          </w:p>
        </w:tc>
        <w:tc>
          <w:tcPr>
            <w:tcW w:w="720" w:type="dxa"/>
            <w:shd w:val="clear" w:color="auto" w:fill="FFFFFF"/>
            <w:vAlign w:val="center"/>
          </w:tcPr>
          <w:p w14:paraId="061586D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440" w:type="dxa"/>
            <w:shd w:val="clear" w:color="auto" w:fill="FFFFFF"/>
            <w:vAlign w:val="center"/>
          </w:tcPr>
          <w:p w14:paraId="02E32A6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440" w:type="dxa"/>
            <w:shd w:val="clear" w:color="auto" w:fill="FFFFFF"/>
            <w:vAlign w:val="center"/>
          </w:tcPr>
          <w:p w14:paraId="5FDF20D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0DFAB285"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659F5275"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r>
      <w:tr w:rsidR="00E624FD" w:rsidRPr="00CB6C59" w14:paraId="260B9B2D" w14:textId="77777777" w:rsidTr="00E624FD">
        <w:trPr>
          <w:cantSplit/>
          <w:trHeight w:val="288"/>
          <w:jc w:val="center"/>
        </w:trPr>
        <w:tc>
          <w:tcPr>
            <w:tcW w:w="2880" w:type="dxa"/>
            <w:tcBorders>
              <w:top w:val="single" w:sz="4" w:space="0" w:color="auto"/>
              <w:bottom w:val="nil"/>
            </w:tcBorders>
            <w:shd w:val="clear" w:color="auto" w:fill="FFFFFF"/>
            <w:vAlign w:val="center"/>
          </w:tcPr>
          <w:p w14:paraId="14CBBE88"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Headache</w:t>
            </w:r>
          </w:p>
        </w:tc>
        <w:tc>
          <w:tcPr>
            <w:tcW w:w="720" w:type="dxa"/>
            <w:shd w:val="clear" w:color="auto" w:fill="FFFFFF"/>
            <w:vAlign w:val="center"/>
          </w:tcPr>
          <w:p w14:paraId="6759309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shd w:val="clear" w:color="auto" w:fill="FFFFFF"/>
            <w:vAlign w:val="center"/>
          </w:tcPr>
          <w:p w14:paraId="63AABC44"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5 (33.3%)</w:t>
            </w:r>
          </w:p>
        </w:tc>
        <w:tc>
          <w:tcPr>
            <w:tcW w:w="1440" w:type="dxa"/>
            <w:shd w:val="clear" w:color="auto" w:fill="FFFFFF"/>
            <w:vAlign w:val="center"/>
          </w:tcPr>
          <w:p w14:paraId="2805769D"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 (20.0%)</w:t>
            </w:r>
          </w:p>
        </w:tc>
        <w:tc>
          <w:tcPr>
            <w:tcW w:w="1440" w:type="dxa"/>
            <w:shd w:val="clear" w:color="auto" w:fill="FFFFFF"/>
            <w:vAlign w:val="center"/>
          </w:tcPr>
          <w:p w14:paraId="74A42CD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(13.3%)</w:t>
            </w:r>
          </w:p>
        </w:tc>
        <w:tc>
          <w:tcPr>
            <w:tcW w:w="1440" w:type="dxa"/>
            <w:shd w:val="clear" w:color="auto" w:fill="FFFFFF"/>
            <w:vAlign w:val="center"/>
          </w:tcPr>
          <w:p w14:paraId="5958283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4 (26.7%)</w:t>
            </w:r>
          </w:p>
        </w:tc>
      </w:tr>
      <w:tr w:rsidR="00E624FD" w:rsidRPr="00CB6C59" w14:paraId="5AB0A04A" w14:textId="77777777" w:rsidTr="00E624FD">
        <w:trPr>
          <w:cantSplit/>
          <w:trHeight w:val="288"/>
          <w:jc w:val="center"/>
        </w:trPr>
        <w:tc>
          <w:tcPr>
            <w:tcW w:w="2880" w:type="dxa"/>
            <w:tcBorders>
              <w:top w:val="nil"/>
              <w:bottom w:val="single" w:sz="4" w:space="0" w:color="auto"/>
            </w:tcBorders>
            <w:shd w:val="clear" w:color="auto" w:fill="FFFFFF"/>
            <w:vAlign w:val="center"/>
          </w:tcPr>
          <w:p w14:paraId="264CD4FB" w14:textId="77777777" w:rsidR="00E624FD" w:rsidRPr="00CB6C59" w:rsidRDefault="00E624FD" w:rsidP="00E624FD">
            <w:pPr>
              <w:keepNext/>
              <w:autoSpaceDE w:val="0"/>
              <w:autoSpaceDN w:val="0"/>
              <w:adjustRightInd w:val="0"/>
              <w:ind w:left="90"/>
              <w:rPr>
                <w:rFonts w:cs="Arial"/>
                <w:color w:val="000000"/>
                <w:sz w:val="20"/>
              </w:rPr>
            </w:pPr>
          </w:p>
        </w:tc>
        <w:tc>
          <w:tcPr>
            <w:tcW w:w="720" w:type="dxa"/>
            <w:shd w:val="clear" w:color="auto" w:fill="FFFFFF"/>
            <w:vAlign w:val="center"/>
          </w:tcPr>
          <w:p w14:paraId="6C936D8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440" w:type="dxa"/>
            <w:shd w:val="clear" w:color="auto" w:fill="FFFFFF"/>
            <w:vAlign w:val="center"/>
          </w:tcPr>
          <w:p w14:paraId="6EDDFE21"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556B1E44"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440" w:type="dxa"/>
            <w:shd w:val="clear" w:color="auto" w:fill="FFFFFF"/>
            <w:vAlign w:val="center"/>
          </w:tcPr>
          <w:p w14:paraId="0974EE4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440" w:type="dxa"/>
            <w:shd w:val="clear" w:color="auto" w:fill="FFFFFF"/>
            <w:vAlign w:val="center"/>
          </w:tcPr>
          <w:p w14:paraId="65E69A0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r>
      <w:tr w:rsidR="00E624FD" w:rsidRPr="00CB6C59" w14:paraId="38815A5C" w14:textId="77777777" w:rsidTr="00E624FD">
        <w:trPr>
          <w:cantSplit/>
          <w:trHeight w:val="288"/>
          <w:jc w:val="center"/>
        </w:trPr>
        <w:tc>
          <w:tcPr>
            <w:tcW w:w="2880" w:type="dxa"/>
            <w:tcBorders>
              <w:top w:val="single" w:sz="4" w:space="0" w:color="auto"/>
              <w:bottom w:val="nil"/>
            </w:tcBorders>
            <w:shd w:val="clear" w:color="auto" w:fill="FFFFFF"/>
            <w:vAlign w:val="center"/>
          </w:tcPr>
          <w:p w14:paraId="4502203B"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Myalgia</w:t>
            </w:r>
          </w:p>
        </w:tc>
        <w:tc>
          <w:tcPr>
            <w:tcW w:w="720" w:type="dxa"/>
            <w:tcBorders>
              <w:bottom w:val="single" w:sz="4" w:space="0" w:color="auto"/>
            </w:tcBorders>
            <w:shd w:val="clear" w:color="auto" w:fill="FFFFFF"/>
            <w:vAlign w:val="center"/>
          </w:tcPr>
          <w:p w14:paraId="7D9B601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tcBorders>
              <w:bottom w:val="single" w:sz="4" w:space="0" w:color="auto"/>
            </w:tcBorders>
            <w:shd w:val="clear" w:color="auto" w:fill="FFFFFF"/>
            <w:vAlign w:val="center"/>
          </w:tcPr>
          <w:p w14:paraId="4CC2E27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 (20.0%)</w:t>
            </w:r>
          </w:p>
        </w:tc>
        <w:tc>
          <w:tcPr>
            <w:tcW w:w="1440" w:type="dxa"/>
            <w:tcBorders>
              <w:bottom w:val="single" w:sz="4" w:space="0" w:color="auto"/>
            </w:tcBorders>
            <w:shd w:val="clear" w:color="auto" w:fill="FFFFFF"/>
            <w:vAlign w:val="center"/>
          </w:tcPr>
          <w:p w14:paraId="6B77F12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tcBorders>
              <w:bottom w:val="single" w:sz="4" w:space="0" w:color="auto"/>
            </w:tcBorders>
            <w:shd w:val="clear" w:color="auto" w:fill="FFFFFF"/>
            <w:vAlign w:val="center"/>
          </w:tcPr>
          <w:p w14:paraId="736C8A1D"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tcBorders>
              <w:bottom w:val="single" w:sz="4" w:space="0" w:color="auto"/>
            </w:tcBorders>
            <w:shd w:val="clear" w:color="auto" w:fill="FFFFFF"/>
            <w:vAlign w:val="center"/>
          </w:tcPr>
          <w:p w14:paraId="25FB65E9"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r>
      <w:tr w:rsidR="00E624FD" w:rsidRPr="00CB6C59" w14:paraId="65A58E6A" w14:textId="77777777" w:rsidTr="00E624FD">
        <w:trPr>
          <w:cantSplit/>
          <w:trHeight w:val="288"/>
          <w:jc w:val="center"/>
        </w:trPr>
        <w:tc>
          <w:tcPr>
            <w:tcW w:w="2880" w:type="dxa"/>
            <w:tcBorders>
              <w:top w:val="nil"/>
              <w:bottom w:val="single" w:sz="12" w:space="0" w:color="auto"/>
            </w:tcBorders>
            <w:shd w:val="clear" w:color="auto" w:fill="FFFFFF"/>
            <w:vAlign w:val="center"/>
          </w:tcPr>
          <w:p w14:paraId="55745689" w14:textId="77777777" w:rsidR="00E624FD" w:rsidRPr="00CB6C59" w:rsidRDefault="00E624FD" w:rsidP="00E624FD">
            <w:pPr>
              <w:keepNext/>
              <w:autoSpaceDE w:val="0"/>
              <w:autoSpaceDN w:val="0"/>
              <w:adjustRightInd w:val="0"/>
              <w:ind w:left="90"/>
              <w:rPr>
                <w:rFonts w:cs="Arial"/>
                <w:color w:val="000000"/>
                <w:sz w:val="20"/>
              </w:rPr>
            </w:pPr>
          </w:p>
        </w:tc>
        <w:tc>
          <w:tcPr>
            <w:tcW w:w="720" w:type="dxa"/>
            <w:tcBorders>
              <w:top w:val="single" w:sz="4" w:space="0" w:color="auto"/>
              <w:bottom w:val="single" w:sz="12" w:space="0" w:color="auto"/>
            </w:tcBorders>
            <w:shd w:val="clear" w:color="auto" w:fill="FFFFFF"/>
            <w:vAlign w:val="center"/>
          </w:tcPr>
          <w:p w14:paraId="6B289AD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440" w:type="dxa"/>
            <w:tcBorders>
              <w:top w:val="single" w:sz="4" w:space="0" w:color="auto"/>
              <w:bottom w:val="single" w:sz="12" w:space="0" w:color="auto"/>
            </w:tcBorders>
            <w:shd w:val="clear" w:color="auto" w:fill="FFFFFF"/>
            <w:vAlign w:val="center"/>
          </w:tcPr>
          <w:p w14:paraId="0FC7FDA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tcBorders>
              <w:top w:val="single" w:sz="4" w:space="0" w:color="auto"/>
              <w:bottom w:val="single" w:sz="12" w:space="0" w:color="auto"/>
            </w:tcBorders>
            <w:shd w:val="clear" w:color="auto" w:fill="FFFFFF"/>
            <w:vAlign w:val="center"/>
          </w:tcPr>
          <w:p w14:paraId="0659915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tcBorders>
              <w:top w:val="single" w:sz="4" w:space="0" w:color="auto"/>
              <w:bottom w:val="single" w:sz="12" w:space="0" w:color="auto"/>
            </w:tcBorders>
            <w:shd w:val="clear" w:color="auto" w:fill="FFFFFF"/>
            <w:vAlign w:val="center"/>
          </w:tcPr>
          <w:p w14:paraId="352A2CA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440" w:type="dxa"/>
            <w:tcBorders>
              <w:top w:val="single" w:sz="4" w:space="0" w:color="auto"/>
              <w:bottom w:val="single" w:sz="12" w:space="0" w:color="auto"/>
            </w:tcBorders>
            <w:shd w:val="clear" w:color="auto" w:fill="FFFFFF"/>
            <w:vAlign w:val="center"/>
          </w:tcPr>
          <w:p w14:paraId="2E008971"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r>
    </w:tbl>
    <w:p w14:paraId="1B555499" w14:textId="77777777" w:rsidR="00E624FD" w:rsidRPr="00CB6C59" w:rsidRDefault="00E624FD" w:rsidP="00E624FD">
      <w:pPr>
        <w:autoSpaceDE w:val="0"/>
        <w:autoSpaceDN w:val="0"/>
        <w:ind w:left="180"/>
        <w:rPr>
          <w:rFonts w:cs="Arial"/>
          <w:sz w:val="18"/>
          <w:szCs w:val="22"/>
        </w:rPr>
      </w:pPr>
      <w:r w:rsidRPr="00CB6C59">
        <w:rPr>
          <w:rFonts w:cs="Arial"/>
          <w:color w:val="000000"/>
          <w:sz w:val="18"/>
          <w:szCs w:val="22"/>
        </w:rPr>
        <w:t>Note: Highest severity per subject reported for each event</w:t>
      </w:r>
    </w:p>
    <w:p w14:paraId="339B2E20" w14:textId="77777777" w:rsidR="00E624FD" w:rsidRPr="00CB6C59" w:rsidRDefault="00E624FD" w:rsidP="00E624FD">
      <w:pPr>
        <w:autoSpaceDE w:val="0"/>
        <w:autoSpaceDN w:val="0"/>
        <w:rPr>
          <w:rFonts w:cs="Arial"/>
          <w:szCs w:val="22"/>
          <w:highlight w:val="yellow"/>
        </w:rPr>
      </w:pPr>
    </w:p>
    <w:p w14:paraId="63455279" w14:textId="59024438" w:rsidR="00E624FD" w:rsidRPr="00CB6C59" w:rsidRDefault="00E624FD" w:rsidP="00E624FD">
      <w:pPr>
        <w:autoSpaceDE w:val="0"/>
        <w:autoSpaceDN w:val="0"/>
        <w:rPr>
          <w:rFonts w:cs="Arial"/>
          <w:szCs w:val="22"/>
        </w:rPr>
      </w:pPr>
      <w:r w:rsidRPr="00CB6C59">
        <w:rPr>
          <w:rFonts w:cs="Arial"/>
          <w:szCs w:val="22"/>
        </w:rPr>
        <w:t xml:space="preserve">All other AEs and laboratory abnormalities occurring in at least 3 subjects are summarized in </w:t>
      </w:r>
      <w:r w:rsidRPr="0040275E">
        <w:rPr>
          <w:rFonts w:cs="Arial"/>
          <w:color w:val="0000FF"/>
          <w:szCs w:val="22"/>
        </w:rPr>
        <w:fldChar w:fldCharType="begin"/>
      </w:r>
      <w:r w:rsidRPr="0040275E">
        <w:rPr>
          <w:rFonts w:cs="Arial"/>
          <w:color w:val="0000FF"/>
          <w:szCs w:val="22"/>
        </w:rPr>
        <w:instrText xml:space="preserve"> REF  _Ref346273336 \h  \* MERGEFORMAT </w:instrText>
      </w:r>
      <w:r w:rsidRPr="0040275E">
        <w:rPr>
          <w:rFonts w:cs="Arial"/>
          <w:color w:val="0000FF"/>
          <w:szCs w:val="22"/>
        </w:rPr>
      </w:r>
      <w:r w:rsidRPr="0040275E">
        <w:rPr>
          <w:rFonts w:cs="Arial"/>
          <w:color w:val="0000FF"/>
          <w:szCs w:val="22"/>
        </w:rPr>
        <w:fldChar w:fldCharType="separate"/>
      </w:r>
      <w:r w:rsidR="00024E24" w:rsidRPr="00024E24">
        <w:rPr>
          <w:rFonts w:cs="Arial"/>
          <w:color w:val="0000FF"/>
          <w:szCs w:val="22"/>
        </w:rPr>
        <w:t>Table 4</w:t>
      </w:r>
      <w:r w:rsidRPr="0040275E">
        <w:rPr>
          <w:rFonts w:cs="Arial"/>
          <w:color w:val="0000FF"/>
          <w:szCs w:val="22"/>
        </w:rPr>
        <w:fldChar w:fldCharType="end"/>
      </w:r>
      <w:r w:rsidRPr="00DD3316">
        <w:rPr>
          <w:rFonts w:cs="Arial"/>
          <w:szCs w:val="22"/>
        </w:rPr>
        <w:t>. Th</w:t>
      </w:r>
      <w:r w:rsidRPr="00CB6C59">
        <w:rPr>
          <w:rFonts w:cs="Arial"/>
          <w:szCs w:val="22"/>
        </w:rPr>
        <w:t xml:space="preserve">e Grade 3 laboratory findings of increased blood potassium and decreased neutrophils were considered not related to study injections. </w:t>
      </w:r>
    </w:p>
    <w:p w14:paraId="7579C56B" w14:textId="368FB49E" w:rsidR="00E624FD" w:rsidRPr="005B3567" w:rsidRDefault="00E624FD" w:rsidP="005B3567">
      <w:pPr>
        <w:pStyle w:val="Caption"/>
      </w:pPr>
      <w:bookmarkStart w:id="52" w:name="_Ref346273336"/>
      <w:bookmarkStart w:id="53" w:name="_Toc388606806"/>
      <w:bookmarkStart w:id="54" w:name="_Toc388606834"/>
      <w:bookmarkStart w:id="55" w:name="_Toc389130071"/>
      <w:bookmarkStart w:id="56" w:name="_Toc389130101"/>
      <w:bookmarkStart w:id="57" w:name="_Toc440906402"/>
      <w:r w:rsidRPr="005B3567">
        <w:t xml:space="preserve">Table </w:t>
      </w:r>
      <w:r w:rsidR="00024E24">
        <w:fldChar w:fldCharType="begin"/>
      </w:r>
      <w:r w:rsidR="00024E24">
        <w:instrText xml:space="preserve"> SEQ Table \* ARABIC </w:instrText>
      </w:r>
      <w:r w:rsidR="00024E24">
        <w:fldChar w:fldCharType="separate"/>
      </w:r>
      <w:r w:rsidR="00024E24">
        <w:rPr>
          <w:noProof/>
        </w:rPr>
        <w:t>4</w:t>
      </w:r>
      <w:r w:rsidR="00024E24">
        <w:rPr>
          <w:noProof/>
        </w:rPr>
        <w:fldChar w:fldCharType="end"/>
      </w:r>
      <w:bookmarkEnd w:id="52"/>
      <w:r w:rsidRPr="005B3567">
        <w:t>:</w:t>
      </w:r>
      <w:r w:rsidRPr="005B3567">
        <w:tab/>
        <w:t>IDRI-TBVPX-113: Incidence of All Other Adverse Events and Laboratory Abnormalities Occurring in at Least 3 Subjects</w:t>
      </w:r>
      <w:bookmarkEnd w:id="53"/>
      <w:bookmarkEnd w:id="54"/>
      <w:bookmarkEnd w:id="55"/>
      <w:bookmarkEnd w:id="56"/>
      <w:bookmarkEnd w:id="57"/>
    </w:p>
    <w:tbl>
      <w:tblPr>
        <w:tblW w:w="945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351"/>
        <w:gridCol w:w="744"/>
        <w:gridCol w:w="1341"/>
        <w:gridCol w:w="1341"/>
        <w:gridCol w:w="1341"/>
        <w:gridCol w:w="1341"/>
      </w:tblGrid>
      <w:tr w:rsidR="00E624FD" w:rsidRPr="00CB6C59" w14:paraId="740F3D6E" w14:textId="77777777" w:rsidTr="00E624FD">
        <w:trPr>
          <w:cantSplit/>
          <w:trHeight w:val="288"/>
          <w:tblHeader/>
          <w:jc w:val="center"/>
        </w:trPr>
        <w:tc>
          <w:tcPr>
            <w:tcW w:w="3351" w:type="dxa"/>
            <w:tcBorders>
              <w:top w:val="single" w:sz="12" w:space="0" w:color="auto"/>
              <w:bottom w:val="nil"/>
            </w:tcBorders>
            <w:shd w:val="clear" w:color="auto" w:fill="D9D9D9"/>
            <w:vAlign w:val="bottom"/>
          </w:tcPr>
          <w:p w14:paraId="5B97956D" w14:textId="77777777" w:rsidR="00E624FD" w:rsidRPr="00CB6C59" w:rsidRDefault="00E624FD" w:rsidP="00E624FD">
            <w:pPr>
              <w:keepNext/>
              <w:autoSpaceDE w:val="0"/>
              <w:autoSpaceDN w:val="0"/>
              <w:adjustRightInd w:val="0"/>
              <w:rPr>
                <w:rFonts w:cs="Arial"/>
                <w:b/>
                <w:bCs/>
                <w:color w:val="000000"/>
                <w:sz w:val="20"/>
              </w:rPr>
            </w:pPr>
          </w:p>
        </w:tc>
        <w:tc>
          <w:tcPr>
            <w:tcW w:w="744" w:type="dxa"/>
            <w:tcBorders>
              <w:top w:val="single" w:sz="12" w:space="0" w:color="auto"/>
              <w:bottom w:val="nil"/>
            </w:tcBorders>
            <w:shd w:val="clear" w:color="auto" w:fill="D9D9D9"/>
            <w:vAlign w:val="bottom"/>
          </w:tcPr>
          <w:p w14:paraId="614C64AA" w14:textId="77777777" w:rsidR="00E624FD" w:rsidRPr="00CB6C59" w:rsidRDefault="00E624FD" w:rsidP="00E624FD">
            <w:pPr>
              <w:keepNext/>
              <w:autoSpaceDE w:val="0"/>
              <w:autoSpaceDN w:val="0"/>
              <w:adjustRightInd w:val="0"/>
              <w:jc w:val="center"/>
              <w:rPr>
                <w:rFonts w:cs="Arial"/>
                <w:b/>
                <w:color w:val="000000"/>
                <w:sz w:val="20"/>
              </w:rPr>
            </w:pPr>
          </w:p>
        </w:tc>
        <w:tc>
          <w:tcPr>
            <w:tcW w:w="1341" w:type="dxa"/>
            <w:tcBorders>
              <w:top w:val="single" w:sz="12" w:space="0" w:color="auto"/>
              <w:bottom w:val="single" w:sz="4" w:space="0" w:color="auto"/>
            </w:tcBorders>
            <w:shd w:val="clear" w:color="auto" w:fill="D9D9D9"/>
            <w:vAlign w:val="center"/>
          </w:tcPr>
          <w:p w14:paraId="4ABEC771"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1</w:t>
            </w:r>
          </w:p>
        </w:tc>
        <w:tc>
          <w:tcPr>
            <w:tcW w:w="1341" w:type="dxa"/>
            <w:tcBorders>
              <w:top w:val="single" w:sz="12" w:space="0" w:color="auto"/>
              <w:bottom w:val="single" w:sz="4" w:space="0" w:color="auto"/>
            </w:tcBorders>
            <w:shd w:val="clear" w:color="auto" w:fill="D9D9D9"/>
            <w:vAlign w:val="center"/>
          </w:tcPr>
          <w:p w14:paraId="13F6134B"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2</w:t>
            </w:r>
          </w:p>
        </w:tc>
        <w:tc>
          <w:tcPr>
            <w:tcW w:w="1341" w:type="dxa"/>
            <w:tcBorders>
              <w:top w:val="single" w:sz="12" w:space="0" w:color="auto"/>
              <w:bottom w:val="single" w:sz="4" w:space="0" w:color="auto"/>
            </w:tcBorders>
            <w:shd w:val="clear" w:color="auto" w:fill="D9D9D9"/>
            <w:vAlign w:val="center"/>
          </w:tcPr>
          <w:p w14:paraId="624EE488"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3</w:t>
            </w:r>
          </w:p>
        </w:tc>
        <w:tc>
          <w:tcPr>
            <w:tcW w:w="1341" w:type="dxa"/>
            <w:tcBorders>
              <w:top w:val="single" w:sz="12" w:space="0" w:color="auto"/>
              <w:bottom w:val="single" w:sz="4" w:space="0" w:color="auto"/>
            </w:tcBorders>
            <w:shd w:val="clear" w:color="auto" w:fill="D9D9D9"/>
            <w:vAlign w:val="center"/>
          </w:tcPr>
          <w:p w14:paraId="07A22FC5"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4</w:t>
            </w:r>
          </w:p>
        </w:tc>
      </w:tr>
      <w:tr w:rsidR="00E624FD" w:rsidRPr="00F3093E" w14:paraId="6FCDEED5" w14:textId="77777777" w:rsidTr="00E624FD">
        <w:trPr>
          <w:cantSplit/>
          <w:trHeight w:val="288"/>
          <w:tblHeader/>
          <w:jc w:val="center"/>
        </w:trPr>
        <w:tc>
          <w:tcPr>
            <w:tcW w:w="3351" w:type="dxa"/>
            <w:tcBorders>
              <w:top w:val="nil"/>
              <w:bottom w:val="single" w:sz="4" w:space="0" w:color="auto"/>
            </w:tcBorders>
            <w:shd w:val="clear" w:color="auto" w:fill="D9D9D9"/>
            <w:vAlign w:val="bottom"/>
          </w:tcPr>
          <w:p w14:paraId="07B48CE4" w14:textId="77777777" w:rsidR="00E624FD" w:rsidRPr="00CB6C59" w:rsidRDefault="00E624FD" w:rsidP="00E624FD">
            <w:pPr>
              <w:keepNext/>
              <w:autoSpaceDE w:val="0"/>
              <w:autoSpaceDN w:val="0"/>
              <w:adjustRightInd w:val="0"/>
              <w:rPr>
                <w:rFonts w:cs="Arial"/>
                <w:b/>
                <w:bCs/>
                <w:color w:val="000000"/>
                <w:sz w:val="20"/>
              </w:rPr>
            </w:pPr>
            <w:r w:rsidRPr="00CB6C59">
              <w:rPr>
                <w:rFonts w:cs="Arial"/>
                <w:b/>
                <w:bCs/>
                <w:color w:val="000000"/>
                <w:sz w:val="20"/>
              </w:rPr>
              <w:t>System Organ Class</w:t>
            </w:r>
          </w:p>
          <w:p w14:paraId="348DB7E8" w14:textId="77777777" w:rsidR="00E624FD" w:rsidRPr="00CB6C59" w:rsidRDefault="00E624FD" w:rsidP="00E624FD">
            <w:pPr>
              <w:keepNext/>
              <w:autoSpaceDE w:val="0"/>
              <w:autoSpaceDN w:val="0"/>
              <w:adjustRightInd w:val="0"/>
              <w:ind w:left="230" w:hanging="230"/>
              <w:rPr>
                <w:rFonts w:cs="Arial"/>
                <w:b/>
                <w:bCs/>
                <w:color w:val="000000"/>
                <w:sz w:val="20"/>
              </w:rPr>
            </w:pPr>
            <w:r w:rsidRPr="00CB6C59">
              <w:rPr>
                <w:rFonts w:cs="Arial"/>
                <w:b/>
                <w:bCs/>
                <w:color w:val="000000"/>
                <w:sz w:val="20"/>
              </w:rPr>
              <w:tab/>
              <w:t>Preferred Term</w:t>
            </w:r>
          </w:p>
        </w:tc>
        <w:tc>
          <w:tcPr>
            <w:tcW w:w="744" w:type="dxa"/>
            <w:tcBorders>
              <w:top w:val="nil"/>
              <w:bottom w:val="single" w:sz="4" w:space="0" w:color="auto"/>
            </w:tcBorders>
            <w:shd w:val="clear" w:color="auto" w:fill="D9D9D9"/>
            <w:vAlign w:val="bottom"/>
          </w:tcPr>
          <w:p w14:paraId="3BD51826"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color w:val="000000"/>
                <w:sz w:val="20"/>
              </w:rPr>
              <w:t>Grade</w:t>
            </w:r>
          </w:p>
        </w:tc>
        <w:tc>
          <w:tcPr>
            <w:tcW w:w="1341" w:type="dxa"/>
            <w:tcBorders>
              <w:top w:val="single" w:sz="4" w:space="0" w:color="auto"/>
              <w:bottom w:val="single" w:sz="4" w:space="0" w:color="auto"/>
            </w:tcBorders>
            <w:shd w:val="clear" w:color="auto" w:fill="D9D9D9"/>
            <w:vAlign w:val="center"/>
          </w:tcPr>
          <w:p w14:paraId="790C2D9D"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2 µg ID93 ±</w:t>
            </w:r>
          </w:p>
          <w:p w14:paraId="633EC8A2"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2 µg GLA-SE</w:t>
            </w:r>
            <w:r w:rsidRPr="000B7056">
              <w:rPr>
                <w:rFonts w:cs="Arial"/>
                <w:b/>
                <w:bCs/>
                <w:color w:val="000000"/>
                <w:sz w:val="20"/>
                <w:lang w:val="fr-FR"/>
              </w:rPr>
              <w:br/>
              <w:t>(n=15)</w:t>
            </w:r>
          </w:p>
        </w:tc>
        <w:tc>
          <w:tcPr>
            <w:tcW w:w="1341" w:type="dxa"/>
            <w:tcBorders>
              <w:top w:val="single" w:sz="4" w:space="0" w:color="auto"/>
              <w:bottom w:val="single" w:sz="4" w:space="0" w:color="auto"/>
            </w:tcBorders>
            <w:shd w:val="clear" w:color="auto" w:fill="D9D9D9"/>
            <w:vAlign w:val="center"/>
          </w:tcPr>
          <w:p w14:paraId="7AA3DE91"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10 µg ID93 ±</w:t>
            </w:r>
          </w:p>
          <w:p w14:paraId="7B9E5A35"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2 µg GLA-SE</w:t>
            </w:r>
            <w:r w:rsidRPr="000B7056">
              <w:rPr>
                <w:rFonts w:cs="Arial"/>
                <w:b/>
                <w:bCs/>
                <w:color w:val="000000"/>
                <w:sz w:val="20"/>
                <w:lang w:val="fr-FR"/>
              </w:rPr>
              <w:br/>
              <w:t>(n=15)</w:t>
            </w:r>
          </w:p>
        </w:tc>
        <w:tc>
          <w:tcPr>
            <w:tcW w:w="1341" w:type="dxa"/>
            <w:tcBorders>
              <w:top w:val="single" w:sz="4" w:space="0" w:color="auto"/>
              <w:bottom w:val="single" w:sz="4" w:space="0" w:color="auto"/>
            </w:tcBorders>
            <w:shd w:val="clear" w:color="auto" w:fill="D9D9D9"/>
            <w:vAlign w:val="center"/>
          </w:tcPr>
          <w:p w14:paraId="04F794ED"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2 µg ID93 ±</w:t>
            </w:r>
          </w:p>
          <w:p w14:paraId="2918EA57"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5 µg GLA-SE (n=15)</w:t>
            </w:r>
          </w:p>
        </w:tc>
        <w:tc>
          <w:tcPr>
            <w:tcW w:w="1341" w:type="dxa"/>
            <w:tcBorders>
              <w:top w:val="single" w:sz="4" w:space="0" w:color="auto"/>
              <w:bottom w:val="single" w:sz="4" w:space="0" w:color="auto"/>
            </w:tcBorders>
            <w:shd w:val="clear" w:color="auto" w:fill="D9D9D9"/>
            <w:vAlign w:val="center"/>
          </w:tcPr>
          <w:p w14:paraId="3BE2E5D2"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10 µg ID93 ±</w:t>
            </w:r>
          </w:p>
          <w:p w14:paraId="0A977771" w14:textId="77777777" w:rsidR="00E624FD" w:rsidRPr="000B7056" w:rsidRDefault="00E624FD" w:rsidP="00E624FD">
            <w:pPr>
              <w:keepNext/>
              <w:autoSpaceDE w:val="0"/>
              <w:autoSpaceDN w:val="0"/>
              <w:adjustRightInd w:val="0"/>
              <w:jc w:val="center"/>
              <w:rPr>
                <w:rFonts w:cs="Arial"/>
                <w:b/>
                <w:bCs/>
                <w:color w:val="000000"/>
                <w:sz w:val="20"/>
                <w:lang w:val="fr-FR"/>
              </w:rPr>
            </w:pPr>
            <w:r w:rsidRPr="000B7056">
              <w:rPr>
                <w:rFonts w:cs="Arial"/>
                <w:b/>
                <w:bCs/>
                <w:color w:val="000000"/>
                <w:sz w:val="20"/>
                <w:lang w:val="fr-FR"/>
              </w:rPr>
              <w:t>5 µg GLA-SE (n=15)</w:t>
            </w:r>
          </w:p>
        </w:tc>
      </w:tr>
      <w:tr w:rsidR="00E624FD" w:rsidRPr="00CB6C59" w14:paraId="733B4E9F" w14:textId="77777777" w:rsidTr="00E624FD">
        <w:trPr>
          <w:cantSplit/>
          <w:trHeight w:val="288"/>
          <w:jc w:val="center"/>
        </w:trPr>
        <w:tc>
          <w:tcPr>
            <w:tcW w:w="3351" w:type="dxa"/>
            <w:tcBorders>
              <w:top w:val="single" w:sz="4" w:space="0" w:color="auto"/>
              <w:bottom w:val="single" w:sz="4" w:space="0" w:color="auto"/>
              <w:right w:val="nil"/>
            </w:tcBorders>
            <w:shd w:val="clear" w:color="auto" w:fill="D9D9D9"/>
            <w:vAlign w:val="center"/>
            <w:hideMark/>
          </w:tcPr>
          <w:p w14:paraId="4A5057D7" w14:textId="77777777" w:rsidR="00E624FD" w:rsidRPr="00CB6C59" w:rsidRDefault="00E624FD" w:rsidP="00E624FD">
            <w:pPr>
              <w:keepNext/>
              <w:autoSpaceDE w:val="0"/>
              <w:autoSpaceDN w:val="0"/>
              <w:adjustRightInd w:val="0"/>
              <w:rPr>
                <w:rFonts w:cs="Arial"/>
                <w:b/>
                <w:bCs/>
                <w:color w:val="000000"/>
                <w:sz w:val="20"/>
              </w:rPr>
            </w:pPr>
            <w:r w:rsidRPr="00CB6C59">
              <w:rPr>
                <w:rFonts w:cs="Arial"/>
                <w:b/>
                <w:bCs/>
                <w:color w:val="000000"/>
                <w:sz w:val="20"/>
              </w:rPr>
              <w:t>Infections and infestations</w:t>
            </w:r>
          </w:p>
        </w:tc>
        <w:tc>
          <w:tcPr>
            <w:tcW w:w="744" w:type="dxa"/>
            <w:tcBorders>
              <w:top w:val="single" w:sz="4" w:space="0" w:color="auto"/>
              <w:left w:val="nil"/>
              <w:bottom w:val="single" w:sz="4" w:space="0" w:color="auto"/>
              <w:right w:val="nil"/>
            </w:tcBorders>
            <w:shd w:val="clear" w:color="auto" w:fill="D9D9D9"/>
            <w:vAlign w:val="center"/>
          </w:tcPr>
          <w:p w14:paraId="0746B3B1" w14:textId="77777777" w:rsidR="00E624FD" w:rsidRPr="00CB6C59" w:rsidRDefault="00E624FD" w:rsidP="00E624FD">
            <w:pPr>
              <w:keepNext/>
              <w:autoSpaceDE w:val="0"/>
              <w:autoSpaceDN w:val="0"/>
              <w:adjustRightInd w:val="0"/>
              <w:jc w:val="center"/>
              <w:rPr>
                <w:rFonts w:cs="Arial"/>
                <w:color w:val="000000"/>
                <w:sz w:val="20"/>
              </w:rPr>
            </w:pPr>
          </w:p>
        </w:tc>
        <w:tc>
          <w:tcPr>
            <w:tcW w:w="1341" w:type="dxa"/>
            <w:tcBorders>
              <w:top w:val="single" w:sz="4" w:space="0" w:color="auto"/>
              <w:left w:val="nil"/>
              <w:bottom w:val="single" w:sz="4" w:space="0" w:color="auto"/>
              <w:right w:val="nil"/>
            </w:tcBorders>
            <w:shd w:val="clear" w:color="auto" w:fill="D9D9D9"/>
            <w:vAlign w:val="center"/>
          </w:tcPr>
          <w:p w14:paraId="3E6845F2" w14:textId="77777777" w:rsidR="00E624FD" w:rsidRPr="00CB6C59" w:rsidRDefault="00E624FD" w:rsidP="00E624FD">
            <w:pPr>
              <w:keepNext/>
              <w:autoSpaceDE w:val="0"/>
              <w:autoSpaceDN w:val="0"/>
              <w:adjustRightInd w:val="0"/>
              <w:jc w:val="center"/>
              <w:rPr>
                <w:rFonts w:cs="Arial"/>
                <w:color w:val="000000"/>
                <w:sz w:val="20"/>
              </w:rPr>
            </w:pPr>
          </w:p>
        </w:tc>
        <w:tc>
          <w:tcPr>
            <w:tcW w:w="1341" w:type="dxa"/>
            <w:tcBorders>
              <w:top w:val="single" w:sz="4" w:space="0" w:color="auto"/>
              <w:left w:val="nil"/>
              <w:bottom w:val="single" w:sz="4" w:space="0" w:color="auto"/>
              <w:right w:val="nil"/>
            </w:tcBorders>
            <w:shd w:val="clear" w:color="auto" w:fill="D9D9D9"/>
            <w:vAlign w:val="center"/>
          </w:tcPr>
          <w:p w14:paraId="41503B0B" w14:textId="77777777" w:rsidR="00E624FD" w:rsidRPr="00CB6C59" w:rsidRDefault="00E624FD" w:rsidP="00E624FD">
            <w:pPr>
              <w:keepNext/>
              <w:autoSpaceDE w:val="0"/>
              <w:autoSpaceDN w:val="0"/>
              <w:adjustRightInd w:val="0"/>
              <w:jc w:val="center"/>
              <w:rPr>
                <w:rFonts w:cs="Arial"/>
                <w:color w:val="000000"/>
                <w:sz w:val="20"/>
              </w:rPr>
            </w:pPr>
          </w:p>
        </w:tc>
        <w:tc>
          <w:tcPr>
            <w:tcW w:w="1341" w:type="dxa"/>
            <w:tcBorders>
              <w:top w:val="single" w:sz="4" w:space="0" w:color="auto"/>
              <w:left w:val="nil"/>
              <w:bottom w:val="single" w:sz="4" w:space="0" w:color="auto"/>
              <w:right w:val="nil"/>
            </w:tcBorders>
            <w:shd w:val="clear" w:color="auto" w:fill="D9D9D9"/>
            <w:vAlign w:val="center"/>
          </w:tcPr>
          <w:p w14:paraId="3DF5DE93" w14:textId="77777777" w:rsidR="00E624FD" w:rsidRPr="00CB6C59" w:rsidRDefault="00E624FD" w:rsidP="00E624FD">
            <w:pPr>
              <w:keepNext/>
              <w:autoSpaceDE w:val="0"/>
              <w:autoSpaceDN w:val="0"/>
              <w:adjustRightInd w:val="0"/>
              <w:jc w:val="center"/>
              <w:rPr>
                <w:rFonts w:cs="Arial"/>
                <w:color w:val="000000"/>
                <w:sz w:val="20"/>
              </w:rPr>
            </w:pPr>
          </w:p>
        </w:tc>
        <w:tc>
          <w:tcPr>
            <w:tcW w:w="1341" w:type="dxa"/>
            <w:tcBorders>
              <w:top w:val="single" w:sz="4" w:space="0" w:color="auto"/>
              <w:left w:val="nil"/>
              <w:bottom w:val="single" w:sz="4" w:space="0" w:color="auto"/>
              <w:right w:val="single" w:sz="12" w:space="0" w:color="auto"/>
            </w:tcBorders>
            <w:shd w:val="clear" w:color="auto" w:fill="D9D9D9"/>
            <w:vAlign w:val="center"/>
          </w:tcPr>
          <w:p w14:paraId="1C68957B"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61CAF2E9" w14:textId="77777777" w:rsidTr="00E624FD">
        <w:trPr>
          <w:cantSplit/>
          <w:trHeight w:val="288"/>
          <w:jc w:val="center"/>
        </w:trPr>
        <w:tc>
          <w:tcPr>
            <w:tcW w:w="3351" w:type="dxa"/>
            <w:tcBorders>
              <w:top w:val="single" w:sz="4" w:space="0" w:color="auto"/>
              <w:bottom w:val="nil"/>
            </w:tcBorders>
            <w:shd w:val="clear" w:color="auto" w:fill="FFFFFF"/>
            <w:vAlign w:val="center"/>
          </w:tcPr>
          <w:p w14:paraId="454419C8" w14:textId="77777777" w:rsidR="00E624FD" w:rsidRPr="00CB6C59" w:rsidRDefault="00E624FD" w:rsidP="00E624FD">
            <w:pPr>
              <w:keepNext/>
              <w:autoSpaceDE w:val="0"/>
              <w:autoSpaceDN w:val="0"/>
              <w:adjustRightInd w:val="0"/>
              <w:ind w:left="173"/>
              <w:rPr>
                <w:rFonts w:cs="Arial"/>
                <w:color w:val="000000"/>
                <w:sz w:val="20"/>
              </w:rPr>
            </w:pPr>
            <w:r w:rsidRPr="00CB6C59">
              <w:rPr>
                <w:rFonts w:cs="Arial"/>
                <w:color w:val="000000"/>
                <w:sz w:val="20"/>
              </w:rPr>
              <w:t>Cellulitis</w:t>
            </w:r>
          </w:p>
        </w:tc>
        <w:tc>
          <w:tcPr>
            <w:tcW w:w="744" w:type="dxa"/>
            <w:tcBorders>
              <w:top w:val="single" w:sz="4" w:space="0" w:color="auto"/>
            </w:tcBorders>
            <w:shd w:val="clear" w:color="auto" w:fill="FFFFFF"/>
            <w:vAlign w:val="center"/>
          </w:tcPr>
          <w:p w14:paraId="609DD669"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341" w:type="dxa"/>
            <w:tcBorders>
              <w:top w:val="single" w:sz="4" w:space="0" w:color="auto"/>
            </w:tcBorders>
            <w:shd w:val="clear" w:color="auto" w:fill="FFFFFF"/>
            <w:vAlign w:val="center"/>
          </w:tcPr>
          <w:p w14:paraId="2237624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341" w:type="dxa"/>
            <w:tcBorders>
              <w:top w:val="single" w:sz="4" w:space="0" w:color="auto"/>
            </w:tcBorders>
            <w:vAlign w:val="center"/>
          </w:tcPr>
          <w:p w14:paraId="41C2C385"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tcBorders>
              <w:top w:val="single" w:sz="4" w:space="0" w:color="auto"/>
            </w:tcBorders>
            <w:vAlign w:val="center"/>
          </w:tcPr>
          <w:p w14:paraId="67D38AD9"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tcBorders>
              <w:top w:val="single" w:sz="4" w:space="0" w:color="auto"/>
            </w:tcBorders>
            <w:vAlign w:val="center"/>
          </w:tcPr>
          <w:p w14:paraId="3982964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2DFD565F" w14:textId="77777777" w:rsidTr="00E624FD">
        <w:trPr>
          <w:cantSplit/>
          <w:trHeight w:val="288"/>
          <w:jc w:val="center"/>
        </w:trPr>
        <w:tc>
          <w:tcPr>
            <w:tcW w:w="3351" w:type="dxa"/>
            <w:tcBorders>
              <w:top w:val="nil"/>
            </w:tcBorders>
            <w:shd w:val="clear" w:color="auto" w:fill="FFFFFF"/>
            <w:vAlign w:val="center"/>
          </w:tcPr>
          <w:p w14:paraId="41D5B06F" w14:textId="77777777" w:rsidR="00E624FD" w:rsidRPr="00CB6C59" w:rsidRDefault="00E624FD" w:rsidP="00E624FD">
            <w:pPr>
              <w:keepNext/>
              <w:autoSpaceDE w:val="0"/>
              <w:autoSpaceDN w:val="0"/>
              <w:adjustRightInd w:val="0"/>
              <w:ind w:left="173"/>
              <w:rPr>
                <w:rFonts w:cs="Arial"/>
                <w:color w:val="000000"/>
                <w:sz w:val="20"/>
              </w:rPr>
            </w:pPr>
          </w:p>
        </w:tc>
        <w:tc>
          <w:tcPr>
            <w:tcW w:w="744" w:type="dxa"/>
            <w:shd w:val="clear" w:color="auto" w:fill="FFFFFF"/>
            <w:vAlign w:val="center"/>
          </w:tcPr>
          <w:p w14:paraId="3DDE595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341" w:type="dxa"/>
            <w:shd w:val="clear" w:color="auto" w:fill="FFFFFF"/>
            <w:vAlign w:val="center"/>
          </w:tcPr>
          <w:p w14:paraId="1616D965"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(13.3%)</w:t>
            </w:r>
          </w:p>
        </w:tc>
        <w:tc>
          <w:tcPr>
            <w:tcW w:w="1341" w:type="dxa"/>
            <w:vAlign w:val="center"/>
          </w:tcPr>
          <w:p w14:paraId="059EA94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vAlign w:val="center"/>
          </w:tcPr>
          <w:p w14:paraId="32D1858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vAlign w:val="center"/>
          </w:tcPr>
          <w:p w14:paraId="2AFC595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585676B0" w14:textId="77777777" w:rsidTr="00E624FD">
        <w:trPr>
          <w:cantSplit/>
          <w:trHeight w:val="288"/>
          <w:jc w:val="center"/>
        </w:trPr>
        <w:tc>
          <w:tcPr>
            <w:tcW w:w="3351" w:type="dxa"/>
            <w:tcBorders>
              <w:top w:val="single" w:sz="4" w:space="0" w:color="auto"/>
              <w:bottom w:val="nil"/>
            </w:tcBorders>
            <w:shd w:val="clear" w:color="auto" w:fill="FFFFFF"/>
            <w:vAlign w:val="center"/>
          </w:tcPr>
          <w:p w14:paraId="6AE75193" w14:textId="77777777" w:rsidR="00E624FD" w:rsidRPr="00CB6C59" w:rsidRDefault="00E624FD" w:rsidP="00E624FD">
            <w:pPr>
              <w:keepNext/>
              <w:autoSpaceDE w:val="0"/>
              <w:autoSpaceDN w:val="0"/>
              <w:adjustRightInd w:val="0"/>
              <w:ind w:left="173"/>
              <w:rPr>
                <w:rFonts w:cs="Arial"/>
                <w:color w:val="000000"/>
                <w:sz w:val="20"/>
              </w:rPr>
            </w:pPr>
            <w:r w:rsidRPr="00CB6C59">
              <w:rPr>
                <w:rFonts w:cs="Arial"/>
                <w:color w:val="000000"/>
                <w:sz w:val="20"/>
              </w:rPr>
              <w:t>Sinusitis</w:t>
            </w:r>
          </w:p>
        </w:tc>
        <w:tc>
          <w:tcPr>
            <w:tcW w:w="744" w:type="dxa"/>
            <w:shd w:val="clear" w:color="auto" w:fill="FFFFFF"/>
            <w:vAlign w:val="center"/>
          </w:tcPr>
          <w:p w14:paraId="4731772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341" w:type="dxa"/>
            <w:shd w:val="clear" w:color="auto" w:fill="FFFFFF"/>
            <w:vAlign w:val="center"/>
          </w:tcPr>
          <w:p w14:paraId="4FB4EBA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vAlign w:val="center"/>
          </w:tcPr>
          <w:p w14:paraId="6AC179B9"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341" w:type="dxa"/>
            <w:vAlign w:val="center"/>
          </w:tcPr>
          <w:p w14:paraId="1B67AB6A"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vAlign w:val="center"/>
          </w:tcPr>
          <w:p w14:paraId="7327C8FD"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r>
      <w:tr w:rsidR="00E624FD" w:rsidRPr="00CB6C59" w14:paraId="2E4CA316" w14:textId="77777777" w:rsidTr="00E624FD">
        <w:trPr>
          <w:cantSplit/>
          <w:trHeight w:val="288"/>
          <w:jc w:val="center"/>
        </w:trPr>
        <w:tc>
          <w:tcPr>
            <w:tcW w:w="3351" w:type="dxa"/>
            <w:tcBorders>
              <w:top w:val="nil"/>
              <w:bottom w:val="single" w:sz="4" w:space="0" w:color="auto"/>
            </w:tcBorders>
            <w:shd w:val="clear" w:color="auto" w:fill="FFFFFF"/>
            <w:vAlign w:val="center"/>
          </w:tcPr>
          <w:p w14:paraId="0814239E" w14:textId="77777777" w:rsidR="00E624FD" w:rsidRPr="00CB6C59" w:rsidRDefault="00E624FD" w:rsidP="00E624FD">
            <w:pPr>
              <w:keepNext/>
              <w:autoSpaceDE w:val="0"/>
              <w:autoSpaceDN w:val="0"/>
              <w:adjustRightInd w:val="0"/>
              <w:ind w:left="173"/>
              <w:rPr>
                <w:rFonts w:cs="Arial"/>
                <w:color w:val="000000"/>
                <w:sz w:val="20"/>
              </w:rPr>
            </w:pPr>
          </w:p>
        </w:tc>
        <w:tc>
          <w:tcPr>
            <w:tcW w:w="744" w:type="dxa"/>
            <w:shd w:val="clear" w:color="auto" w:fill="FFFFFF"/>
            <w:vAlign w:val="center"/>
          </w:tcPr>
          <w:p w14:paraId="07A72A89"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341" w:type="dxa"/>
            <w:shd w:val="clear" w:color="auto" w:fill="FFFFFF"/>
            <w:vAlign w:val="center"/>
          </w:tcPr>
          <w:p w14:paraId="33177DD9"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vAlign w:val="center"/>
          </w:tcPr>
          <w:p w14:paraId="2743AA8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vAlign w:val="center"/>
          </w:tcPr>
          <w:p w14:paraId="69F1B576"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341" w:type="dxa"/>
            <w:vAlign w:val="center"/>
          </w:tcPr>
          <w:p w14:paraId="78CB6773"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3A26F526" w14:textId="77777777" w:rsidTr="00E624FD">
        <w:trPr>
          <w:cantSplit/>
          <w:trHeight w:val="288"/>
          <w:jc w:val="center"/>
        </w:trPr>
        <w:tc>
          <w:tcPr>
            <w:tcW w:w="3351" w:type="dxa"/>
            <w:tcBorders>
              <w:top w:val="single" w:sz="4" w:space="0" w:color="auto"/>
              <w:bottom w:val="single" w:sz="4" w:space="0" w:color="auto"/>
              <w:right w:val="nil"/>
            </w:tcBorders>
            <w:shd w:val="clear" w:color="auto" w:fill="D9D9D9"/>
            <w:vAlign w:val="center"/>
            <w:hideMark/>
          </w:tcPr>
          <w:p w14:paraId="4D1943A8" w14:textId="77777777" w:rsidR="00E624FD" w:rsidRPr="00CB6C59" w:rsidRDefault="00E624FD" w:rsidP="00E624FD">
            <w:pPr>
              <w:keepNext/>
              <w:autoSpaceDE w:val="0"/>
              <w:autoSpaceDN w:val="0"/>
              <w:adjustRightInd w:val="0"/>
              <w:rPr>
                <w:rFonts w:cs="Arial"/>
                <w:b/>
                <w:bCs/>
                <w:color w:val="000000"/>
                <w:sz w:val="20"/>
              </w:rPr>
            </w:pPr>
            <w:r w:rsidRPr="00CB6C59">
              <w:rPr>
                <w:rFonts w:cs="Arial"/>
                <w:b/>
                <w:bCs/>
                <w:color w:val="000000"/>
                <w:sz w:val="20"/>
              </w:rPr>
              <w:t>Investigations</w:t>
            </w:r>
          </w:p>
        </w:tc>
        <w:tc>
          <w:tcPr>
            <w:tcW w:w="744" w:type="dxa"/>
            <w:tcBorders>
              <w:top w:val="single" w:sz="4" w:space="0" w:color="auto"/>
              <w:left w:val="nil"/>
              <w:bottom w:val="single" w:sz="4" w:space="0" w:color="auto"/>
              <w:right w:val="nil"/>
            </w:tcBorders>
            <w:shd w:val="clear" w:color="auto" w:fill="D9D9D9"/>
            <w:vAlign w:val="center"/>
          </w:tcPr>
          <w:p w14:paraId="5D455481" w14:textId="77777777" w:rsidR="00E624FD" w:rsidRPr="00CB6C59" w:rsidRDefault="00E624FD" w:rsidP="00E624FD">
            <w:pPr>
              <w:keepNext/>
              <w:autoSpaceDE w:val="0"/>
              <w:autoSpaceDN w:val="0"/>
              <w:adjustRightInd w:val="0"/>
              <w:jc w:val="center"/>
              <w:rPr>
                <w:rFonts w:cs="Arial"/>
                <w:color w:val="000000"/>
                <w:sz w:val="20"/>
              </w:rPr>
            </w:pPr>
          </w:p>
        </w:tc>
        <w:tc>
          <w:tcPr>
            <w:tcW w:w="1341" w:type="dxa"/>
            <w:tcBorders>
              <w:top w:val="single" w:sz="4" w:space="0" w:color="auto"/>
              <w:left w:val="nil"/>
              <w:bottom w:val="single" w:sz="4" w:space="0" w:color="auto"/>
              <w:right w:val="nil"/>
            </w:tcBorders>
            <w:shd w:val="clear" w:color="auto" w:fill="D9D9D9"/>
            <w:vAlign w:val="center"/>
          </w:tcPr>
          <w:p w14:paraId="47C7B5D9" w14:textId="77777777" w:rsidR="00E624FD" w:rsidRPr="00CB6C59" w:rsidRDefault="00E624FD" w:rsidP="00E624FD">
            <w:pPr>
              <w:keepNext/>
              <w:autoSpaceDE w:val="0"/>
              <w:autoSpaceDN w:val="0"/>
              <w:adjustRightInd w:val="0"/>
              <w:jc w:val="center"/>
              <w:rPr>
                <w:rFonts w:cs="Arial"/>
                <w:color w:val="000000"/>
                <w:sz w:val="20"/>
              </w:rPr>
            </w:pPr>
          </w:p>
        </w:tc>
        <w:tc>
          <w:tcPr>
            <w:tcW w:w="1341" w:type="dxa"/>
            <w:tcBorders>
              <w:top w:val="single" w:sz="4" w:space="0" w:color="auto"/>
              <w:left w:val="nil"/>
              <w:bottom w:val="single" w:sz="4" w:space="0" w:color="auto"/>
              <w:right w:val="nil"/>
            </w:tcBorders>
            <w:shd w:val="clear" w:color="auto" w:fill="D9D9D9"/>
            <w:vAlign w:val="center"/>
          </w:tcPr>
          <w:p w14:paraId="53982FA1" w14:textId="77777777" w:rsidR="00E624FD" w:rsidRPr="00CB6C59" w:rsidRDefault="00E624FD" w:rsidP="00E624FD">
            <w:pPr>
              <w:keepNext/>
              <w:autoSpaceDE w:val="0"/>
              <w:autoSpaceDN w:val="0"/>
              <w:adjustRightInd w:val="0"/>
              <w:jc w:val="center"/>
              <w:rPr>
                <w:rFonts w:cs="Arial"/>
                <w:color w:val="000000"/>
                <w:sz w:val="20"/>
              </w:rPr>
            </w:pPr>
          </w:p>
        </w:tc>
        <w:tc>
          <w:tcPr>
            <w:tcW w:w="1341" w:type="dxa"/>
            <w:tcBorders>
              <w:top w:val="single" w:sz="4" w:space="0" w:color="auto"/>
              <w:left w:val="nil"/>
              <w:bottom w:val="single" w:sz="4" w:space="0" w:color="auto"/>
              <w:right w:val="nil"/>
            </w:tcBorders>
            <w:shd w:val="clear" w:color="auto" w:fill="D9D9D9"/>
            <w:vAlign w:val="center"/>
          </w:tcPr>
          <w:p w14:paraId="10681F9D" w14:textId="77777777" w:rsidR="00E624FD" w:rsidRPr="00CB6C59" w:rsidRDefault="00E624FD" w:rsidP="00E624FD">
            <w:pPr>
              <w:keepNext/>
              <w:autoSpaceDE w:val="0"/>
              <w:autoSpaceDN w:val="0"/>
              <w:adjustRightInd w:val="0"/>
              <w:jc w:val="center"/>
              <w:rPr>
                <w:rFonts w:cs="Arial"/>
                <w:color w:val="000000"/>
                <w:sz w:val="20"/>
              </w:rPr>
            </w:pPr>
          </w:p>
        </w:tc>
        <w:tc>
          <w:tcPr>
            <w:tcW w:w="1341" w:type="dxa"/>
            <w:tcBorders>
              <w:top w:val="single" w:sz="4" w:space="0" w:color="auto"/>
              <w:left w:val="nil"/>
              <w:bottom w:val="single" w:sz="4" w:space="0" w:color="auto"/>
              <w:right w:val="single" w:sz="12" w:space="0" w:color="auto"/>
            </w:tcBorders>
            <w:shd w:val="clear" w:color="auto" w:fill="D9D9D9"/>
            <w:vAlign w:val="center"/>
          </w:tcPr>
          <w:p w14:paraId="059181A3"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6BF19AC4" w14:textId="77777777" w:rsidTr="00E624FD">
        <w:trPr>
          <w:cantSplit/>
          <w:trHeight w:val="288"/>
          <w:jc w:val="center"/>
        </w:trPr>
        <w:tc>
          <w:tcPr>
            <w:tcW w:w="3351" w:type="dxa"/>
            <w:tcBorders>
              <w:top w:val="single" w:sz="4" w:space="0" w:color="auto"/>
            </w:tcBorders>
            <w:shd w:val="clear" w:color="auto" w:fill="FFFFFF"/>
            <w:vAlign w:val="center"/>
          </w:tcPr>
          <w:p w14:paraId="03978FB8" w14:textId="77777777" w:rsidR="00E624FD" w:rsidRPr="00CB6C59" w:rsidRDefault="00E624FD" w:rsidP="00E624FD">
            <w:pPr>
              <w:keepNext/>
              <w:autoSpaceDE w:val="0"/>
              <w:autoSpaceDN w:val="0"/>
              <w:adjustRightInd w:val="0"/>
              <w:ind w:left="173"/>
              <w:rPr>
                <w:rFonts w:cs="Arial"/>
                <w:color w:val="000000"/>
                <w:sz w:val="20"/>
              </w:rPr>
            </w:pPr>
            <w:r w:rsidRPr="00CB6C59">
              <w:rPr>
                <w:rFonts w:cs="Arial"/>
                <w:color w:val="000000"/>
                <w:sz w:val="20"/>
              </w:rPr>
              <w:t>ALT increased</w:t>
            </w:r>
          </w:p>
        </w:tc>
        <w:tc>
          <w:tcPr>
            <w:tcW w:w="744" w:type="dxa"/>
            <w:tcBorders>
              <w:top w:val="single" w:sz="4" w:space="0" w:color="auto"/>
            </w:tcBorders>
            <w:shd w:val="clear" w:color="auto" w:fill="FFFFFF"/>
            <w:vAlign w:val="center"/>
          </w:tcPr>
          <w:p w14:paraId="6871424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341" w:type="dxa"/>
            <w:tcBorders>
              <w:top w:val="single" w:sz="4" w:space="0" w:color="auto"/>
            </w:tcBorders>
            <w:shd w:val="clear" w:color="auto" w:fill="FFFFFF"/>
            <w:vAlign w:val="center"/>
          </w:tcPr>
          <w:p w14:paraId="5C09C0F1"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tcBorders>
              <w:top w:val="single" w:sz="4" w:space="0" w:color="auto"/>
            </w:tcBorders>
            <w:shd w:val="clear" w:color="auto" w:fill="FFFFFF"/>
            <w:vAlign w:val="center"/>
          </w:tcPr>
          <w:p w14:paraId="7D3BBB22"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 (20.0%)</w:t>
            </w:r>
          </w:p>
        </w:tc>
        <w:tc>
          <w:tcPr>
            <w:tcW w:w="1341" w:type="dxa"/>
            <w:tcBorders>
              <w:top w:val="single" w:sz="4" w:space="0" w:color="auto"/>
            </w:tcBorders>
            <w:shd w:val="clear" w:color="auto" w:fill="FFFFFF"/>
            <w:vAlign w:val="center"/>
          </w:tcPr>
          <w:p w14:paraId="7787028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341" w:type="dxa"/>
            <w:tcBorders>
              <w:top w:val="single" w:sz="4" w:space="0" w:color="auto"/>
            </w:tcBorders>
            <w:shd w:val="clear" w:color="auto" w:fill="FFFFFF"/>
            <w:vAlign w:val="center"/>
          </w:tcPr>
          <w:p w14:paraId="11790CED"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29F5C7EC" w14:textId="77777777" w:rsidTr="00E624FD">
        <w:trPr>
          <w:cantSplit/>
          <w:trHeight w:val="288"/>
          <w:jc w:val="center"/>
        </w:trPr>
        <w:tc>
          <w:tcPr>
            <w:tcW w:w="3351" w:type="dxa"/>
            <w:tcBorders>
              <w:bottom w:val="single" w:sz="4" w:space="0" w:color="auto"/>
            </w:tcBorders>
            <w:shd w:val="clear" w:color="auto" w:fill="FFFFFF"/>
            <w:vAlign w:val="center"/>
          </w:tcPr>
          <w:p w14:paraId="2ECB33A9" w14:textId="77777777" w:rsidR="00E624FD" w:rsidRPr="00CB6C59" w:rsidRDefault="00E624FD" w:rsidP="00E624FD">
            <w:pPr>
              <w:keepNext/>
              <w:autoSpaceDE w:val="0"/>
              <w:autoSpaceDN w:val="0"/>
              <w:adjustRightInd w:val="0"/>
              <w:ind w:left="173"/>
              <w:rPr>
                <w:rFonts w:cs="Arial"/>
                <w:color w:val="000000"/>
                <w:sz w:val="20"/>
              </w:rPr>
            </w:pPr>
            <w:r w:rsidRPr="00CB6C59">
              <w:rPr>
                <w:rFonts w:cs="Arial"/>
                <w:color w:val="000000"/>
                <w:sz w:val="20"/>
              </w:rPr>
              <w:t>AST increased</w:t>
            </w:r>
          </w:p>
        </w:tc>
        <w:tc>
          <w:tcPr>
            <w:tcW w:w="744" w:type="dxa"/>
            <w:shd w:val="clear" w:color="auto" w:fill="FFFFFF"/>
            <w:vAlign w:val="center"/>
          </w:tcPr>
          <w:p w14:paraId="4489A7C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341" w:type="dxa"/>
            <w:shd w:val="clear" w:color="auto" w:fill="FFFFFF"/>
            <w:vAlign w:val="center"/>
          </w:tcPr>
          <w:p w14:paraId="6FF708E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shd w:val="clear" w:color="auto" w:fill="FFFFFF"/>
            <w:vAlign w:val="center"/>
          </w:tcPr>
          <w:p w14:paraId="731EB221"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 (20.0%)</w:t>
            </w:r>
          </w:p>
        </w:tc>
        <w:tc>
          <w:tcPr>
            <w:tcW w:w="1341" w:type="dxa"/>
            <w:shd w:val="clear" w:color="auto" w:fill="FFFFFF"/>
            <w:vAlign w:val="center"/>
          </w:tcPr>
          <w:p w14:paraId="7BA49F2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shd w:val="clear" w:color="auto" w:fill="FFFFFF"/>
            <w:vAlign w:val="center"/>
          </w:tcPr>
          <w:p w14:paraId="757BD05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r>
      <w:tr w:rsidR="00E624FD" w:rsidRPr="00CB6C59" w14:paraId="0A3C46B3" w14:textId="77777777" w:rsidTr="00E624FD">
        <w:trPr>
          <w:cantSplit/>
          <w:trHeight w:val="288"/>
          <w:jc w:val="center"/>
        </w:trPr>
        <w:tc>
          <w:tcPr>
            <w:tcW w:w="3351" w:type="dxa"/>
            <w:tcBorders>
              <w:top w:val="single" w:sz="4" w:space="0" w:color="auto"/>
              <w:bottom w:val="nil"/>
            </w:tcBorders>
            <w:shd w:val="clear" w:color="auto" w:fill="FFFFFF"/>
            <w:vAlign w:val="center"/>
          </w:tcPr>
          <w:p w14:paraId="55036281" w14:textId="77777777" w:rsidR="00E624FD" w:rsidRPr="00CB6C59" w:rsidRDefault="00E624FD" w:rsidP="00E624FD">
            <w:pPr>
              <w:keepNext/>
              <w:autoSpaceDE w:val="0"/>
              <w:autoSpaceDN w:val="0"/>
              <w:adjustRightInd w:val="0"/>
              <w:ind w:left="173"/>
              <w:rPr>
                <w:rFonts w:cs="Arial"/>
                <w:color w:val="000000"/>
                <w:sz w:val="20"/>
              </w:rPr>
            </w:pPr>
            <w:r w:rsidRPr="00CB6C59">
              <w:rPr>
                <w:rFonts w:cs="Arial"/>
                <w:color w:val="000000"/>
                <w:sz w:val="20"/>
              </w:rPr>
              <w:t>Blood potassium increased</w:t>
            </w:r>
          </w:p>
        </w:tc>
        <w:tc>
          <w:tcPr>
            <w:tcW w:w="744" w:type="dxa"/>
            <w:shd w:val="clear" w:color="auto" w:fill="FFFFFF"/>
            <w:vAlign w:val="center"/>
          </w:tcPr>
          <w:p w14:paraId="7DE6CA6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341" w:type="dxa"/>
            <w:shd w:val="clear" w:color="auto" w:fill="FFFFFF"/>
            <w:vAlign w:val="center"/>
          </w:tcPr>
          <w:p w14:paraId="19F0901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341" w:type="dxa"/>
            <w:shd w:val="clear" w:color="auto" w:fill="FFFFFF"/>
            <w:vAlign w:val="center"/>
          </w:tcPr>
          <w:p w14:paraId="3CD489C3"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shd w:val="clear" w:color="auto" w:fill="FFFFFF"/>
            <w:vAlign w:val="center"/>
          </w:tcPr>
          <w:p w14:paraId="40B5DBA6"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(13.3%)</w:t>
            </w:r>
          </w:p>
        </w:tc>
        <w:tc>
          <w:tcPr>
            <w:tcW w:w="1341" w:type="dxa"/>
            <w:shd w:val="clear" w:color="auto" w:fill="FFFFFF"/>
            <w:vAlign w:val="center"/>
          </w:tcPr>
          <w:p w14:paraId="1BB8590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707629B4" w14:textId="77777777" w:rsidTr="00E624FD">
        <w:trPr>
          <w:cantSplit/>
          <w:trHeight w:val="288"/>
          <w:jc w:val="center"/>
        </w:trPr>
        <w:tc>
          <w:tcPr>
            <w:tcW w:w="3351" w:type="dxa"/>
            <w:tcBorders>
              <w:top w:val="nil"/>
              <w:bottom w:val="nil"/>
            </w:tcBorders>
            <w:shd w:val="clear" w:color="auto" w:fill="FFFFFF"/>
            <w:vAlign w:val="center"/>
          </w:tcPr>
          <w:p w14:paraId="4570FCBF" w14:textId="77777777" w:rsidR="00E624FD" w:rsidRPr="00CB6C59" w:rsidRDefault="00E624FD" w:rsidP="00E624FD">
            <w:pPr>
              <w:keepNext/>
              <w:autoSpaceDE w:val="0"/>
              <w:autoSpaceDN w:val="0"/>
              <w:adjustRightInd w:val="0"/>
              <w:ind w:left="173"/>
              <w:rPr>
                <w:rFonts w:cs="Arial"/>
                <w:color w:val="000000"/>
                <w:sz w:val="20"/>
              </w:rPr>
            </w:pPr>
          </w:p>
        </w:tc>
        <w:tc>
          <w:tcPr>
            <w:tcW w:w="744" w:type="dxa"/>
            <w:shd w:val="clear" w:color="auto" w:fill="FFFFFF"/>
            <w:vAlign w:val="center"/>
          </w:tcPr>
          <w:p w14:paraId="1A9CFC5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341" w:type="dxa"/>
            <w:shd w:val="clear" w:color="auto" w:fill="FFFFFF"/>
            <w:vAlign w:val="center"/>
          </w:tcPr>
          <w:p w14:paraId="13884323"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341" w:type="dxa"/>
            <w:shd w:val="clear" w:color="auto" w:fill="FFFFFF"/>
            <w:vAlign w:val="center"/>
          </w:tcPr>
          <w:p w14:paraId="6D84406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shd w:val="clear" w:color="auto" w:fill="FFFFFF"/>
            <w:vAlign w:val="center"/>
          </w:tcPr>
          <w:p w14:paraId="05A85D9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shd w:val="clear" w:color="auto" w:fill="FFFFFF"/>
            <w:vAlign w:val="center"/>
          </w:tcPr>
          <w:p w14:paraId="271BCC3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057BD634" w14:textId="77777777" w:rsidTr="00E624FD">
        <w:trPr>
          <w:cantSplit/>
          <w:trHeight w:val="288"/>
          <w:jc w:val="center"/>
        </w:trPr>
        <w:tc>
          <w:tcPr>
            <w:tcW w:w="3351" w:type="dxa"/>
            <w:tcBorders>
              <w:top w:val="nil"/>
            </w:tcBorders>
            <w:shd w:val="clear" w:color="auto" w:fill="FFFFFF"/>
            <w:vAlign w:val="center"/>
          </w:tcPr>
          <w:p w14:paraId="002AC26D" w14:textId="77777777" w:rsidR="00E624FD" w:rsidRPr="00CB6C59" w:rsidRDefault="00E624FD" w:rsidP="00E624FD">
            <w:pPr>
              <w:keepNext/>
              <w:autoSpaceDE w:val="0"/>
              <w:autoSpaceDN w:val="0"/>
              <w:adjustRightInd w:val="0"/>
              <w:ind w:left="173"/>
              <w:rPr>
                <w:rFonts w:cs="Arial"/>
                <w:color w:val="000000"/>
                <w:sz w:val="20"/>
              </w:rPr>
            </w:pPr>
          </w:p>
        </w:tc>
        <w:tc>
          <w:tcPr>
            <w:tcW w:w="744" w:type="dxa"/>
            <w:shd w:val="clear" w:color="auto" w:fill="FFFFFF"/>
            <w:vAlign w:val="center"/>
          </w:tcPr>
          <w:p w14:paraId="03716F99"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w:t>
            </w:r>
          </w:p>
        </w:tc>
        <w:tc>
          <w:tcPr>
            <w:tcW w:w="1341" w:type="dxa"/>
            <w:shd w:val="clear" w:color="auto" w:fill="FFFFFF"/>
            <w:vAlign w:val="center"/>
          </w:tcPr>
          <w:p w14:paraId="31D2E334"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4 (26.7%)</w:t>
            </w:r>
          </w:p>
        </w:tc>
        <w:tc>
          <w:tcPr>
            <w:tcW w:w="1341" w:type="dxa"/>
            <w:shd w:val="clear" w:color="auto" w:fill="FFFFFF"/>
            <w:vAlign w:val="center"/>
          </w:tcPr>
          <w:p w14:paraId="0263009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341" w:type="dxa"/>
            <w:shd w:val="clear" w:color="auto" w:fill="FFFFFF"/>
            <w:vAlign w:val="center"/>
          </w:tcPr>
          <w:p w14:paraId="2B1A8B71"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shd w:val="clear" w:color="auto" w:fill="FFFFFF"/>
            <w:vAlign w:val="center"/>
          </w:tcPr>
          <w:p w14:paraId="3464436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758DBCEB" w14:textId="77777777" w:rsidTr="00E624FD">
        <w:trPr>
          <w:cantSplit/>
          <w:trHeight w:val="288"/>
          <w:jc w:val="center"/>
        </w:trPr>
        <w:tc>
          <w:tcPr>
            <w:tcW w:w="3351" w:type="dxa"/>
            <w:tcBorders>
              <w:top w:val="single" w:sz="4" w:space="0" w:color="auto"/>
              <w:bottom w:val="nil"/>
            </w:tcBorders>
            <w:shd w:val="clear" w:color="auto" w:fill="FFFFFF"/>
            <w:vAlign w:val="center"/>
          </w:tcPr>
          <w:p w14:paraId="7AD52EB0" w14:textId="77777777" w:rsidR="00E624FD" w:rsidRPr="00CB6C59" w:rsidRDefault="00E624FD" w:rsidP="00E624FD">
            <w:pPr>
              <w:keepNext/>
              <w:autoSpaceDE w:val="0"/>
              <w:autoSpaceDN w:val="0"/>
              <w:adjustRightInd w:val="0"/>
              <w:ind w:left="173"/>
              <w:rPr>
                <w:rFonts w:cs="Arial"/>
                <w:color w:val="000000"/>
                <w:sz w:val="20"/>
              </w:rPr>
            </w:pPr>
            <w:r w:rsidRPr="00CB6C59">
              <w:rPr>
                <w:rFonts w:cs="Arial"/>
                <w:color w:val="000000"/>
                <w:sz w:val="20"/>
              </w:rPr>
              <w:t>Blood sodium increased</w:t>
            </w:r>
          </w:p>
        </w:tc>
        <w:tc>
          <w:tcPr>
            <w:tcW w:w="744" w:type="dxa"/>
            <w:shd w:val="clear" w:color="auto" w:fill="FFFFFF"/>
            <w:vAlign w:val="center"/>
          </w:tcPr>
          <w:p w14:paraId="5F6D1B6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341" w:type="dxa"/>
            <w:shd w:val="clear" w:color="auto" w:fill="FFFFFF"/>
            <w:vAlign w:val="center"/>
          </w:tcPr>
          <w:p w14:paraId="77C1DBA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 (20.0%)</w:t>
            </w:r>
          </w:p>
        </w:tc>
        <w:tc>
          <w:tcPr>
            <w:tcW w:w="1341" w:type="dxa"/>
            <w:shd w:val="clear" w:color="auto" w:fill="FFFFFF"/>
            <w:vAlign w:val="center"/>
          </w:tcPr>
          <w:p w14:paraId="63151C5D"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 (20.0%)</w:t>
            </w:r>
          </w:p>
        </w:tc>
        <w:tc>
          <w:tcPr>
            <w:tcW w:w="1341" w:type="dxa"/>
            <w:shd w:val="clear" w:color="auto" w:fill="FFFFFF"/>
            <w:vAlign w:val="center"/>
          </w:tcPr>
          <w:p w14:paraId="3BEE158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4 (26.7%)</w:t>
            </w:r>
          </w:p>
        </w:tc>
        <w:tc>
          <w:tcPr>
            <w:tcW w:w="1341" w:type="dxa"/>
            <w:shd w:val="clear" w:color="auto" w:fill="FFFFFF"/>
            <w:vAlign w:val="center"/>
          </w:tcPr>
          <w:p w14:paraId="37BD55B4"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8 (53.3%)</w:t>
            </w:r>
          </w:p>
        </w:tc>
      </w:tr>
      <w:tr w:rsidR="00E624FD" w:rsidRPr="00CB6C59" w14:paraId="4CC88653" w14:textId="77777777" w:rsidTr="00E624FD">
        <w:trPr>
          <w:cantSplit/>
          <w:trHeight w:val="288"/>
          <w:jc w:val="center"/>
        </w:trPr>
        <w:tc>
          <w:tcPr>
            <w:tcW w:w="3351" w:type="dxa"/>
            <w:tcBorders>
              <w:top w:val="nil"/>
              <w:bottom w:val="single" w:sz="4" w:space="0" w:color="auto"/>
            </w:tcBorders>
            <w:shd w:val="clear" w:color="auto" w:fill="FFFFFF"/>
            <w:vAlign w:val="center"/>
          </w:tcPr>
          <w:p w14:paraId="59957E1A" w14:textId="77777777" w:rsidR="00E624FD" w:rsidRPr="00CB6C59" w:rsidRDefault="00E624FD" w:rsidP="00E624FD">
            <w:pPr>
              <w:keepNext/>
              <w:autoSpaceDE w:val="0"/>
              <w:autoSpaceDN w:val="0"/>
              <w:adjustRightInd w:val="0"/>
              <w:ind w:left="173"/>
              <w:rPr>
                <w:rFonts w:cs="Arial"/>
                <w:color w:val="000000"/>
                <w:sz w:val="20"/>
              </w:rPr>
            </w:pPr>
          </w:p>
        </w:tc>
        <w:tc>
          <w:tcPr>
            <w:tcW w:w="744" w:type="dxa"/>
            <w:shd w:val="clear" w:color="auto" w:fill="FFFFFF"/>
            <w:vAlign w:val="center"/>
          </w:tcPr>
          <w:p w14:paraId="57139984"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341" w:type="dxa"/>
            <w:shd w:val="clear" w:color="auto" w:fill="FFFFFF"/>
            <w:vAlign w:val="center"/>
          </w:tcPr>
          <w:p w14:paraId="25F53046"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(13.3%)</w:t>
            </w:r>
          </w:p>
        </w:tc>
        <w:tc>
          <w:tcPr>
            <w:tcW w:w="1341" w:type="dxa"/>
            <w:shd w:val="clear" w:color="auto" w:fill="FFFFFF"/>
            <w:vAlign w:val="center"/>
          </w:tcPr>
          <w:p w14:paraId="4A49C6A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4 (26.7%)</w:t>
            </w:r>
          </w:p>
        </w:tc>
        <w:tc>
          <w:tcPr>
            <w:tcW w:w="1341" w:type="dxa"/>
            <w:shd w:val="clear" w:color="auto" w:fill="FFFFFF"/>
            <w:vAlign w:val="center"/>
          </w:tcPr>
          <w:p w14:paraId="0B5774C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(13.3%)</w:t>
            </w:r>
          </w:p>
        </w:tc>
        <w:tc>
          <w:tcPr>
            <w:tcW w:w="1341" w:type="dxa"/>
            <w:shd w:val="clear" w:color="auto" w:fill="FFFFFF"/>
            <w:vAlign w:val="center"/>
          </w:tcPr>
          <w:p w14:paraId="3527A3ED"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r>
      <w:tr w:rsidR="00E624FD" w:rsidRPr="00CB6C59" w14:paraId="4769BD17" w14:textId="77777777" w:rsidTr="00E624FD">
        <w:trPr>
          <w:cantSplit/>
          <w:trHeight w:val="288"/>
          <w:jc w:val="center"/>
        </w:trPr>
        <w:tc>
          <w:tcPr>
            <w:tcW w:w="3351" w:type="dxa"/>
            <w:tcBorders>
              <w:top w:val="single" w:sz="4" w:space="0" w:color="auto"/>
              <w:bottom w:val="nil"/>
            </w:tcBorders>
            <w:shd w:val="clear" w:color="auto" w:fill="FFFFFF"/>
            <w:vAlign w:val="center"/>
          </w:tcPr>
          <w:p w14:paraId="43D60614" w14:textId="77777777" w:rsidR="00E624FD" w:rsidRPr="00CB6C59" w:rsidRDefault="00E624FD" w:rsidP="00E624FD">
            <w:pPr>
              <w:keepNext/>
              <w:autoSpaceDE w:val="0"/>
              <w:autoSpaceDN w:val="0"/>
              <w:adjustRightInd w:val="0"/>
              <w:ind w:left="173"/>
              <w:rPr>
                <w:rFonts w:cs="Arial"/>
                <w:color w:val="000000"/>
                <w:sz w:val="20"/>
              </w:rPr>
            </w:pPr>
            <w:r w:rsidRPr="00CB6C59">
              <w:rPr>
                <w:rFonts w:cs="Arial"/>
                <w:color w:val="000000"/>
                <w:sz w:val="20"/>
              </w:rPr>
              <w:t>Hemoglobin decreased</w:t>
            </w:r>
          </w:p>
        </w:tc>
        <w:tc>
          <w:tcPr>
            <w:tcW w:w="744" w:type="dxa"/>
            <w:shd w:val="clear" w:color="auto" w:fill="FFFFFF"/>
            <w:vAlign w:val="center"/>
          </w:tcPr>
          <w:p w14:paraId="04B404A3"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341" w:type="dxa"/>
            <w:shd w:val="clear" w:color="auto" w:fill="FFFFFF"/>
            <w:vAlign w:val="center"/>
          </w:tcPr>
          <w:p w14:paraId="09228CC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(13.3%)</w:t>
            </w:r>
          </w:p>
        </w:tc>
        <w:tc>
          <w:tcPr>
            <w:tcW w:w="1341" w:type="dxa"/>
            <w:shd w:val="clear" w:color="auto" w:fill="FFFFFF"/>
            <w:vAlign w:val="center"/>
          </w:tcPr>
          <w:p w14:paraId="0D7E69A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(13.3%)</w:t>
            </w:r>
          </w:p>
        </w:tc>
        <w:tc>
          <w:tcPr>
            <w:tcW w:w="1341" w:type="dxa"/>
            <w:shd w:val="clear" w:color="auto" w:fill="FFFFFF"/>
            <w:vAlign w:val="center"/>
          </w:tcPr>
          <w:p w14:paraId="45A9207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(13.3%)</w:t>
            </w:r>
          </w:p>
        </w:tc>
        <w:tc>
          <w:tcPr>
            <w:tcW w:w="1341" w:type="dxa"/>
            <w:shd w:val="clear" w:color="auto" w:fill="FFFFFF"/>
            <w:vAlign w:val="center"/>
          </w:tcPr>
          <w:p w14:paraId="044E3591"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2E8C384E" w14:textId="77777777" w:rsidTr="00E624FD">
        <w:trPr>
          <w:cantSplit/>
          <w:trHeight w:val="288"/>
          <w:jc w:val="center"/>
        </w:trPr>
        <w:tc>
          <w:tcPr>
            <w:tcW w:w="3351" w:type="dxa"/>
            <w:tcBorders>
              <w:top w:val="nil"/>
              <w:bottom w:val="single" w:sz="4" w:space="0" w:color="auto"/>
            </w:tcBorders>
            <w:shd w:val="clear" w:color="auto" w:fill="FFFFFF"/>
            <w:vAlign w:val="center"/>
          </w:tcPr>
          <w:p w14:paraId="3E87E4C9" w14:textId="77777777" w:rsidR="00E624FD" w:rsidRPr="00CB6C59" w:rsidRDefault="00E624FD" w:rsidP="00E624FD">
            <w:pPr>
              <w:keepNext/>
              <w:autoSpaceDE w:val="0"/>
              <w:autoSpaceDN w:val="0"/>
              <w:adjustRightInd w:val="0"/>
              <w:ind w:left="173"/>
              <w:rPr>
                <w:rFonts w:cs="Arial"/>
                <w:color w:val="000000"/>
                <w:sz w:val="20"/>
              </w:rPr>
            </w:pPr>
          </w:p>
        </w:tc>
        <w:tc>
          <w:tcPr>
            <w:tcW w:w="744" w:type="dxa"/>
            <w:shd w:val="clear" w:color="auto" w:fill="FFFFFF"/>
            <w:vAlign w:val="center"/>
          </w:tcPr>
          <w:p w14:paraId="7E60CD2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341" w:type="dxa"/>
            <w:shd w:val="clear" w:color="auto" w:fill="FFFFFF"/>
            <w:vAlign w:val="center"/>
          </w:tcPr>
          <w:p w14:paraId="62AB6513"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shd w:val="clear" w:color="auto" w:fill="FFFFFF"/>
            <w:vAlign w:val="center"/>
          </w:tcPr>
          <w:p w14:paraId="6451792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341" w:type="dxa"/>
            <w:shd w:val="clear" w:color="auto" w:fill="FFFFFF"/>
            <w:vAlign w:val="center"/>
          </w:tcPr>
          <w:p w14:paraId="24A25CB6"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shd w:val="clear" w:color="auto" w:fill="FFFFFF"/>
            <w:vAlign w:val="center"/>
          </w:tcPr>
          <w:p w14:paraId="03CB6FCA"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1D2C4DBA" w14:textId="77777777" w:rsidTr="00E624FD">
        <w:trPr>
          <w:cantSplit/>
          <w:trHeight w:val="288"/>
          <w:jc w:val="center"/>
        </w:trPr>
        <w:tc>
          <w:tcPr>
            <w:tcW w:w="3351" w:type="dxa"/>
            <w:tcBorders>
              <w:top w:val="single" w:sz="4" w:space="0" w:color="auto"/>
              <w:bottom w:val="nil"/>
            </w:tcBorders>
            <w:shd w:val="clear" w:color="auto" w:fill="FFFFFF"/>
            <w:vAlign w:val="center"/>
          </w:tcPr>
          <w:p w14:paraId="5458CA59" w14:textId="77777777" w:rsidR="00E624FD" w:rsidRPr="00CB6C59" w:rsidRDefault="00E624FD" w:rsidP="00E624FD">
            <w:pPr>
              <w:keepNext/>
              <w:autoSpaceDE w:val="0"/>
              <w:autoSpaceDN w:val="0"/>
              <w:adjustRightInd w:val="0"/>
              <w:ind w:left="173"/>
              <w:rPr>
                <w:rFonts w:cs="Arial"/>
                <w:color w:val="000000"/>
                <w:sz w:val="20"/>
              </w:rPr>
            </w:pPr>
            <w:r w:rsidRPr="00CB6C59">
              <w:rPr>
                <w:rFonts w:cs="Arial"/>
                <w:color w:val="000000"/>
                <w:sz w:val="20"/>
              </w:rPr>
              <w:t>Neutrophil count decreased</w:t>
            </w:r>
          </w:p>
        </w:tc>
        <w:tc>
          <w:tcPr>
            <w:tcW w:w="744" w:type="dxa"/>
            <w:shd w:val="clear" w:color="auto" w:fill="FFFFFF"/>
            <w:vAlign w:val="center"/>
          </w:tcPr>
          <w:p w14:paraId="6D579325"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341" w:type="dxa"/>
            <w:shd w:val="clear" w:color="auto" w:fill="FFFFFF"/>
            <w:vAlign w:val="center"/>
          </w:tcPr>
          <w:p w14:paraId="53B4D1F9"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(13.3%)</w:t>
            </w:r>
          </w:p>
        </w:tc>
        <w:tc>
          <w:tcPr>
            <w:tcW w:w="1341" w:type="dxa"/>
            <w:shd w:val="clear" w:color="auto" w:fill="FFFFFF"/>
            <w:vAlign w:val="center"/>
          </w:tcPr>
          <w:p w14:paraId="5AE82E13"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341" w:type="dxa"/>
            <w:shd w:val="clear" w:color="auto" w:fill="FFFFFF"/>
            <w:vAlign w:val="center"/>
          </w:tcPr>
          <w:p w14:paraId="183C68F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341" w:type="dxa"/>
            <w:shd w:val="clear" w:color="auto" w:fill="FFFFFF"/>
            <w:vAlign w:val="center"/>
          </w:tcPr>
          <w:p w14:paraId="6093B24E"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(13.3%)</w:t>
            </w:r>
          </w:p>
        </w:tc>
      </w:tr>
      <w:tr w:rsidR="00E624FD" w:rsidRPr="00CB6C59" w14:paraId="2A0BAEE1" w14:textId="77777777" w:rsidTr="00E624FD">
        <w:trPr>
          <w:cantSplit/>
          <w:trHeight w:val="288"/>
          <w:jc w:val="center"/>
        </w:trPr>
        <w:tc>
          <w:tcPr>
            <w:tcW w:w="3351" w:type="dxa"/>
            <w:tcBorders>
              <w:top w:val="nil"/>
              <w:bottom w:val="nil"/>
            </w:tcBorders>
            <w:shd w:val="clear" w:color="auto" w:fill="FFFFFF"/>
            <w:vAlign w:val="center"/>
          </w:tcPr>
          <w:p w14:paraId="47AEA7EB" w14:textId="77777777" w:rsidR="00E624FD" w:rsidRPr="00CB6C59" w:rsidRDefault="00E624FD" w:rsidP="00E624FD">
            <w:pPr>
              <w:keepNext/>
              <w:autoSpaceDE w:val="0"/>
              <w:autoSpaceDN w:val="0"/>
              <w:adjustRightInd w:val="0"/>
              <w:ind w:left="173"/>
              <w:rPr>
                <w:rFonts w:cs="Arial"/>
                <w:color w:val="000000"/>
                <w:sz w:val="20"/>
              </w:rPr>
            </w:pPr>
          </w:p>
        </w:tc>
        <w:tc>
          <w:tcPr>
            <w:tcW w:w="744" w:type="dxa"/>
            <w:shd w:val="clear" w:color="auto" w:fill="FFFFFF"/>
            <w:vAlign w:val="center"/>
          </w:tcPr>
          <w:p w14:paraId="126CC9ED"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341" w:type="dxa"/>
            <w:shd w:val="clear" w:color="auto" w:fill="FFFFFF"/>
            <w:vAlign w:val="center"/>
          </w:tcPr>
          <w:p w14:paraId="728B3D9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shd w:val="clear" w:color="auto" w:fill="FFFFFF"/>
            <w:vAlign w:val="center"/>
          </w:tcPr>
          <w:p w14:paraId="62C7E343"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shd w:val="clear" w:color="auto" w:fill="FFFFFF"/>
            <w:vAlign w:val="center"/>
          </w:tcPr>
          <w:p w14:paraId="29666DC3"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c>
          <w:tcPr>
            <w:tcW w:w="1341" w:type="dxa"/>
            <w:shd w:val="clear" w:color="auto" w:fill="FFFFFF"/>
            <w:vAlign w:val="center"/>
          </w:tcPr>
          <w:p w14:paraId="598DA54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r>
      <w:tr w:rsidR="00E624FD" w:rsidRPr="00CB6C59" w14:paraId="73A44009" w14:textId="77777777" w:rsidTr="00E624FD">
        <w:trPr>
          <w:cantSplit/>
          <w:trHeight w:val="288"/>
          <w:jc w:val="center"/>
        </w:trPr>
        <w:tc>
          <w:tcPr>
            <w:tcW w:w="3351" w:type="dxa"/>
            <w:tcBorders>
              <w:top w:val="nil"/>
            </w:tcBorders>
            <w:shd w:val="clear" w:color="auto" w:fill="FFFFFF"/>
            <w:vAlign w:val="center"/>
          </w:tcPr>
          <w:p w14:paraId="1D40A5C9" w14:textId="77777777" w:rsidR="00E624FD" w:rsidRPr="00CB6C59" w:rsidRDefault="00E624FD" w:rsidP="00E624FD">
            <w:pPr>
              <w:keepNext/>
              <w:autoSpaceDE w:val="0"/>
              <w:autoSpaceDN w:val="0"/>
              <w:adjustRightInd w:val="0"/>
              <w:ind w:left="173"/>
              <w:rPr>
                <w:rFonts w:cs="Arial"/>
                <w:color w:val="000000"/>
                <w:sz w:val="20"/>
              </w:rPr>
            </w:pPr>
          </w:p>
        </w:tc>
        <w:tc>
          <w:tcPr>
            <w:tcW w:w="744" w:type="dxa"/>
            <w:shd w:val="clear" w:color="auto" w:fill="FFFFFF"/>
            <w:vAlign w:val="center"/>
          </w:tcPr>
          <w:p w14:paraId="5424E4C3"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w:t>
            </w:r>
          </w:p>
        </w:tc>
        <w:tc>
          <w:tcPr>
            <w:tcW w:w="1341" w:type="dxa"/>
            <w:shd w:val="clear" w:color="auto" w:fill="FFFFFF"/>
            <w:vAlign w:val="center"/>
          </w:tcPr>
          <w:p w14:paraId="2668F764"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shd w:val="clear" w:color="auto" w:fill="FFFFFF"/>
            <w:vAlign w:val="center"/>
          </w:tcPr>
          <w:p w14:paraId="23E7760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shd w:val="clear" w:color="auto" w:fill="FFFFFF"/>
            <w:vAlign w:val="center"/>
          </w:tcPr>
          <w:p w14:paraId="01A85F1D"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shd w:val="clear" w:color="auto" w:fill="FFFFFF"/>
            <w:vAlign w:val="center"/>
          </w:tcPr>
          <w:p w14:paraId="33558A3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(6.7%)</w:t>
            </w:r>
          </w:p>
        </w:tc>
      </w:tr>
    </w:tbl>
    <w:p w14:paraId="7F399FBA" w14:textId="77777777" w:rsidR="00E624FD" w:rsidRPr="00CB6C59" w:rsidRDefault="00E624FD" w:rsidP="00E624FD">
      <w:pPr>
        <w:autoSpaceDE w:val="0"/>
        <w:autoSpaceDN w:val="0"/>
        <w:ind w:left="180"/>
        <w:rPr>
          <w:rFonts w:cs="Arial"/>
          <w:color w:val="000000"/>
          <w:sz w:val="18"/>
          <w:szCs w:val="22"/>
        </w:rPr>
      </w:pPr>
      <w:r w:rsidRPr="00CB6C59">
        <w:rPr>
          <w:rFonts w:cs="Arial"/>
          <w:color w:val="000000"/>
          <w:sz w:val="18"/>
          <w:szCs w:val="22"/>
        </w:rPr>
        <w:t>Note: Highest severity per subject reported for each event.</w:t>
      </w:r>
    </w:p>
    <w:p w14:paraId="60B18DCB" w14:textId="77777777" w:rsidR="00E624FD" w:rsidRPr="00CB6C59" w:rsidRDefault="00E624FD" w:rsidP="009E0AB3">
      <w:pPr>
        <w:pStyle w:val="Heading4"/>
      </w:pPr>
      <w:bookmarkStart w:id="58" w:name="_Toc388606751"/>
      <w:bookmarkStart w:id="59" w:name="_Toc388606790"/>
      <w:bookmarkStart w:id="60" w:name="_Toc157859962"/>
      <w:bookmarkStart w:id="61" w:name="_Toc157944135"/>
      <w:bookmarkStart w:id="62" w:name="_Toc158446385"/>
      <w:bookmarkStart w:id="63" w:name="_Ref157858607"/>
      <w:r w:rsidRPr="00CB6C59">
        <w:t>Protocol IDRI-TBVPX-114</w:t>
      </w:r>
      <w:bookmarkEnd w:id="58"/>
      <w:bookmarkEnd w:id="59"/>
    </w:p>
    <w:p w14:paraId="16997BE4" w14:textId="30E52F66" w:rsidR="00E624FD" w:rsidRPr="00CB6C59" w:rsidRDefault="008A4286" w:rsidP="008A4286">
      <w:pPr>
        <w:pStyle w:val="IndentHeader1"/>
        <w:spacing w:before="120" w:after="120" w:line="276" w:lineRule="auto"/>
        <w:rPr>
          <w:rFonts w:ascii="Arial" w:hAnsi="Arial" w:cs="Arial"/>
          <w:sz w:val="22"/>
          <w:szCs w:val="22"/>
        </w:rPr>
      </w:pPr>
      <w:r w:rsidRPr="008A4286">
        <w:rPr>
          <w:rFonts w:ascii="Arial" w:hAnsi="Arial" w:cs="Arial"/>
          <w:sz w:val="22"/>
          <w:szCs w:val="22"/>
        </w:rPr>
        <w:t xml:space="preserve">This clinical trial is a Phase 1b, randomized, double-blind, placebo-controlled, dose-escalation evaluation of two dose levels of the ID93 antigen administered intramuscularly in combination with two dose levels of the GLA-SE adjuvant. The </w:t>
      </w:r>
      <w:r w:rsidR="00116C31">
        <w:rPr>
          <w:rFonts w:ascii="Arial" w:hAnsi="Arial" w:cs="Arial"/>
          <w:sz w:val="22"/>
          <w:szCs w:val="22"/>
        </w:rPr>
        <w:t xml:space="preserve">intended </w:t>
      </w:r>
      <w:r w:rsidRPr="008A4286">
        <w:rPr>
          <w:rFonts w:ascii="Arial" w:hAnsi="Arial" w:cs="Arial"/>
          <w:sz w:val="22"/>
          <w:szCs w:val="22"/>
        </w:rPr>
        <w:t xml:space="preserve">study population </w:t>
      </w:r>
      <w:r w:rsidR="00116C31">
        <w:rPr>
          <w:rFonts w:ascii="Arial" w:hAnsi="Arial" w:cs="Arial"/>
          <w:sz w:val="22"/>
          <w:szCs w:val="22"/>
        </w:rPr>
        <w:t>is</w:t>
      </w:r>
      <w:r w:rsidRPr="008A4286">
        <w:rPr>
          <w:rFonts w:ascii="Arial" w:hAnsi="Arial" w:cs="Arial"/>
          <w:sz w:val="22"/>
          <w:szCs w:val="22"/>
        </w:rPr>
        <w:t xml:space="preserve"> 66 HIV-negative, healthy South African adults with previous BCG vaccination. For safety reasons, participants who are QFT negative (not latently infected with Mtb) at screening were enrolled first; successive cohorts will enroll both QFT</w:t>
      </w:r>
      <w:r w:rsidR="00116C31">
        <w:rPr>
          <w:rFonts w:ascii="Arial" w:hAnsi="Arial" w:cs="Arial"/>
          <w:sz w:val="22"/>
          <w:szCs w:val="22"/>
        </w:rPr>
        <w:t xml:space="preserve"> </w:t>
      </w:r>
      <w:r w:rsidRPr="008A4286">
        <w:rPr>
          <w:rFonts w:ascii="Arial" w:hAnsi="Arial" w:cs="Arial"/>
          <w:sz w:val="22"/>
          <w:szCs w:val="22"/>
        </w:rPr>
        <w:t>negative and positive participants.</w:t>
      </w:r>
      <w:r>
        <w:rPr>
          <w:rFonts w:ascii="Arial" w:hAnsi="Arial" w:cs="Arial"/>
          <w:sz w:val="22"/>
          <w:szCs w:val="22"/>
        </w:rPr>
        <w:t xml:space="preserve"> </w:t>
      </w:r>
      <w:r w:rsidR="00E624FD" w:rsidRPr="00CB6C59">
        <w:rPr>
          <w:rFonts w:ascii="Arial" w:hAnsi="Arial" w:cs="Arial"/>
          <w:sz w:val="22"/>
          <w:szCs w:val="22"/>
        </w:rPr>
        <w:t xml:space="preserve">This study has completed enrollment of the first two cohorts of subjects as listed </w:t>
      </w:r>
      <w:r w:rsidR="00E624FD" w:rsidRPr="00DD3316">
        <w:rPr>
          <w:rFonts w:ascii="Arial" w:hAnsi="Arial" w:cs="Arial"/>
          <w:sz w:val="22"/>
          <w:szCs w:val="22"/>
        </w:rPr>
        <w:t xml:space="preserve">in </w:t>
      </w:r>
      <w:r w:rsidR="00E624FD" w:rsidRPr="0040275E">
        <w:rPr>
          <w:rFonts w:ascii="Arial" w:hAnsi="Arial" w:cs="Arial"/>
          <w:color w:val="0000FF"/>
          <w:sz w:val="22"/>
          <w:szCs w:val="22"/>
        </w:rPr>
        <w:fldChar w:fldCharType="begin"/>
      </w:r>
      <w:r w:rsidR="00E624FD" w:rsidRPr="0040275E">
        <w:rPr>
          <w:rFonts w:ascii="Arial" w:hAnsi="Arial" w:cs="Arial"/>
          <w:color w:val="0000FF"/>
          <w:sz w:val="22"/>
          <w:szCs w:val="22"/>
        </w:rPr>
        <w:instrText xml:space="preserve"> REF  _Ref388604231 \h  \* MERGEFORMAT </w:instrText>
      </w:r>
      <w:r w:rsidR="00E624FD" w:rsidRPr="0040275E">
        <w:rPr>
          <w:rFonts w:ascii="Arial" w:hAnsi="Arial" w:cs="Arial"/>
          <w:color w:val="0000FF"/>
          <w:sz w:val="22"/>
          <w:szCs w:val="22"/>
        </w:rPr>
      </w:r>
      <w:r w:rsidR="00E624FD" w:rsidRPr="0040275E">
        <w:rPr>
          <w:rFonts w:ascii="Arial" w:hAnsi="Arial" w:cs="Arial"/>
          <w:color w:val="0000FF"/>
          <w:sz w:val="22"/>
          <w:szCs w:val="22"/>
        </w:rPr>
        <w:fldChar w:fldCharType="separate"/>
      </w:r>
      <w:r w:rsidR="00024E24" w:rsidRPr="00024E24">
        <w:rPr>
          <w:rFonts w:ascii="Arial" w:hAnsi="Arial" w:cs="Arial"/>
          <w:color w:val="0000FF"/>
          <w:sz w:val="22"/>
          <w:szCs w:val="22"/>
        </w:rPr>
        <w:t>Table 5</w:t>
      </w:r>
      <w:r w:rsidR="00E624FD" w:rsidRPr="0040275E">
        <w:rPr>
          <w:rFonts w:ascii="Arial" w:hAnsi="Arial" w:cs="Arial"/>
          <w:color w:val="0000FF"/>
          <w:sz w:val="22"/>
          <w:szCs w:val="22"/>
        </w:rPr>
        <w:fldChar w:fldCharType="end"/>
      </w:r>
      <w:r w:rsidR="00E624FD" w:rsidRPr="00DD3316">
        <w:rPr>
          <w:rFonts w:ascii="Arial" w:hAnsi="Arial" w:cs="Arial"/>
          <w:sz w:val="22"/>
          <w:szCs w:val="22"/>
        </w:rPr>
        <w:t>.</w:t>
      </w:r>
    </w:p>
    <w:p w14:paraId="193296D3" w14:textId="669E580D" w:rsidR="00E624FD" w:rsidRPr="00CB6C59" w:rsidRDefault="00E624FD" w:rsidP="00906CD6">
      <w:pPr>
        <w:pStyle w:val="Caption"/>
      </w:pPr>
      <w:bookmarkStart w:id="64" w:name="_Ref388604231"/>
      <w:bookmarkStart w:id="65" w:name="_Toc388606802"/>
      <w:bookmarkStart w:id="66" w:name="_Toc388606830"/>
      <w:bookmarkStart w:id="67" w:name="_Toc389130072"/>
      <w:bookmarkStart w:id="68" w:name="_Toc389130102"/>
      <w:bookmarkStart w:id="69" w:name="_Toc440906403"/>
      <w:r w:rsidRPr="00CB6C59">
        <w:t xml:space="preserve">Table </w:t>
      </w:r>
      <w:r w:rsidR="00024E24">
        <w:fldChar w:fldCharType="begin"/>
      </w:r>
      <w:r w:rsidR="00024E24">
        <w:instrText xml:space="preserve"> SEQ Table \* ARABIC </w:instrText>
      </w:r>
      <w:r w:rsidR="00024E24">
        <w:fldChar w:fldCharType="separate"/>
      </w:r>
      <w:r w:rsidR="00024E24">
        <w:rPr>
          <w:noProof/>
        </w:rPr>
        <w:t>5</w:t>
      </w:r>
      <w:r w:rsidR="00024E24">
        <w:rPr>
          <w:noProof/>
        </w:rPr>
        <w:fldChar w:fldCharType="end"/>
      </w:r>
      <w:bookmarkEnd w:id="64"/>
      <w:r w:rsidRPr="00CB6C59">
        <w:t>:</w:t>
      </w:r>
      <w:r w:rsidRPr="00CB6C59">
        <w:tab/>
        <w:t>IDRI-TBVPX-114: Treatment Groups</w:t>
      </w:r>
      <w:bookmarkEnd w:id="65"/>
      <w:bookmarkEnd w:id="66"/>
      <w:bookmarkEnd w:id="67"/>
      <w:bookmarkEnd w:id="68"/>
      <w:bookmarkEnd w:id="69"/>
    </w:p>
    <w:tbl>
      <w:tblPr>
        <w:tblW w:w="8995" w:type="dxa"/>
        <w:jc w:val="center"/>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900"/>
        <w:gridCol w:w="810"/>
        <w:gridCol w:w="3060"/>
        <w:gridCol w:w="1350"/>
        <w:gridCol w:w="1080"/>
        <w:gridCol w:w="1795"/>
      </w:tblGrid>
      <w:tr w:rsidR="00F83EFB" w:rsidRPr="00CB6C59" w14:paraId="0489DCB3" w14:textId="77777777" w:rsidTr="00F83EFB">
        <w:trPr>
          <w:trHeight w:val="585"/>
          <w:jc w:val="center"/>
        </w:trPr>
        <w:tc>
          <w:tcPr>
            <w:tcW w:w="900" w:type="dxa"/>
            <w:tcBorders>
              <w:top w:val="single" w:sz="12" w:space="0" w:color="auto"/>
              <w:left w:val="single" w:sz="12" w:space="0" w:color="auto"/>
              <w:bottom w:val="single" w:sz="6" w:space="0" w:color="auto"/>
              <w:right w:val="single" w:sz="6" w:space="0" w:color="auto"/>
            </w:tcBorders>
            <w:shd w:val="clear" w:color="auto" w:fill="E0E0E0"/>
            <w:vAlign w:val="center"/>
          </w:tcPr>
          <w:p w14:paraId="44D0CA95" w14:textId="77777777" w:rsidR="00F83EFB" w:rsidRPr="00CB6C59" w:rsidRDefault="00F83EFB" w:rsidP="00E624FD">
            <w:pPr>
              <w:pStyle w:val="Tableheading"/>
              <w:rPr>
                <w:rFonts w:ascii="Arial" w:hAnsi="Arial" w:cs="Arial"/>
                <w:szCs w:val="22"/>
              </w:rPr>
            </w:pPr>
            <w:r w:rsidRPr="00CB6C59">
              <w:rPr>
                <w:rFonts w:ascii="Arial" w:hAnsi="Arial" w:cs="Arial"/>
                <w:szCs w:val="22"/>
              </w:rPr>
              <w:t>Cohort</w:t>
            </w:r>
          </w:p>
        </w:tc>
        <w:tc>
          <w:tcPr>
            <w:tcW w:w="810" w:type="dxa"/>
            <w:tcBorders>
              <w:top w:val="single" w:sz="12" w:space="0" w:color="auto"/>
              <w:left w:val="single" w:sz="6" w:space="0" w:color="auto"/>
              <w:bottom w:val="single" w:sz="6" w:space="0" w:color="auto"/>
              <w:right w:val="single" w:sz="6" w:space="0" w:color="auto"/>
            </w:tcBorders>
            <w:shd w:val="clear" w:color="auto" w:fill="E0E0E0"/>
            <w:vAlign w:val="center"/>
          </w:tcPr>
          <w:p w14:paraId="18F89D3C" w14:textId="77777777" w:rsidR="00F83EFB" w:rsidRPr="00CB6C59" w:rsidRDefault="00F83EFB" w:rsidP="00E624FD">
            <w:pPr>
              <w:pStyle w:val="Tableheading"/>
              <w:rPr>
                <w:rFonts w:ascii="Arial" w:hAnsi="Arial" w:cs="Arial"/>
                <w:szCs w:val="22"/>
              </w:rPr>
            </w:pPr>
            <w:r w:rsidRPr="00CB6C59">
              <w:rPr>
                <w:rFonts w:ascii="Arial" w:hAnsi="Arial" w:cs="Arial"/>
                <w:szCs w:val="22"/>
              </w:rPr>
              <w:t>N</w:t>
            </w:r>
          </w:p>
        </w:tc>
        <w:tc>
          <w:tcPr>
            <w:tcW w:w="3060" w:type="dxa"/>
            <w:tcBorders>
              <w:top w:val="single" w:sz="12" w:space="0" w:color="auto"/>
              <w:left w:val="single" w:sz="6" w:space="0" w:color="auto"/>
              <w:bottom w:val="single" w:sz="6" w:space="0" w:color="auto"/>
              <w:right w:val="single" w:sz="4" w:space="0" w:color="000000"/>
            </w:tcBorders>
            <w:shd w:val="clear" w:color="auto" w:fill="E0E0E0"/>
            <w:vAlign w:val="center"/>
          </w:tcPr>
          <w:p w14:paraId="14B4B7E1" w14:textId="77777777" w:rsidR="00F83EFB" w:rsidRPr="00CB6C59" w:rsidRDefault="00F83EFB" w:rsidP="00E624FD">
            <w:pPr>
              <w:pStyle w:val="Tableheading"/>
              <w:rPr>
                <w:rFonts w:ascii="Arial" w:hAnsi="Arial" w:cs="Arial"/>
                <w:szCs w:val="22"/>
              </w:rPr>
            </w:pPr>
            <w:r w:rsidRPr="00CB6C59">
              <w:rPr>
                <w:rFonts w:ascii="Arial" w:hAnsi="Arial" w:cs="Arial"/>
                <w:szCs w:val="22"/>
              </w:rPr>
              <w:t>Treatment Assignment</w:t>
            </w:r>
          </w:p>
        </w:tc>
        <w:tc>
          <w:tcPr>
            <w:tcW w:w="1350" w:type="dxa"/>
            <w:tcBorders>
              <w:top w:val="single" w:sz="12" w:space="0" w:color="auto"/>
              <w:left w:val="single" w:sz="4" w:space="0" w:color="000000"/>
              <w:bottom w:val="single" w:sz="6" w:space="0" w:color="auto"/>
              <w:right w:val="single" w:sz="4" w:space="0" w:color="000000"/>
            </w:tcBorders>
            <w:shd w:val="clear" w:color="auto" w:fill="E0E0E0"/>
            <w:vAlign w:val="center"/>
          </w:tcPr>
          <w:p w14:paraId="73FEE53D" w14:textId="77777777" w:rsidR="00F83EFB" w:rsidRPr="00CB6C59" w:rsidRDefault="00F83EFB" w:rsidP="00E624FD">
            <w:pPr>
              <w:pStyle w:val="Tableheading"/>
              <w:rPr>
                <w:rFonts w:ascii="Arial" w:hAnsi="Arial" w:cs="Arial"/>
                <w:szCs w:val="22"/>
              </w:rPr>
            </w:pPr>
            <w:r w:rsidRPr="00CB6C59">
              <w:rPr>
                <w:rFonts w:ascii="Arial" w:hAnsi="Arial" w:cs="Arial"/>
                <w:szCs w:val="22"/>
              </w:rPr>
              <w:t>QFT status</w:t>
            </w:r>
          </w:p>
        </w:tc>
        <w:tc>
          <w:tcPr>
            <w:tcW w:w="1080" w:type="dxa"/>
            <w:tcBorders>
              <w:top w:val="single" w:sz="12" w:space="0" w:color="auto"/>
              <w:left w:val="single" w:sz="4" w:space="0" w:color="000000"/>
              <w:bottom w:val="single" w:sz="6" w:space="0" w:color="auto"/>
              <w:right w:val="single" w:sz="4" w:space="0" w:color="000000"/>
            </w:tcBorders>
            <w:shd w:val="clear" w:color="auto" w:fill="E0E0E0"/>
            <w:vAlign w:val="center"/>
          </w:tcPr>
          <w:p w14:paraId="5563888E" w14:textId="77777777" w:rsidR="00F83EFB" w:rsidRPr="00CB6C59" w:rsidRDefault="00F83EFB" w:rsidP="00E624FD">
            <w:pPr>
              <w:pStyle w:val="Tableheading"/>
              <w:rPr>
                <w:rFonts w:ascii="Arial" w:hAnsi="Arial" w:cs="Arial"/>
                <w:szCs w:val="22"/>
              </w:rPr>
            </w:pPr>
            <w:r w:rsidRPr="00CB6C59">
              <w:rPr>
                <w:rFonts w:ascii="Arial" w:hAnsi="Arial" w:cs="Arial"/>
                <w:szCs w:val="22"/>
              </w:rPr>
              <w:t>Injection Route</w:t>
            </w:r>
          </w:p>
        </w:tc>
        <w:tc>
          <w:tcPr>
            <w:tcW w:w="1795" w:type="dxa"/>
            <w:tcBorders>
              <w:top w:val="single" w:sz="12" w:space="0" w:color="auto"/>
              <w:left w:val="single" w:sz="4" w:space="0" w:color="000000"/>
              <w:bottom w:val="single" w:sz="6" w:space="0" w:color="auto"/>
              <w:right w:val="single" w:sz="12" w:space="0" w:color="auto"/>
            </w:tcBorders>
            <w:shd w:val="clear" w:color="auto" w:fill="E0E0E0"/>
            <w:vAlign w:val="center"/>
          </w:tcPr>
          <w:p w14:paraId="667A7FE8" w14:textId="77777777" w:rsidR="00F83EFB" w:rsidRPr="00CB6C59" w:rsidRDefault="00F83EFB" w:rsidP="00E624FD">
            <w:pPr>
              <w:pStyle w:val="Tableheading"/>
              <w:rPr>
                <w:rFonts w:ascii="Arial" w:hAnsi="Arial" w:cs="Arial"/>
                <w:szCs w:val="22"/>
              </w:rPr>
            </w:pPr>
            <w:r w:rsidRPr="00CB6C59">
              <w:rPr>
                <w:rFonts w:ascii="Arial" w:hAnsi="Arial" w:cs="Arial"/>
                <w:szCs w:val="22"/>
              </w:rPr>
              <w:t>Timing of Study Injections</w:t>
            </w:r>
          </w:p>
        </w:tc>
      </w:tr>
      <w:tr w:rsidR="00F83EFB" w:rsidRPr="00CB6C59" w14:paraId="6DF39664" w14:textId="77777777" w:rsidTr="00F83EFB">
        <w:trPr>
          <w:trHeight w:val="345"/>
          <w:jc w:val="center"/>
        </w:trPr>
        <w:tc>
          <w:tcPr>
            <w:tcW w:w="900" w:type="dxa"/>
            <w:vMerge w:val="restart"/>
            <w:tcBorders>
              <w:top w:val="single" w:sz="6" w:space="0" w:color="auto"/>
              <w:left w:val="single" w:sz="12" w:space="0" w:color="auto"/>
              <w:bottom w:val="single" w:sz="6" w:space="0" w:color="auto"/>
              <w:right w:val="single" w:sz="6" w:space="0" w:color="auto"/>
            </w:tcBorders>
            <w:vAlign w:val="center"/>
          </w:tcPr>
          <w:p w14:paraId="37E46458" w14:textId="77777777" w:rsidR="00F83EFB" w:rsidRPr="00CB6C59" w:rsidRDefault="00F83EFB" w:rsidP="00E624FD">
            <w:pPr>
              <w:pStyle w:val="Tabletext-C"/>
              <w:rPr>
                <w:rFonts w:ascii="Arial" w:hAnsi="Arial" w:cs="Arial"/>
                <w:szCs w:val="22"/>
              </w:rPr>
            </w:pPr>
            <w:r w:rsidRPr="00CB6C59">
              <w:rPr>
                <w:rFonts w:ascii="Arial" w:hAnsi="Arial" w:cs="Arial"/>
                <w:szCs w:val="22"/>
              </w:rPr>
              <w:t>#1</w:t>
            </w:r>
          </w:p>
        </w:tc>
        <w:tc>
          <w:tcPr>
            <w:tcW w:w="810" w:type="dxa"/>
            <w:tcBorders>
              <w:top w:val="single" w:sz="6" w:space="0" w:color="auto"/>
              <w:left w:val="single" w:sz="6" w:space="0" w:color="auto"/>
              <w:bottom w:val="single" w:sz="6" w:space="0" w:color="auto"/>
              <w:right w:val="single" w:sz="6" w:space="0" w:color="auto"/>
            </w:tcBorders>
            <w:vAlign w:val="center"/>
          </w:tcPr>
          <w:p w14:paraId="4FEA48FA" w14:textId="77777777" w:rsidR="00F83EFB" w:rsidRPr="00CB6C59" w:rsidRDefault="00F83EFB" w:rsidP="00E624FD">
            <w:pPr>
              <w:pStyle w:val="Tabletext-C"/>
              <w:rPr>
                <w:rFonts w:ascii="Arial" w:hAnsi="Arial" w:cs="Arial"/>
                <w:szCs w:val="22"/>
              </w:rPr>
            </w:pPr>
            <w:r w:rsidRPr="00CB6C59">
              <w:rPr>
                <w:rFonts w:ascii="Arial" w:hAnsi="Arial" w:cs="Arial"/>
                <w:szCs w:val="22"/>
              </w:rPr>
              <w:t>9</w:t>
            </w:r>
          </w:p>
        </w:tc>
        <w:tc>
          <w:tcPr>
            <w:tcW w:w="3060" w:type="dxa"/>
            <w:tcBorders>
              <w:top w:val="single" w:sz="6" w:space="0" w:color="auto"/>
              <w:left w:val="single" w:sz="6" w:space="0" w:color="auto"/>
              <w:bottom w:val="single" w:sz="6" w:space="0" w:color="auto"/>
              <w:right w:val="single" w:sz="4" w:space="0" w:color="000000"/>
            </w:tcBorders>
            <w:vAlign w:val="center"/>
          </w:tcPr>
          <w:p w14:paraId="69FE83D2" w14:textId="77777777" w:rsidR="00F83EFB" w:rsidRPr="000B7056" w:rsidRDefault="00F83EFB" w:rsidP="00E624FD">
            <w:pPr>
              <w:pStyle w:val="Tabletext-C"/>
              <w:rPr>
                <w:rFonts w:ascii="Arial" w:hAnsi="Arial" w:cs="Arial"/>
                <w:szCs w:val="22"/>
                <w:lang w:val="fr-FR"/>
              </w:rPr>
            </w:pPr>
            <w:r w:rsidRPr="000B7056">
              <w:rPr>
                <w:rFonts w:ascii="Arial" w:hAnsi="Arial" w:cs="Arial"/>
                <w:szCs w:val="22"/>
                <w:lang w:val="fr-FR"/>
              </w:rPr>
              <w:t xml:space="preserve">10 </w:t>
            </w:r>
            <w:r w:rsidRPr="00CB6C59">
              <w:rPr>
                <w:rFonts w:ascii="Arial" w:hAnsi="Arial" w:cs="Arial"/>
                <w:szCs w:val="22"/>
              </w:rPr>
              <w:t>μ</w:t>
            </w:r>
            <w:r w:rsidRPr="000B7056">
              <w:rPr>
                <w:rFonts w:ascii="Arial" w:hAnsi="Arial" w:cs="Arial"/>
                <w:szCs w:val="22"/>
                <w:lang w:val="fr-FR"/>
              </w:rPr>
              <w:t xml:space="preserve">g ID93 + 2 </w:t>
            </w:r>
            <w:r w:rsidRPr="00CB6C59">
              <w:rPr>
                <w:rFonts w:ascii="Arial" w:hAnsi="Arial" w:cs="Arial"/>
                <w:szCs w:val="22"/>
              </w:rPr>
              <w:t>μ</w:t>
            </w:r>
            <w:r w:rsidRPr="000B7056">
              <w:rPr>
                <w:rFonts w:ascii="Arial" w:hAnsi="Arial" w:cs="Arial"/>
                <w:szCs w:val="22"/>
                <w:lang w:val="fr-FR"/>
              </w:rPr>
              <w:t>g GLA-SE</w:t>
            </w:r>
          </w:p>
        </w:tc>
        <w:tc>
          <w:tcPr>
            <w:tcW w:w="1350" w:type="dxa"/>
            <w:vMerge w:val="restart"/>
            <w:tcBorders>
              <w:top w:val="single" w:sz="6" w:space="0" w:color="auto"/>
              <w:left w:val="single" w:sz="4" w:space="0" w:color="000000"/>
              <w:bottom w:val="single" w:sz="4" w:space="0" w:color="000000"/>
              <w:right w:val="single" w:sz="4" w:space="0" w:color="000000"/>
            </w:tcBorders>
            <w:vAlign w:val="center"/>
          </w:tcPr>
          <w:p w14:paraId="641409CC" w14:textId="77777777" w:rsidR="00F83EFB" w:rsidRPr="00CB6C59" w:rsidRDefault="00F83EFB" w:rsidP="00E624FD">
            <w:pPr>
              <w:pStyle w:val="Tabletext-C"/>
              <w:rPr>
                <w:rFonts w:ascii="Arial" w:hAnsi="Arial" w:cs="Arial"/>
                <w:szCs w:val="22"/>
              </w:rPr>
            </w:pPr>
            <w:r w:rsidRPr="00CB6C59">
              <w:rPr>
                <w:rFonts w:ascii="Arial" w:hAnsi="Arial" w:cs="Arial"/>
                <w:szCs w:val="22"/>
              </w:rPr>
              <w:t>Negative</w:t>
            </w:r>
          </w:p>
        </w:tc>
        <w:tc>
          <w:tcPr>
            <w:tcW w:w="1080" w:type="dxa"/>
            <w:vMerge w:val="restart"/>
            <w:tcBorders>
              <w:top w:val="single" w:sz="6" w:space="0" w:color="auto"/>
              <w:left w:val="single" w:sz="4" w:space="0" w:color="000000"/>
              <w:right w:val="single" w:sz="4" w:space="0" w:color="000000"/>
            </w:tcBorders>
            <w:vAlign w:val="center"/>
          </w:tcPr>
          <w:p w14:paraId="011F4D1E" w14:textId="77777777" w:rsidR="00F83EFB" w:rsidRPr="00CB6C59" w:rsidRDefault="00F83EFB" w:rsidP="00E624FD">
            <w:pPr>
              <w:pStyle w:val="Tabletext-C"/>
              <w:rPr>
                <w:rFonts w:ascii="Arial" w:hAnsi="Arial" w:cs="Arial"/>
                <w:szCs w:val="22"/>
              </w:rPr>
            </w:pPr>
            <w:r w:rsidRPr="00CB6C59">
              <w:rPr>
                <w:rFonts w:ascii="Arial" w:hAnsi="Arial" w:cs="Arial"/>
                <w:szCs w:val="22"/>
              </w:rPr>
              <w:t>IM</w:t>
            </w:r>
          </w:p>
        </w:tc>
        <w:tc>
          <w:tcPr>
            <w:tcW w:w="1795" w:type="dxa"/>
            <w:vMerge w:val="restart"/>
            <w:tcBorders>
              <w:top w:val="single" w:sz="6" w:space="0" w:color="auto"/>
              <w:left w:val="single" w:sz="4" w:space="0" w:color="000000"/>
              <w:right w:val="single" w:sz="12" w:space="0" w:color="auto"/>
            </w:tcBorders>
            <w:vAlign w:val="center"/>
          </w:tcPr>
          <w:p w14:paraId="28DE29BA" w14:textId="77777777" w:rsidR="00F83EFB" w:rsidRPr="00CB6C59" w:rsidRDefault="00F83EFB" w:rsidP="00E624FD">
            <w:pPr>
              <w:pStyle w:val="Tabletext-C"/>
              <w:rPr>
                <w:rFonts w:ascii="Arial" w:hAnsi="Arial" w:cs="Arial"/>
                <w:szCs w:val="22"/>
              </w:rPr>
            </w:pPr>
            <w:r w:rsidRPr="00CB6C59">
              <w:rPr>
                <w:rFonts w:ascii="Arial" w:hAnsi="Arial" w:cs="Arial"/>
                <w:szCs w:val="22"/>
              </w:rPr>
              <w:t>Days 0, 28, and 112</w:t>
            </w:r>
          </w:p>
        </w:tc>
      </w:tr>
      <w:tr w:rsidR="00F83EFB" w:rsidRPr="00CB6C59" w14:paraId="42AA8BED" w14:textId="77777777" w:rsidTr="00F83EFB">
        <w:trPr>
          <w:trHeight w:val="144"/>
          <w:jc w:val="center"/>
        </w:trPr>
        <w:tc>
          <w:tcPr>
            <w:tcW w:w="900" w:type="dxa"/>
            <w:vMerge/>
            <w:tcBorders>
              <w:top w:val="single" w:sz="6" w:space="0" w:color="auto"/>
              <w:left w:val="single" w:sz="12" w:space="0" w:color="auto"/>
              <w:bottom w:val="single" w:sz="6" w:space="0" w:color="auto"/>
              <w:right w:val="single" w:sz="6" w:space="0" w:color="auto"/>
            </w:tcBorders>
            <w:vAlign w:val="center"/>
          </w:tcPr>
          <w:p w14:paraId="34DD6D28" w14:textId="77777777" w:rsidR="00F83EFB" w:rsidRPr="00CB6C59" w:rsidRDefault="00F83EFB" w:rsidP="00E624FD">
            <w:pPr>
              <w:pStyle w:val="Tabletext-C"/>
              <w:rPr>
                <w:rFonts w:ascii="Arial" w:hAnsi="Arial" w:cs="Arial"/>
                <w:szCs w:val="22"/>
              </w:rPr>
            </w:pPr>
          </w:p>
        </w:tc>
        <w:tc>
          <w:tcPr>
            <w:tcW w:w="810" w:type="dxa"/>
            <w:tcBorders>
              <w:top w:val="single" w:sz="6" w:space="0" w:color="auto"/>
              <w:left w:val="single" w:sz="6" w:space="0" w:color="auto"/>
              <w:bottom w:val="single" w:sz="6" w:space="0" w:color="auto"/>
              <w:right w:val="single" w:sz="6" w:space="0" w:color="auto"/>
            </w:tcBorders>
            <w:vAlign w:val="center"/>
          </w:tcPr>
          <w:p w14:paraId="2DB16C20" w14:textId="77777777" w:rsidR="00F83EFB" w:rsidRPr="00CB6C59" w:rsidRDefault="00F83EFB" w:rsidP="00E624FD">
            <w:pPr>
              <w:pStyle w:val="Tabletext-C"/>
              <w:rPr>
                <w:rFonts w:ascii="Arial" w:hAnsi="Arial" w:cs="Arial"/>
                <w:szCs w:val="22"/>
              </w:rPr>
            </w:pPr>
            <w:r w:rsidRPr="00CB6C59">
              <w:rPr>
                <w:rFonts w:ascii="Arial" w:hAnsi="Arial" w:cs="Arial"/>
                <w:szCs w:val="22"/>
              </w:rPr>
              <w:t>3</w:t>
            </w:r>
          </w:p>
        </w:tc>
        <w:tc>
          <w:tcPr>
            <w:tcW w:w="3060" w:type="dxa"/>
            <w:tcBorders>
              <w:top w:val="single" w:sz="6" w:space="0" w:color="auto"/>
              <w:left w:val="single" w:sz="6" w:space="0" w:color="auto"/>
              <w:bottom w:val="single" w:sz="6" w:space="0" w:color="auto"/>
              <w:right w:val="single" w:sz="4" w:space="0" w:color="000000"/>
            </w:tcBorders>
            <w:vAlign w:val="center"/>
          </w:tcPr>
          <w:p w14:paraId="0A8DE43D" w14:textId="77777777" w:rsidR="00F83EFB" w:rsidRPr="000D7A81" w:rsidRDefault="00F83EFB" w:rsidP="00E624FD">
            <w:pPr>
              <w:pStyle w:val="Tabletext-C"/>
              <w:rPr>
                <w:rFonts w:ascii="Arial" w:hAnsi="Arial" w:cs="Arial"/>
                <w:szCs w:val="22"/>
              </w:rPr>
            </w:pPr>
            <w:r w:rsidRPr="000D7A81">
              <w:rPr>
                <w:rFonts w:ascii="Arial" w:hAnsi="Arial" w:cs="Arial"/>
                <w:szCs w:val="22"/>
              </w:rPr>
              <w:t>Placebo (saline)</w:t>
            </w:r>
          </w:p>
        </w:tc>
        <w:tc>
          <w:tcPr>
            <w:tcW w:w="1350" w:type="dxa"/>
            <w:vMerge/>
            <w:tcBorders>
              <w:top w:val="nil"/>
              <w:left w:val="single" w:sz="4" w:space="0" w:color="000000"/>
              <w:bottom w:val="single" w:sz="4" w:space="0" w:color="000000"/>
              <w:right w:val="single" w:sz="4" w:space="0" w:color="000000"/>
            </w:tcBorders>
            <w:vAlign w:val="center"/>
          </w:tcPr>
          <w:p w14:paraId="0079BF1F" w14:textId="77777777" w:rsidR="00F83EFB" w:rsidRPr="00CB6C59" w:rsidRDefault="00F83EFB" w:rsidP="00E624FD">
            <w:pPr>
              <w:jc w:val="center"/>
              <w:rPr>
                <w:rFonts w:cs="Arial"/>
                <w:sz w:val="20"/>
                <w:szCs w:val="22"/>
              </w:rPr>
            </w:pPr>
          </w:p>
        </w:tc>
        <w:tc>
          <w:tcPr>
            <w:tcW w:w="1080" w:type="dxa"/>
            <w:vMerge/>
            <w:tcBorders>
              <w:left w:val="single" w:sz="4" w:space="0" w:color="000000"/>
              <w:right w:val="single" w:sz="4" w:space="0" w:color="000000"/>
            </w:tcBorders>
            <w:vAlign w:val="center"/>
          </w:tcPr>
          <w:p w14:paraId="4634326E" w14:textId="77777777" w:rsidR="00F83EFB" w:rsidRPr="00CB6C59" w:rsidRDefault="00F83EFB" w:rsidP="00E624FD">
            <w:pPr>
              <w:jc w:val="center"/>
              <w:rPr>
                <w:rFonts w:cs="Arial"/>
                <w:sz w:val="20"/>
                <w:szCs w:val="22"/>
              </w:rPr>
            </w:pPr>
          </w:p>
        </w:tc>
        <w:tc>
          <w:tcPr>
            <w:tcW w:w="1795" w:type="dxa"/>
            <w:vMerge/>
            <w:tcBorders>
              <w:left w:val="single" w:sz="4" w:space="0" w:color="000000"/>
              <w:right w:val="single" w:sz="12" w:space="0" w:color="auto"/>
            </w:tcBorders>
            <w:vAlign w:val="center"/>
          </w:tcPr>
          <w:p w14:paraId="5B7F6DF7" w14:textId="77777777" w:rsidR="00F83EFB" w:rsidRPr="00CB6C59" w:rsidRDefault="00F83EFB" w:rsidP="00E624FD">
            <w:pPr>
              <w:jc w:val="center"/>
              <w:rPr>
                <w:rFonts w:cs="Arial"/>
                <w:sz w:val="20"/>
                <w:szCs w:val="22"/>
              </w:rPr>
            </w:pPr>
          </w:p>
        </w:tc>
      </w:tr>
      <w:tr w:rsidR="00F83EFB" w:rsidRPr="00CB6C59" w14:paraId="35785AA0" w14:textId="77777777" w:rsidTr="00F83EFB">
        <w:trPr>
          <w:trHeight w:val="330"/>
          <w:jc w:val="center"/>
        </w:trPr>
        <w:tc>
          <w:tcPr>
            <w:tcW w:w="900" w:type="dxa"/>
            <w:vMerge w:val="restart"/>
            <w:tcBorders>
              <w:top w:val="single" w:sz="6" w:space="0" w:color="auto"/>
              <w:left w:val="single" w:sz="12" w:space="0" w:color="auto"/>
              <w:bottom w:val="single" w:sz="6" w:space="0" w:color="auto"/>
              <w:right w:val="single" w:sz="6" w:space="0" w:color="auto"/>
            </w:tcBorders>
            <w:vAlign w:val="center"/>
          </w:tcPr>
          <w:p w14:paraId="23C6CBDB" w14:textId="77777777" w:rsidR="00F83EFB" w:rsidRPr="00CB6C59" w:rsidRDefault="00F83EFB" w:rsidP="00E624FD">
            <w:pPr>
              <w:pStyle w:val="Tabletext-C"/>
              <w:rPr>
                <w:rFonts w:ascii="Arial" w:hAnsi="Arial" w:cs="Arial"/>
                <w:szCs w:val="22"/>
              </w:rPr>
            </w:pPr>
            <w:r w:rsidRPr="00CB6C59">
              <w:rPr>
                <w:rFonts w:ascii="Arial" w:hAnsi="Arial" w:cs="Arial"/>
                <w:szCs w:val="22"/>
              </w:rPr>
              <w:t>#2</w:t>
            </w:r>
          </w:p>
        </w:tc>
        <w:tc>
          <w:tcPr>
            <w:tcW w:w="810" w:type="dxa"/>
            <w:tcBorders>
              <w:top w:val="single" w:sz="6" w:space="0" w:color="auto"/>
              <w:left w:val="single" w:sz="6" w:space="0" w:color="auto"/>
              <w:bottom w:val="single" w:sz="6" w:space="0" w:color="auto"/>
              <w:right w:val="single" w:sz="6" w:space="0" w:color="auto"/>
            </w:tcBorders>
            <w:vAlign w:val="center"/>
          </w:tcPr>
          <w:p w14:paraId="1C875259" w14:textId="77777777" w:rsidR="00F83EFB" w:rsidRPr="00CB6C59" w:rsidRDefault="00F83EFB" w:rsidP="00E624FD">
            <w:pPr>
              <w:pStyle w:val="Tabletext-C"/>
              <w:rPr>
                <w:rFonts w:ascii="Arial" w:hAnsi="Arial" w:cs="Arial"/>
                <w:szCs w:val="22"/>
              </w:rPr>
            </w:pPr>
            <w:r w:rsidRPr="00CB6C59">
              <w:rPr>
                <w:rFonts w:ascii="Arial" w:hAnsi="Arial" w:cs="Arial"/>
                <w:szCs w:val="22"/>
              </w:rPr>
              <w:t>15</w:t>
            </w:r>
          </w:p>
        </w:tc>
        <w:tc>
          <w:tcPr>
            <w:tcW w:w="3060" w:type="dxa"/>
            <w:tcBorders>
              <w:top w:val="single" w:sz="6" w:space="0" w:color="auto"/>
              <w:left w:val="single" w:sz="6" w:space="0" w:color="auto"/>
              <w:bottom w:val="single" w:sz="6" w:space="0" w:color="auto"/>
              <w:right w:val="single" w:sz="4" w:space="0" w:color="000000"/>
            </w:tcBorders>
            <w:vAlign w:val="center"/>
          </w:tcPr>
          <w:p w14:paraId="0E6EE63E" w14:textId="77777777" w:rsidR="00F83EFB" w:rsidRPr="000B7056" w:rsidDel="00EA6DC6" w:rsidRDefault="00F83EFB" w:rsidP="00E624FD">
            <w:pPr>
              <w:pStyle w:val="Tabletext-C"/>
              <w:rPr>
                <w:rFonts w:ascii="Arial" w:hAnsi="Arial" w:cs="Arial"/>
                <w:szCs w:val="22"/>
                <w:lang w:val="fr-FR"/>
              </w:rPr>
            </w:pPr>
            <w:r w:rsidRPr="000B7056">
              <w:rPr>
                <w:rFonts w:ascii="Arial" w:hAnsi="Arial" w:cs="Arial"/>
                <w:szCs w:val="22"/>
                <w:lang w:val="fr-FR"/>
              </w:rPr>
              <w:t xml:space="preserve">2 </w:t>
            </w:r>
            <w:r w:rsidRPr="00CB6C59">
              <w:rPr>
                <w:rFonts w:ascii="Arial" w:hAnsi="Arial" w:cs="Arial"/>
                <w:szCs w:val="22"/>
              </w:rPr>
              <w:t>μ</w:t>
            </w:r>
            <w:r w:rsidRPr="000B7056">
              <w:rPr>
                <w:rFonts w:ascii="Arial" w:hAnsi="Arial" w:cs="Arial"/>
                <w:szCs w:val="22"/>
                <w:lang w:val="fr-FR"/>
              </w:rPr>
              <w:t xml:space="preserve">g ID93 + 2 </w:t>
            </w:r>
            <w:r w:rsidRPr="00CB6C59">
              <w:rPr>
                <w:rFonts w:ascii="Arial" w:hAnsi="Arial" w:cs="Arial"/>
                <w:szCs w:val="22"/>
              </w:rPr>
              <w:t>μ</w:t>
            </w:r>
            <w:r w:rsidRPr="000B7056">
              <w:rPr>
                <w:rFonts w:ascii="Arial" w:hAnsi="Arial" w:cs="Arial"/>
                <w:szCs w:val="22"/>
                <w:lang w:val="fr-FR"/>
              </w:rPr>
              <w:t>g GLA-SE</w:t>
            </w:r>
          </w:p>
        </w:tc>
        <w:tc>
          <w:tcPr>
            <w:tcW w:w="1350" w:type="dxa"/>
            <w:vMerge w:val="restart"/>
            <w:tcBorders>
              <w:top w:val="single" w:sz="4" w:space="0" w:color="000000"/>
              <w:left w:val="single" w:sz="4" w:space="0" w:color="000000"/>
              <w:right w:val="single" w:sz="4" w:space="0" w:color="000000"/>
            </w:tcBorders>
            <w:vAlign w:val="center"/>
          </w:tcPr>
          <w:p w14:paraId="4F839E0E" w14:textId="77777777" w:rsidR="00F83EFB" w:rsidRPr="00CB6C59" w:rsidRDefault="00F83EFB" w:rsidP="00E624FD">
            <w:pPr>
              <w:jc w:val="center"/>
              <w:rPr>
                <w:rFonts w:cs="Arial"/>
                <w:sz w:val="20"/>
                <w:szCs w:val="22"/>
              </w:rPr>
            </w:pPr>
            <w:r w:rsidRPr="00CB6C59">
              <w:rPr>
                <w:rFonts w:cs="Arial"/>
                <w:sz w:val="20"/>
                <w:szCs w:val="22"/>
              </w:rPr>
              <w:t>Positive or negative</w:t>
            </w:r>
          </w:p>
        </w:tc>
        <w:tc>
          <w:tcPr>
            <w:tcW w:w="1080" w:type="dxa"/>
            <w:vMerge/>
            <w:tcBorders>
              <w:left w:val="single" w:sz="4" w:space="0" w:color="000000"/>
              <w:right w:val="single" w:sz="4" w:space="0" w:color="000000"/>
            </w:tcBorders>
            <w:vAlign w:val="center"/>
          </w:tcPr>
          <w:p w14:paraId="26C32887" w14:textId="77777777" w:rsidR="00F83EFB" w:rsidRPr="00CB6C59" w:rsidRDefault="00F83EFB" w:rsidP="00E624FD">
            <w:pPr>
              <w:jc w:val="center"/>
              <w:rPr>
                <w:rFonts w:cs="Arial"/>
                <w:sz w:val="20"/>
                <w:szCs w:val="22"/>
              </w:rPr>
            </w:pPr>
          </w:p>
        </w:tc>
        <w:tc>
          <w:tcPr>
            <w:tcW w:w="1795" w:type="dxa"/>
            <w:vMerge/>
            <w:tcBorders>
              <w:left w:val="single" w:sz="4" w:space="0" w:color="000000"/>
              <w:right w:val="single" w:sz="12" w:space="0" w:color="auto"/>
            </w:tcBorders>
            <w:vAlign w:val="center"/>
          </w:tcPr>
          <w:p w14:paraId="27F67878" w14:textId="77777777" w:rsidR="00F83EFB" w:rsidRPr="00CB6C59" w:rsidRDefault="00F83EFB" w:rsidP="00E624FD">
            <w:pPr>
              <w:jc w:val="center"/>
              <w:rPr>
                <w:rFonts w:cs="Arial"/>
                <w:sz w:val="20"/>
                <w:szCs w:val="22"/>
              </w:rPr>
            </w:pPr>
          </w:p>
        </w:tc>
      </w:tr>
      <w:tr w:rsidR="00F83EFB" w:rsidRPr="00CB6C59" w14:paraId="4B3FC759" w14:textId="77777777" w:rsidTr="00F83EFB">
        <w:trPr>
          <w:trHeight w:val="144"/>
          <w:jc w:val="center"/>
        </w:trPr>
        <w:tc>
          <w:tcPr>
            <w:tcW w:w="900" w:type="dxa"/>
            <w:vMerge/>
            <w:tcBorders>
              <w:top w:val="single" w:sz="6" w:space="0" w:color="auto"/>
              <w:left w:val="single" w:sz="12" w:space="0" w:color="auto"/>
              <w:bottom w:val="single" w:sz="6" w:space="0" w:color="auto"/>
              <w:right w:val="single" w:sz="6" w:space="0" w:color="auto"/>
            </w:tcBorders>
            <w:vAlign w:val="center"/>
          </w:tcPr>
          <w:p w14:paraId="65398D74" w14:textId="77777777" w:rsidR="00F83EFB" w:rsidRPr="00CB6C59" w:rsidRDefault="00F83EFB" w:rsidP="00E624FD">
            <w:pPr>
              <w:pStyle w:val="Tabletext-C"/>
              <w:rPr>
                <w:rFonts w:ascii="Arial" w:hAnsi="Arial" w:cs="Arial"/>
                <w:szCs w:val="22"/>
              </w:rPr>
            </w:pPr>
          </w:p>
        </w:tc>
        <w:tc>
          <w:tcPr>
            <w:tcW w:w="810" w:type="dxa"/>
            <w:tcBorders>
              <w:top w:val="single" w:sz="6" w:space="0" w:color="auto"/>
              <w:left w:val="single" w:sz="6" w:space="0" w:color="auto"/>
              <w:bottom w:val="single" w:sz="4" w:space="0" w:color="auto"/>
              <w:right w:val="single" w:sz="6" w:space="0" w:color="auto"/>
            </w:tcBorders>
            <w:vAlign w:val="center"/>
          </w:tcPr>
          <w:p w14:paraId="6BF49978" w14:textId="77777777" w:rsidR="00F83EFB" w:rsidRPr="00CB6C59" w:rsidRDefault="00F83EFB" w:rsidP="00E624FD">
            <w:pPr>
              <w:pStyle w:val="Tabletext-C"/>
              <w:rPr>
                <w:rFonts w:ascii="Arial" w:hAnsi="Arial" w:cs="Arial"/>
                <w:szCs w:val="22"/>
              </w:rPr>
            </w:pPr>
            <w:r w:rsidRPr="00CB6C59">
              <w:rPr>
                <w:rFonts w:ascii="Arial" w:hAnsi="Arial" w:cs="Arial"/>
                <w:szCs w:val="22"/>
              </w:rPr>
              <w:t>3</w:t>
            </w:r>
          </w:p>
        </w:tc>
        <w:tc>
          <w:tcPr>
            <w:tcW w:w="3060" w:type="dxa"/>
            <w:tcBorders>
              <w:top w:val="single" w:sz="6" w:space="0" w:color="auto"/>
              <w:left w:val="single" w:sz="6" w:space="0" w:color="auto"/>
              <w:bottom w:val="single" w:sz="4" w:space="0" w:color="auto"/>
              <w:right w:val="single" w:sz="4" w:space="0" w:color="000000"/>
            </w:tcBorders>
            <w:vAlign w:val="center"/>
          </w:tcPr>
          <w:p w14:paraId="21B073E0" w14:textId="77777777" w:rsidR="00F83EFB" w:rsidRPr="000D7A81" w:rsidDel="00EA6DC6" w:rsidRDefault="00F83EFB" w:rsidP="00E624FD">
            <w:pPr>
              <w:pStyle w:val="Tabletext-C"/>
              <w:rPr>
                <w:rFonts w:ascii="Arial" w:hAnsi="Arial" w:cs="Arial"/>
                <w:szCs w:val="22"/>
              </w:rPr>
            </w:pPr>
            <w:r w:rsidRPr="000D7A81">
              <w:rPr>
                <w:rFonts w:ascii="Arial" w:hAnsi="Arial" w:cs="Arial"/>
                <w:szCs w:val="22"/>
              </w:rPr>
              <w:t>Placebo (saline)</w:t>
            </w:r>
          </w:p>
        </w:tc>
        <w:tc>
          <w:tcPr>
            <w:tcW w:w="1350" w:type="dxa"/>
            <w:vMerge/>
            <w:tcBorders>
              <w:left w:val="single" w:sz="4" w:space="0" w:color="000000"/>
              <w:right w:val="single" w:sz="4" w:space="0" w:color="000000"/>
            </w:tcBorders>
          </w:tcPr>
          <w:p w14:paraId="095A25C8" w14:textId="77777777" w:rsidR="00F83EFB" w:rsidRPr="00CB6C59" w:rsidRDefault="00F83EFB" w:rsidP="00E624FD">
            <w:pPr>
              <w:jc w:val="center"/>
              <w:rPr>
                <w:rFonts w:cs="Arial"/>
                <w:sz w:val="20"/>
                <w:szCs w:val="22"/>
              </w:rPr>
            </w:pPr>
          </w:p>
        </w:tc>
        <w:tc>
          <w:tcPr>
            <w:tcW w:w="1080" w:type="dxa"/>
            <w:vMerge/>
            <w:tcBorders>
              <w:left w:val="single" w:sz="4" w:space="0" w:color="000000"/>
              <w:right w:val="single" w:sz="4" w:space="0" w:color="000000"/>
            </w:tcBorders>
            <w:vAlign w:val="center"/>
          </w:tcPr>
          <w:p w14:paraId="4D18EB35" w14:textId="77777777" w:rsidR="00F83EFB" w:rsidRPr="00CB6C59" w:rsidRDefault="00F83EFB" w:rsidP="00E624FD">
            <w:pPr>
              <w:jc w:val="center"/>
              <w:rPr>
                <w:rFonts w:cs="Arial"/>
                <w:sz w:val="20"/>
                <w:szCs w:val="22"/>
              </w:rPr>
            </w:pPr>
          </w:p>
        </w:tc>
        <w:tc>
          <w:tcPr>
            <w:tcW w:w="1795" w:type="dxa"/>
            <w:vMerge/>
            <w:tcBorders>
              <w:left w:val="single" w:sz="4" w:space="0" w:color="000000"/>
              <w:right w:val="single" w:sz="12" w:space="0" w:color="auto"/>
            </w:tcBorders>
            <w:vAlign w:val="center"/>
          </w:tcPr>
          <w:p w14:paraId="50042D04" w14:textId="77777777" w:rsidR="00F83EFB" w:rsidRPr="00CB6C59" w:rsidRDefault="00F83EFB" w:rsidP="00E624FD">
            <w:pPr>
              <w:jc w:val="center"/>
              <w:rPr>
                <w:rFonts w:cs="Arial"/>
                <w:sz w:val="20"/>
                <w:szCs w:val="22"/>
              </w:rPr>
            </w:pPr>
          </w:p>
        </w:tc>
      </w:tr>
      <w:tr w:rsidR="00F83EFB" w:rsidRPr="00F3093E" w14:paraId="68A948EF" w14:textId="77777777" w:rsidTr="00F83EFB">
        <w:trPr>
          <w:trHeight w:val="330"/>
          <w:jc w:val="center"/>
        </w:trPr>
        <w:tc>
          <w:tcPr>
            <w:tcW w:w="900" w:type="dxa"/>
            <w:vMerge w:val="restart"/>
            <w:tcBorders>
              <w:top w:val="single" w:sz="6" w:space="0" w:color="auto"/>
              <w:left w:val="single" w:sz="12" w:space="0" w:color="auto"/>
              <w:bottom w:val="single" w:sz="6" w:space="0" w:color="auto"/>
              <w:right w:val="single" w:sz="6" w:space="0" w:color="auto"/>
            </w:tcBorders>
            <w:vAlign w:val="center"/>
          </w:tcPr>
          <w:p w14:paraId="68CF7374" w14:textId="77777777" w:rsidR="00F83EFB" w:rsidRPr="00CB6C59" w:rsidRDefault="00F83EFB" w:rsidP="00E624FD">
            <w:pPr>
              <w:pStyle w:val="Tabletext-C"/>
              <w:rPr>
                <w:rFonts w:ascii="Arial" w:hAnsi="Arial" w:cs="Arial"/>
                <w:szCs w:val="22"/>
              </w:rPr>
            </w:pPr>
            <w:r w:rsidRPr="00CB6C59">
              <w:rPr>
                <w:rFonts w:ascii="Arial" w:hAnsi="Arial" w:cs="Arial"/>
                <w:szCs w:val="22"/>
              </w:rPr>
              <w:t>#3</w:t>
            </w:r>
          </w:p>
        </w:tc>
        <w:tc>
          <w:tcPr>
            <w:tcW w:w="810" w:type="dxa"/>
            <w:tcBorders>
              <w:top w:val="single" w:sz="4" w:space="0" w:color="auto"/>
              <w:left w:val="single" w:sz="6" w:space="0" w:color="auto"/>
              <w:bottom w:val="single" w:sz="4" w:space="0" w:color="auto"/>
              <w:right w:val="single" w:sz="6" w:space="0" w:color="auto"/>
            </w:tcBorders>
            <w:vAlign w:val="center"/>
          </w:tcPr>
          <w:p w14:paraId="798D05F9" w14:textId="77777777" w:rsidR="00F83EFB" w:rsidRPr="00CB6C59" w:rsidRDefault="00F83EFB" w:rsidP="00E624FD">
            <w:pPr>
              <w:pStyle w:val="Tabletext-C"/>
              <w:rPr>
                <w:rFonts w:ascii="Arial" w:hAnsi="Arial" w:cs="Arial"/>
                <w:szCs w:val="22"/>
              </w:rPr>
            </w:pPr>
            <w:r w:rsidRPr="00CB6C59">
              <w:rPr>
                <w:rFonts w:ascii="Arial" w:hAnsi="Arial" w:cs="Arial"/>
                <w:szCs w:val="22"/>
              </w:rPr>
              <w:t>15</w:t>
            </w:r>
          </w:p>
        </w:tc>
        <w:tc>
          <w:tcPr>
            <w:tcW w:w="3060" w:type="dxa"/>
            <w:tcBorders>
              <w:top w:val="single" w:sz="4" w:space="0" w:color="auto"/>
              <w:left w:val="single" w:sz="6" w:space="0" w:color="auto"/>
              <w:bottom w:val="single" w:sz="4" w:space="0" w:color="auto"/>
              <w:right w:val="single" w:sz="4" w:space="0" w:color="000000"/>
            </w:tcBorders>
            <w:vAlign w:val="center"/>
          </w:tcPr>
          <w:p w14:paraId="322B23AF" w14:textId="77777777" w:rsidR="00F83EFB" w:rsidRPr="000B7056" w:rsidRDefault="00F83EFB" w:rsidP="00E624FD">
            <w:pPr>
              <w:pStyle w:val="Tabletext-C"/>
              <w:rPr>
                <w:rFonts w:ascii="Arial" w:hAnsi="Arial" w:cs="Arial"/>
                <w:szCs w:val="22"/>
                <w:lang w:val="fr-FR"/>
              </w:rPr>
            </w:pPr>
            <w:r w:rsidRPr="000B7056">
              <w:rPr>
                <w:rFonts w:ascii="Arial" w:hAnsi="Arial" w:cs="Arial"/>
                <w:szCs w:val="22"/>
                <w:lang w:val="fr-FR"/>
              </w:rPr>
              <w:t xml:space="preserve">10 </w:t>
            </w:r>
            <w:r w:rsidRPr="00CB6C59">
              <w:rPr>
                <w:rFonts w:ascii="Arial" w:hAnsi="Arial" w:cs="Arial"/>
                <w:szCs w:val="22"/>
              </w:rPr>
              <w:t>μ</w:t>
            </w:r>
            <w:r w:rsidRPr="000B7056">
              <w:rPr>
                <w:rFonts w:ascii="Arial" w:hAnsi="Arial" w:cs="Arial"/>
                <w:szCs w:val="22"/>
                <w:lang w:val="fr-FR"/>
              </w:rPr>
              <w:t xml:space="preserve">g ID93 + 2 </w:t>
            </w:r>
            <w:r w:rsidRPr="00CB6C59">
              <w:rPr>
                <w:rFonts w:ascii="Arial" w:hAnsi="Arial" w:cs="Arial"/>
                <w:szCs w:val="22"/>
              </w:rPr>
              <w:t>μ</w:t>
            </w:r>
            <w:r w:rsidRPr="000B7056">
              <w:rPr>
                <w:rFonts w:ascii="Arial" w:hAnsi="Arial" w:cs="Arial"/>
                <w:szCs w:val="22"/>
                <w:lang w:val="fr-FR"/>
              </w:rPr>
              <w:t>g GLA-SE</w:t>
            </w:r>
          </w:p>
        </w:tc>
        <w:tc>
          <w:tcPr>
            <w:tcW w:w="1350" w:type="dxa"/>
            <w:vMerge/>
            <w:tcBorders>
              <w:left w:val="single" w:sz="4" w:space="0" w:color="000000"/>
              <w:right w:val="single" w:sz="4" w:space="0" w:color="000000"/>
            </w:tcBorders>
          </w:tcPr>
          <w:p w14:paraId="3C04BE93" w14:textId="77777777" w:rsidR="00F83EFB" w:rsidRPr="000B7056" w:rsidRDefault="00F83EFB" w:rsidP="00E624FD">
            <w:pPr>
              <w:jc w:val="center"/>
              <w:rPr>
                <w:rFonts w:cs="Arial"/>
                <w:sz w:val="20"/>
                <w:szCs w:val="22"/>
                <w:lang w:val="fr-FR"/>
              </w:rPr>
            </w:pPr>
          </w:p>
        </w:tc>
        <w:tc>
          <w:tcPr>
            <w:tcW w:w="1080" w:type="dxa"/>
            <w:vMerge/>
            <w:tcBorders>
              <w:left w:val="single" w:sz="4" w:space="0" w:color="000000"/>
              <w:right w:val="single" w:sz="4" w:space="0" w:color="000000"/>
            </w:tcBorders>
            <w:vAlign w:val="center"/>
          </w:tcPr>
          <w:p w14:paraId="06A86161" w14:textId="77777777" w:rsidR="00F83EFB" w:rsidRPr="000B7056" w:rsidRDefault="00F83EFB" w:rsidP="00E624FD">
            <w:pPr>
              <w:jc w:val="center"/>
              <w:rPr>
                <w:rFonts w:cs="Arial"/>
                <w:sz w:val="20"/>
                <w:szCs w:val="22"/>
                <w:lang w:val="fr-FR"/>
              </w:rPr>
            </w:pPr>
          </w:p>
        </w:tc>
        <w:tc>
          <w:tcPr>
            <w:tcW w:w="1795" w:type="dxa"/>
            <w:vMerge/>
            <w:tcBorders>
              <w:left w:val="single" w:sz="4" w:space="0" w:color="000000"/>
              <w:right w:val="single" w:sz="12" w:space="0" w:color="auto"/>
            </w:tcBorders>
            <w:vAlign w:val="center"/>
          </w:tcPr>
          <w:p w14:paraId="04AC7FA3" w14:textId="77777777" w:rsidR="00F83EFB" w:rsidRPr="000B7056" w:rsidRDefault="00F83EFB" w:rsidP="00E624FD">
            <w:pPr>
              <w:jc w:val="center"/>
              <w:rPr>
                <w:rFonts w:cs="Arial"/>
                <w:sz w:val="20"/>
                <w:szCs w:val="22"/>
                <w:lang w:val="fr-FR"/>
              </w:rPr>
            </w:pPr>
          </w:p>
        </w:tc>
      </w:tr>
      <w:tr w:rsidR="00F83EFB" w:rsidRPr="00CB6C59" w14:paraId="328B8497" w14:textId="77777777" w:rsidTr="00F83EFB">
        <w:trPr>
          <w:trHeight w:val="144"/>
          <w:jc w:val="center"/>
        </w:trPr>
        <w:tc>
          <w:tcPr>
            <w:tcW w:w="900" w:type="dxa"/>
            <w:vMerge/>
            <w:tcBorders>
              <w:top w:val="single" w:sz="6" w:space="0" w:color="auto"/>
              <w:left w:val="single" w:sz="12" w:space="0" w:color="auto"/>
              <w:bottom w:val="single" w:sz="6" w:space="0" w:color="auto"/>
              <w:right w:val="single" w:sz="6" w:space="0" w:color="auto"/>
            </w:tcBorders>
            <w:vAlign w:val="center"/>
          </w:tcPr>
          <w:p w14:paraId="415FE5EC" w14:textId="77777777" w:rsidR="00F83EFB" w:rsidRPr="000B7056" w:rsidRDefault="00F83EFB" w:rsidP="00E624FD">
            <w:pPr>
              <w:pStyle w:val="Tabletext-C"/>
              <w:rPr>
                <w:rFonts w:ascii="Arial" w:hAnsi="Arial" w:cs="Arial"/>
                <w:szCs w:val="22"/>
                <w:lang w:val="fr-FR"/>
              </w:rPr>
            </w:pPr>
          </w:p>
        </w:tc>
        <w:tc>
          <w:tcPr>
            <w:tcW w:w="810" w:type="dxa"/>
            <w:tcBorders>
              <w:top w:val="single" w:sz="4" w:space="0" w:color="auto"/>
              <w:left w:val="single" w:sz="6" w:space="0" w:color="auto"/>
              <w:bottom w:val="single" w:sz="4" w:space="0" w:color="auto"/>
              <w:right w:val="single" w:sz="6" w:space="0" w:color="auto"/>
            </w:tcBorders>
            <w:vAlign w:val="center"/>
          </w:tcPr>
          <w:p w14:paraId="17045432" w14:textId="77777777" w:rsidR="00F83EFB" w:rsidRPr="00CB6C59" w:rsidRDefault="00F83EFB" w:rsidP="00E624FD">
            <w:pPr>
              <w:pStyle w:val="Tabletext-C"/>
              <w:rPr>
                <w:rFonts w:ascii="Arial" w:hAnsi="Arial" w:cs="Arial"/>
                <w:szCs w:val="22"/>
              </w:rPr>
            </w:pPr>
            <w:r w:rsidRPr="00CB6C59">
              <w:rPr>
                <w:rFonts w:ascii="Arial" w:hAnsi="Arial" w:cs="Arial"/>
                <w:szCs w:val="22"/>
              </w:rPr>
              <w:t>3</w:t>
            </w:r>
          </w:p>
        </w:tc>
        <w:tc>
          <w:tcPr>
            <w:tcW w:w="3060" w:type="dxa"/>
            <w:tcBorders>
              <w:top w:val="single" w:sz="4" w:space="0" w:color="auto"/>
              <w:left w:val="single" w:sz="6" w:space="0" w:color="auto"/>
              <w:bottom w:val="single" w:sz="4" w:space="0" w:color="auto"/>
              <w:right w:val="single" w:sz="4" w:space="0" w:color="000000"/>
            </w:tcBorders>
            <w:vAlign w:val="center"/>
          </w:tcPr>
          <w:p w14:paraId="1C1EC441" w14:textId="77777777" w:rsidR="00F83EFB" w:rsidRPr="00CB6C59" w:rsidRDefault="00F83EFB" w:rsidP="00E624FD">
            <w:pPr>
              <w:pStyle w:val="Tabletext-C"/>
              <w:rPr>
                <w:rFonts w:ascii="Arial" w:hAnsi="Arial" w:cs="Arial"/>
                <w:szCs w:val="22"/>
              </w:rPr>
            </w:pPr>
            <w:r w:rsidRPr="000D7A81">
              <w:rPr>
                <w:rFonts w:ascii="Arial" w:hAnsi="Arial" w:cs="Arial"/>
                <w:szCs w:val="22"/>
              </w:rPr>
              <w:t>Placebo (saline)</w:t>
            </w:r>
          </w:p>
        </w:tc>
        <w:tc>
          <w:tcPr>
            <w:tcW w:w="1350" w:type="dxa"/>
            <w:vMerge/>
            <w:tcBorders>
              <w:left w:val="single" w:sz="4" w:space="0" w:color="000000"/>
              <w:right w:val="single" w:sz="4" w:space="0" w:color="000000"/>
            </w:tcBorders>
          </w:tcPr>
          <w:p w14:paraId="635BAD08" w14:textId="77777777" w:rsidR="00F83EFB" w:rsidRPr="00CB6C59" w:rsidRDefault="00F83EFB" w:rsidP="00E624FD">
            <w:pPr>
              <w:jc w:val="center"/>
              <w:rPr>
                <w:rFonts w:cs="Arial"/>
                <w:sz w:val="20"/>
                <w:szCs w:val="22"/>
              </w:rPr>
            </w:pPr>
          </w:p>
        </w:tc>
        <w:tc>
          <w:tcPr>
            <w:tcW w:w="1080" w:type="dxa"/>
            <w:vMerge/>
            <w:tcBorders>
              <w:left w:val="single" w:sz="4" w:space="0" w:color="000000"/>
              <w:right w:val="single" w:sz="4" w:space="0" w:color="000000"/>
            </w:tcBorders>
            <w:vAlign w:val="center"/>
          </w:tcPr>
          <w:p w14:paraId="49FBFF58" w14:textId="77777777" w:rsidR="00F83EFB" w:rsidRPr="00CB6C59" w:rsidRDefault="00F83EFB" w:rsidP="00E624FD">
            <w:pPr>
              <w:jc w:val="center"/>
              <w:rPr>
                <w:rFonts w:cs="Arial"/>
                <w:sz w:val="20"/>
                <w:szCs w:val="22"/>
              </w:rPr>
            </w:pPr>
          </w:p>
        </w:tc>
        <w:tc>
          <w:tcPr>
            <w:tcW w:w="1795" w:type="dxa"/>
            <w:vMerge/>
            <w:tcBorders>
              <w:left w:val="single" w:sz="4" w:space="0" w:color="000000"/>
              <w:right w:val="single" w:sz="12" w:space="0" w:color="auto"/>
            </w:tcBorders>
            <w:vAlign w:val="center"/>
          </w:tcPr>
          <w:p w14:paraId="637FA28A" w14:textId="77777777" w:rsidR="00F83EFB" w:rsidRPr="00CB6C59" w:rsidRDefault="00F83EFB" w:rsidP="00E624FD">
            <w:pPr>
              <w:jc w:val="center"/>
              <w:rPr>
                <w:rFonts w:cs="Arial"/>
                <w:sz w:val="20"/>
                <w:szCs w:val="22"/>
              </w:rPr>
            </w:pPr>
          </w:p>
        </w:tc>
      </w:tr>
      <w:tr w:rsidR="00F83EFB" w:rsidRPr="00F3093E" w14:paraId="0407A8EB" w14:textId="77777777" w:rsidTr="00F83EFB">
        <w:trPr>
          <w:trHeight w:val="330"/>
          <w:jc w:val="center"/>
        </w:trPr>
        <w:tc>
          <w:tcPr>
            <w:tcW w:w="900" w:type="dxa"/>
            <w:vMerge w:val="restart"/>
            <w:tcBorders>
              <w:top w:val="single" w:sz="6" w:space="0" w:color="auto"/>
              <w:left w:val="single" w:sz="12" w:space="0" w:color="auto"/>
              <w:bottom w:val="single" w:sz="6" w:space="0" w:color="auto"/>
              <w:right w:val="single" w:sz="6" w:space="0" w:color="auto"/>
            </w:tcBorders>
            <w:vAlign w:val="center"/>
          </w:tcPr>
          <w:p w14:paraId="2D6A6362" w14:textId="77777777" w:rsidR="00F83EFB" w:rsidRPr="00CB6C59" w:rsidRDefault="00F83EFB" w:rsidP="00E624FD">
            <w:pPr>
              <w:pStyle w:val="Tabletext-C"/>
              <w:keepNext w:val="0"/>
              <w:rPr>
                <w:rFonts w:ascii="Arial" w:hAnsi="Arial" w:cs="Arial"/>
                <w:szCs w:val="22"/>
              </w:rPr>
            </w:pPr>
            <w:r w:rsidRPr="00CB6C59">
              <w:rPr>
                <w:rFonts w:ascii="Arial" w:hAnsi="Arial" w:cs="Arial"/>
                <w:szCs w:val="22"/>
              </w:rPr>
              <w:t>#4</w:t>
            </w:r>
          </w:p>
        </w:tc>
        <w:tc>
          <w:tcPr>
            <w:tcW w:w="810" w:type="dxa"/>
            <w:tcBorders>
              <w:top w:val="single" w:sz="4" w:space="0" w:color="auto"/>
              <w:left w:val="single" w:sz="6" w:space="0" w:color="auto"/>
              <w:bottom w:val="single" w:sz="4" w:space="0" w:color="auto"/>
              <w:right w:val="single" w:sz="6" w:space="0" w:color="auto"/>
            </w:tcBorders>
            <w:vAlign w:val="center"/>
          </w:tcPr>
          <w:p w14:paraId="657367DD" w14:textId="77777777" w:rsidR="00F83EFB" w:rsidRPr="00CB6C59" w:rsidRDefault="00F83EFB" w:rsidP="00E624FD">
            <w:pPr>
              <w:pStyle w:val="Tabletext-C"/>
              <w:keepNext w:val="0"/>
              <w:rPr>
                <w:rFonts w:ascii="Arial" w:hAnsi="Arial" w:cs="Arial"/>
                <w:szCs w:val="22"/>
              </w:rPr>
            </w:pPr>
            <w:r w:rsidRPr="00CB6C59">
              <w:rPr>
                <w:rFonts w:ascii="Arial" w:hAnsi="Arial" w:cs="Arial"/>
                <w:szCs w:val="22"/>
              </w:rPr>
              <w:t>15</w:t>
            </w:r>
          </w:p>
        </w:tc>
        <w:tc>
          <w:tcPr>
            <w:tcW w:w="3060" w:type="dxa"/>
            <w:tcBorders>
              <w:top w:val="single" w:sz="4" w:space="0" w:color="auto"/>
              <w:left w:val="single" w:sz="6" w:space="0" w:color="auto"/>
              <w:bottom w:val="single" w:sz="4" w:space="0" w:color="auto"/>
              <w:right w:val="single" w:sz="4" w:space="0" w:color="000000"/>
            </w:tcBorders>
            <w:vAlign w:val="center"/>
          </w:tcPr>
          <w:p w14:paraId="17646B25" w14:textId="77777777" w:rsidR="00F83EFB" w:rsidRPr="000B7056" w:rsidDel="00EA6DC6" w:rsidRDefault="00F83EFB" w:rsidP="00E624FD">
            <w:pPr>
              <w:pStyle w:val="Tabletext-C"/>
              <w:keepNext w:val="0"/>
              <w:rPr>
                <w:rFonts w:ascii="Arial" w:hAnsi="Arial" w:cs="Arial"/>
                <w:szCs w:val="22"/>
                <w:lang w:val="fr-FR"/>
              </w:rPr>
            </w:pPr>
            <w:r w:rsidRPr="000B7056">
              <w:rPr>
                <w:rFonts w:ascii="Arial" w:hAnsi="Arial" w:cs="Arial"/>
                <w:szCs w:val="22"/>
                <w:lang w:val="fr-FR"/>
              </w:rPr>
              <w:t xml:space="preserve">10 </w:t>
            </w:r>
            <w:r w:rsidRPr="00CB6C59">
              <w:rPr>
                <w:rFonts w:ascii="Arial" w:hAnsi="Arial" w:cs="Arial"/>
                <w:szCs w:val="22"/>
              </w:rPr>
              <w:t>μ</w:t>
            </w:r>
            <w:r w:rsidRPr="000B7056">
              <w:rPr>
                <w:rFonts w:ascii="Arial" w:hAnsi="Arial" w:cs="Arial"/>
                <w:szCs w:val="22"/>
                <w:lang w:val="fr-FR"/>
              </w:rPr>
              <w:t xml:space="preserve">g ID93 + 5 </w:t>
            </w:r>
            <w:r w:rsidRPr="00CB6C59">
              <w:rPr>
                <w:rFonts w:ascii="Arial" w:hAnsi="Arial" w:cs="Arial"/>
                <w:szCs w:val="22"/>
              </w:rPr>
              <w:t>μ</w:t>
            </w:r>
            <w:r w:rsidRPr="000B7056">
              <w:rPr>
                <w:rFonts w:ascii="Arial" w:hAnsi="Arial" w:cs="Arial"/>
                <w:szCs w:val="22"/>
                <w:lang w:val="fr-FR"/>
              </w:rPr>
              <w:t>g GLA-SE</w:t>
            </w:r>
          </w:p>
        </w:tc>
        <w:tc>
          <w:tcPr>
            <w:tcW w:w="1350" w:type="dxa"/>
            <w:vMerge/>
            <w:tcBorders>
              <w:left w:val="single" w:sz="4" w:space="0" w:color="000000"/>
              <w:right w:val="single" w:sz="4" w:space="0" w:color="000000"/>
            </w:tcBorders>
          </w:tcPr>
          <w:p w14:paraId="026F2677" w14:textId="77777777" w:rsidR="00F83EFB" w:rsidRPr="000B7056" w:rsidRDefault="00F83EFB" w:rsidP="00E624FD">
            <w:pPr>
              <w:jc w:val="center"/>
              <w:rPr>
                <w:rFonts w:cs="Arial"/>
                <w:sz w:val="20"/>
                <w:szCs w:val="22"/>
                <w:lang w:val="fr-FR"/>
              </w:rPr>
            </w:pPr>
          </w:p>
        </w:tc>
        <w:tc>
          <w:tcPr>
            <w:tcW w:w="1080" w:type="dxa"/>
            <w:vMerge/>
            <w:tcBorders>
              <w:left w:val="single" w:sz="4" w:space="0" w:color="000000"/>
              <w:right w:val="single" w:sz="4" w:space="0" w:color="000000"/>
            </w:tcBorders>
            <w:vAlign w:val="center"/>
          </w:tcPr>
          <w:p w14:paraId="4CD9B0EC" w14:textId="77777777" w:rsidR="00F83EFB" w:rsidRPr="000B7056" w:rsidRDefault="00F83EFB" w:rsidP="00E624FD">
            <w:pPr>
              <w:jc w:val="center"/>
              <w:rPr>
                <w:rFonts w:cs="Arial"/>
                <w:sz w:val="20"/>
                <w:szCs w:val="22"/>
                <w:lang w:val="fr-FR"/>
              </w:rPr>
            </w:pPr>
          </w:p>
        </w:tc>
        <w:tc>
          <w:tcPr>
            <w:tcW w:w="1795" w:type="dxa"/>
            <w:vMerge/>
            <w:tcBorders>
              <w:left w:val="single" w:sz="4" w:space="0" w:color="000000"/>
              <w:right w:val="single" w:sz="12" w:space="0" w:color="auto"/>
            </w:tcBorders>
            <w:vAlign w:val="center"/>
          </w:tcPr>
          <w:p w14:paraId="5665374F" w14:textId="77777777" w:rsidR="00F83EFB" w:rsidRPr="000B7056" w:rsidRDefault="00F83EFB" w:rsidP="00E624FD">
            <w:pPr>
              <w:jc w:val="center"/>
              <w:rPr>
                <w:rFonts w:cs="Arial"/>
                <w:sz w:val="20"/>
                <w:szCs w:val="22"/>
                <w:lang w:val="fr-FR"/>
              </w:rPr>
            </w:pPr>
          </w:p>
        </w:tc>
      </w:tr>
      <w:tr w:rsidR="00F83EFB" w:rsidRPr="00CB6C59" w14:paraId="73E0AB49" w14:textId="77777777" w:rsidTr="00F83EFB">
        <w:trPr>
          <w:trHeight w:val="144"/>
          <w:jc w:val="center"/>
        </w:trPr>
        <w:tc>
          <w:tcPr>
            <w:tcW w:w="900" w:type="dxa"/>
            <w:vMerge/>
            <w:tcBorders>
              <w:top w:val="single" w:sz="6" w:space="0" w:color="auto"/>
              <w:left w:val="single" w:sz="12" w:space="0" w:color="auto"/>
              <w:bottom w:val="single" w:sz="12" w:space="0" w:color="auto"/>
              <w:right w:val="single" w:sz="6" w:space="0" w:color="auto"/>
            </w:tcBorders>
            <w:vAlign w:val="center"/>
          </w:tcPr>
          <w:p w14:paraId="34E80355" w14:textId="77777777" w:rsidR="00F83EFB" w:rsidRPr="000B7056" w:rsidRDefault="00F83EFB" w:rsidP="00E624FD">
            <w:pPr>
              <w:pStyle w:val="Tabletext-C"/>
              <w:keepNext w:val="0"/>
              <w:rPr>
                <w:rFonts w:ascii="Arial" w:hAnsi="Arial" w:cs="Arial"/>
                <w:szCs w:val="22"/>
                <w:lang w:val="fr-FR"/>
              </w:rPr>
            </w:pPr>
          </w:p>
        </w:tc>
        <w:tc>
          <w:tcPr>
            <w:tcW w:w="810" w:type="dxa"/>
            <w:tcBorders>
              <w:top w:val="single" w:sz="4" w:space="0" w:color="auto"/>
              <w:left w:val="single" w:sz="6" w:space="0" w:color="auto"/>
              <w:bottom w:val="single" w:sz="12" w:space="0" w:color="auto"/>
              <w:right w:val="single" w:sz="6" w:space="0" w:color="auto"/>
            </w:tcBorders>
            <w:vAlign w:val="center"/>
          </w:tcPr>
          <w:p w14:paraId="43D4A40D" w14:textId="77777777" w:rsidR="00F83EFB" w:rsidRPr="00CB6C59" w:rsidRDefault="00F83EFB" w:rsidP="00E624FD">
            <w:pPr>
              <w:pStyle w:val="Tabletext-C"/>
              <w:keepNext w:val="0"/>
              <w:rPr>
                <w:rFonts w:ascii="Arial" w:hAnsi="Arial" w:cs="Arial"/>
                <w:szCs w:val="22"/>
              </w:rPr>
            </w:pPr>
            <w:r w:rsidRPr="00CB6C59">
              <w:rPr>
                <w:rFonts w:ascii="Arial" w:hAnsi="Arial" w:cs="Arial"/>
                <w:szCs w:val="22"/>
              </w:rPr>
              <w:t>3</w:t>
            </w:r>
          </w:p>
        </w:tc>
        <w:tc>
          <w:tcPr>
            <w:tcW w:w="3060" w:type="dxa"/>
            <w:tcBorders>
              <w:top w:val="single" w:sz="4" w:space="0" w:color="auto"/>
              <w:left w:val="single" w:sz="6" w:space="0" w:color="auto"/>
              <w:bottom w:val="single" w:sz="12" w:space="0" w:color="auto"/>
              <w:right w:val="single" w:sz="4" w:space="0" w:color="000000"/>
            </w:tcBorders>
            <w:vAlign w:val="center"/>
          </w:tcPr>
          <w:p w14:paraId="4FA66E33" w14:textId="77777777" w:rsidR="00F83EFB" w:rsidRPr="00CB6C59" w:rsidDel="00EA6DC6" w:rsidRDefault="00F83EFB" w:rsidP="00E624FD">
            <w:pPr>
              <w:pStyle w:val="Tabletext-C"/>
              <w:keepNext w:val="0"/>
              <w:rPr>
                <w:rFonts w:ascii="Arial" w:hAnsi="Arial" w:cs="Arial"/>
                <w:szCs w:val="22"/>
              </w:rPr>
            </w:pPr>
            <w:r w:rsidRPr="000D7A81">
              <w:rPr>
                <w:rFonts w:ascii="Arial" w:hAnsi="Arial" w:cs="Arial"/>
                <w:szCs w:val="22"/>
              </w:rPr>
              <w:t>Placebo (saline)</w:t>
            </w:r>
          </w:p>
        </w:tc>
        <w:tc>
          <w:tcPr>
            <w:tcW w:w="1350" w:type="dxa"/>
            <w:vMerge/>
            <w:tcBorders>
              <w:left w:val="single" w:sz="4" w:space="0" w:color="000000"/>
              <w:bottom w:val="single" w:sz="12" w:space="0" w:color="auto"/>
              <w:right w:val="single" w:sz="4" w:space="0" w:color="000000"/>
            </w:tcBorders>
          </w:tcPr>
          <w:p w14:paraId="3EDE6E73" w14:textId="77777777" w:rsidR="00F83EFB" w:rsidRPr="00CB6C59" w:rsidRDefault="00F83EFB" w:rsidP="00E624FD">
            <w:pPr>
              <w:jc w:val="center"/>
              <w:rPr>
                <w:rFonts w:cs="Arial"/>
                <w:sz w:val="20"/>
                <w:szCs w:val="22"/>
              </w:rPr>
            </w:pPr>
          </w:p>
        </w:tc>
        <w:tc>
          <w:tcPr>
            <w:tcW w:w="1080" w:type="dxa"/>
            <w:vMerge/>
            <w:tcBorders>
              <w:left w:val="single" w:sz="4" w:space="0" w:color="000000"/>
              <w:bottom w:val="single" w:sz="12" w:space="0" w:color="auto"/>
              <w:right w:val="single" w:sz="4" w:space="0" w:color="000000"/>
            </w:tcBorders>
            <w:vAlign w:val="center"/>
          </w:tcPr>
          <w:p w14:paraId="0ECEA352" w14:textId="77777777" w:rsidR="00F83EFB" w:rsidRPr="00CB6C59" w:rsidRDefault="00F83EFB" w:rsidP="00E624FD">
            <w:pPr>
              <w:jc w:val="center"/>
              <w:rPr>
                <w:rFonts w:cs="Arial"/>
                <w:sz w:val="20"/>
                <w:szCs w:val="22"/>
              </w:rPr>
            </w:pPr>
          </w:p>
        </w:tc>
        <w:tc>
          <w:tcPr>
            <w:tcW w:w="1795" w:type="dxa"/>
            <w:vMerge/>
            <w:tcBorders>
              <w:left w:val="single" w:sz="4" w:space="0" w:color="000000"/>
              <w:bottom w:val="single" w:sz="12" w:space="0" w:color="auto"/>
              <w:right w:val="single" w:sz="12" w:space="0" w:color="auto"/>
            </w:tcBorders>
            <w:vAlign w:val="center"/>
          </w:tcPr>
          <w:p w14:paraId="285C316B" w14:textId="77777777" w:rsidR="00F83EFB" w:rsidRPr="00CB6C59" w:rsidRDefault="00F83EFB" w:rsidP="00E624FD">
            <w:pPr>
              <w:jc w:val="center"/>
              <w:rPr>
                <w:rFonts w:cs="Arial"/>
                <w:sz w:val="20"/>
                <w:szCs w:val="22"/>
              </w:rPr>
            </w:pPr>
          </w:p>
        </w:tc>
      </w:tr>
    </w:tbl>
    <w:p w14:paraId="0D18126C" w14:textId="665D98C0" w:rsidR="00E624FD" w:rsidRPr="00CB6C59" w:rsidRDefault="00E624FD" w:rsidP="00007815">
      <w:pPr>
        <w:pStyle w:val="IndentHeader1"/>
        <w:spacing w:before="120" w:after="120" w:line="276" w:lineRule="auto"/>
        <w:rPr>
          <w:rFonts w:ascii="Arial" w:hAnsi="Arial" w:cs="Arial"/>
          <w:sz w:val="22"/>
          <w:szCs w:val="22"/>
        </w:rPr>
      </w:pPr>
      <w:r w:rsidRPr="00CB6C59">
        <w:rPr>
          <w:rFonts w:ascii="Arial" w:hAnsi="Arial" w:cs="Arial"/>
          <w:sz w:val="22"/>
          <w:szCs w:val="22"/>
        </w:rPr>
        <w:t xml:space="preserve">Subjects will receive a total of three intramuscular study injections at the Day 0, Day 28, and Day 112 visits. Safety assessments will be performed 1, 3, 7, 14, and 28 days after each study injection. Subjects will remain in follow-up for six months after the last study injection. This study is being conducted at the South African Tuberculosis Vaccine Initiative (SATVI) located in Worcester, South Africa (Clinicaltrials.gov identifier: </w:t>
      </w:r>
      <w:r w:rsidRPr="000D7A81">
        <w:rPr>
          <w:rFonts w:ascii="Arial" w:hAnsi="Arial" w:cs="Arial"/>
          <w:sz w:val="22"/>
          <w:szCs w:val="22"/>
        </w:rPr>
        <w:t>NCT</w:t>
      </w:r>
      <w:r w:rsidRPr="00CB6C59">
        <w:rPr>
          <w:rFonts w:ascii="Arial" w:hAnsi="Arial" w:cs="Arial"/>
          <w:sz w:val="22"/>
          <w:szCs w:val="22"/>
        </w:rPr>
        <w:t>01927159).</w:t>
      </w:r>
    </w:p>
    <w:p w14:paraId="6F87794C" w14:textId="77777777" w:rsidR="00E624FD" w:rsidRPr="00CB6C59" w:rsidRDefault="00E624FD" w:rsidP="00007815">
      <w:pPr>
        <w:pStyle w:val="IndentHeader1"/>
        <w:spacing w:before="120" w:after="120" w:line="276" w:lineRule="auto"/>
        <w:rPr>
          <w:rFonts w:ascii="Arial" w:hAnsi="Arial" w:cs="Arial"/>
          <w:sz w:val="22"/>
          <w:szCs w:val="22"/>
        </w:rPr>
      </w:pPr>
      <w:r w:rsidRPr="00CB6C59">
        <w:rPr>
          <w:rFonts w:ascii="Arial" w:hAnsi="Arial" w:cs="Arial"/>
          <w:sz w:val="22"/>
          <w:szCs w:val="22"/>
        </w:rPr>
        <w:t xml:space="preserve">As of the data cut-off date of 05MAY2014, 8 of 12 subjects in Cohort 1 have completed the Day 112 visit (received all three injections) and 17 of 18 subjects in Cohort 2 have completed the Day 28 visit (received two of the three injections). Enrollment of Cohort 3 is pending review of all safety data through the Day 35 visit for Cohort 2. The preliminary safety data is summarized below. </w:t>
      </w:r>
    </w:p>
    <w:p w14:paraId="3B453E10" w14:textId="77777777" w:rsidR="00E624FD" w:rsidRPr="00CB6C59" w:rsidRDefault="00E624FD" w:rsidP="00007815">
      <w:pPr>
        <w:pStyle w:val="IndentHeader1"/>
        <w:spacing w:before="120" w:after="120" w:line="276" w:lineRule="auto"/>
        <w:rPr>
          <w:rFonts w:ascii="Arial" w:hAnsi="Arial" w:cs="Arial"/>
          <w:sz w:val="22"/>
          <w:szCs w:val="22"/>
        </w:rPr>
      </w:pPr>
      <w:r w:rsidRPr="00CB6C59">
        <w:rPr>
          <w:rFonts w:ascii="Arial" w:hAnsi="Arial" w:cs="Arial"/>
          <w:sz w:val="22"/>
          <w:szCs w:val="22"/>
        </w:rPr>
        <w:t>The safety data is blinded within each cohort with respect to whether the vaccine or saline placebo was administered; each column in the tables that follow is headed with the Cohort number and the dose of ID93 + GLA-SE or placebo.</w:t>
      </w:r>
    </w:p>
    <w:bookmarkEnd w:id="60"/>
    <w:bookmarkEnd w:id="61"/>
    <w:bookmarkEnd w:id="62"/>
    <w:bookmarkEnd w:id="63"/>
    <w:p w14:paraId="6A6AC367" w14:textId="77777777" w:rsidR="00E624FD" w:rsidRPr="00CB6C59" w:rsidRDefault="00E624FD" w:rsidP="00007815">
      <w:pPr>
        <w:pStyle w:val="IndentHeader2"/>
        <w:spacing w:before="120" w:after="120" w:line="276" w:lineRule="auto"/>
        <w:ind w:left="0"/>
        <w:rPr>
          <w:rFonts w:ascii="Arial" w:hAnsi="Arial" w:cs="Arial"/>
          <w:sz w:val="22"/>
          <w:szCs w:val="22"/>
        </w:rPr>
      </w:pPr>
      <w:r w:rsidRPr="00CB6C59">
        <w:rPr>
          <w:rFonts w:ascii="Arial" w:hAnsi="Arial" w:cs="Arial"/>
          <w:sz w:val="22"/>
          <w:szCs w:val="22"/>
        </w:rPr>
        <w:t>There have been no Grade 3 or 4 adverse events and no AESIs or deaths. No subjects have withdrawn for any reason.</w:t>
      </w:r>
    </w:p>
    <w:p w14:paraId="1CD72D39" w14:textId="77777777" w:rsidR="00E624FD" w:rsidRPr="00CB6C59" w:rsidRDefault="00E624FD" w:rsidP="00007815">
      <w:pPr>
        <w:pStyle w:val="IndentHeader2"/>
        <w:spacing w:before="120" w:after="120" w:line="276" w:lineRule="auto"/>
        <w:ind w:left="0"/>
        <w:rPr>
          <w:rFonts w:ascii="Arial" w:hAnsi="Arial" w:cs="Arial"/>
          <w:sz w:val="22"/>
          <w:szCs w:val="22"/>
        </w:rPr>
      </w:pPr>
      <w:r w:rsidRPr="00CB6C59">
        <w:rPr>
          <w:rFonts w:ascii="Arial" w:hAnsi="Arial" w:cs="Arial"/>
          <w:sz w:val="22"/>
          <w:szCs w:val="22"/>
        </w:rPr>
        <w:t xml:space="preserve">One SAE was reported for a subject who experienced a pregnancy with abnormal outcome. The subject revealed to the PI at Day 119 that she had a miscarriage on 23APR2014 (Study Day 100) followed by dilation and curettage at her private physician’s office. The subject had negative pregnancy tests on Days 0, 28, and 112 and received all three study injections on those days. The PI made a final diagnosis of incomplete spontaneous abortion that is unlikely to be related to the investigational product, due to prior history of ectopic pregnancy, dysmenorrhea, and menorrhagia. </w:t>
      </w:r>
    </w:p>
    <w:p w14:paraId="05EE9F47" w14:textId="4BF21124" w:rsidR="00E624FD" w:rsidRPr="00CB6C59" w:rsidRDefault="00E624FD" w:rsidP="00007815">
      <w:pPr>
        <w:autoSpaceDE w:val="0"/>
        <w:autoSpaceDN w:val="0"/>
        <w:spacing w:before="120" w:after="120" w:line="276" w:lineRule="auto"/>
        <w:rPr>
          <w:rFonts w:cs="Arial"/>
          <w:szCs w:val="22"/>
        </w:rPr>
      </w:pPr>
      <w:r w:rsidRPr="00CB6C59">
        <w:rPr>
          <w:rFonts w:cs="Arial"/>
          <w:szCs w:val="22"/>
        </w:rPr>
        <w:t>Local injection site adverse events are tabulated</w:t>
      </w:r>
      <w:r w:rsidRPr="00DD3316">
        <w:rPr>
          <w:rFonts w:cs="Arial"/>
          <w:szCs w:val="22"/>
        </w:rPr>
        <w:t xml:space="preserve"> in </w:t>
      </w:r>
      <w:r w:rsidRPr="0040275E">
        <w:rPr>
          <w:rFonts w:cs="Arial"/>
          <w:color w:val="0000FF"/>
          <w:szCs w:val="22"/>
        </w:rPr>
        <w:fldChar w:fldCharType="begin"/>
      </w:r>
      <w:r w:rsidRPr="0040275E">
        <w:rPr>
          <w:rFonts w:cs="Arial"/>
          <w:color w:val="0000FF"/>
          <w:szCs w:val="22"/>
        </w:rPr>
        <w:instrText xml:space="preserve"> REF  _Ref388606412 \h  \* MERGEFORMAT </w:instrText>
      </w:r>
      <w:r w:rsidRPr="0040275E">
        <w:rPr>
          <w:rFonts w:cs="Arial"/>
          <w:color w:val="0000FF"/>
          <w:szCs w:val="22"/>
        </w:rPr>
      </w:r>
      <w:r w:rsidRPr="0040275E">
        <w:rPr>
          <w:rFonts w:cs="Arial"/>
          <w:color w:val="0000FF"/>
          <w:szCs w:val="22"/>
        </w:rPr>
        <w:fldChar w:fldCharType="separate"/>
      </w:r>
      <w:r w:rsidR="00024E24" w:rsidRPr="00024E24">
        <w:rPr>
          <w:rFonts w:cs="Arial"/>
          <w:color w:val="0000FF"/>
          <w:szCs w:val="22"/>
        </w:rPr>
        <w:t>Table 6</w:t>
      </w:r>
      <w:r w:rsidRPr="0040275E">
        <w:rPr>
          <w:rFonts w:cs="Arial"/>
          <w:color w:val="0000FF"/>
          <w:szCs w:val="22"/>
        </w:rPr>
        <w:fldChar w:fldCharType="end"/>
      </w:r>
      <w:r w:rsidRPr="00DD3316">
        <w:rPr>
          <w:rFonts w:cs="Arial"/>
          <w:szCs w:val="22"/>
        </w:rPr>
        <w:t xml:space="preserve">. Local </w:t>
      </w:r>
      <w:r w:rsidRPr="00CB6C59">
        <w:rPr>
          <w:rFonts w:cs="Arial"/>
          <w:szCs w:val="22"/>
        </w:rPr>
        <w:t>reactions included mild to moderate injection site pain and induration. No erythema was noted. There were no Grade 3 or 4 local reactions.</w:t>
      </w:r>
    </w:p>
    <w:p w14:paraId="2E6129C8" w14:textId="25C647F5" w:rsidR="00E624FD" w:rsidRPr="00CB6C59" w:rsidRDefault="00E624FD" w:rsidP="00906CD6">
      <w:pPr>
        <w:pStyle w:val="Caption"/>
      </w:pPr>
      <w:bookmarkStart w:id="70" w:name="_Ref388606412"/>
      <w:bookmarkStart w:id="71" w:name="_Toc388606807"/>
      <w:bookmarkStart w:id="72" w:name="_Toc388606835"/>
      <w:bookmarkStart w:id="73" w:name="_Toc389130073"/>
      <w:bookmarkStart w:id="74" w:name="_Toc389130103"/>
      <w:bookmarkStart w:id="75" w:name="_Toc440906404"/>
      <w:r w:rsidRPr="00CB6C59">
        <w:t xml:space="preserve">Table </w:t>
      </w:r>
      <w:r w:rsidR="00024E24">
        <w:fldChar w:fldCharType="begin"/>
      </w:r>
      <w:r w:rsidR="00024E24">
        <w:instrText xml:space="preserve"> SEQ Table \* ARABIC </w:instrText>
      </w:r>
      <w:r w:rsidR="00024E24">
        <w:fldChar w:fldCharType="separate"/>
      </w:r>
      <w:r w:rsidR="00024E24">
        <w:rPr>
          <w:noProof/>
        </w:rPr>
        <w:t>6</w:t>
      </w:r>
      <w:r w:rsidR="00024E24">
        <w:rPr>
          <w:noProof/>
        </w:rPr>
        <w:fldChar w:fldCharType="end"/>
      </w:r>
      <w:bookmarkEnd w:id="70"/>
      <w:r w:rsidRPr="00CB6C59">
        <w:t>:</w:t>
      </w:r>
      <w:r w:rsidRPr="00CB6C59">
        <w:tab/>
        <w:t>IDRI-TBVPX-114: Incidence of Local Reactogenicity Adverse Events</w:t>
      </w:r>
      <w:bookmarkEnd w:id="71"/>
      <w:bookmarkEnd w:id="72"/>
      <w:bookmarkEnd w:id="73"/>
      <w:bookmarkEnd w:id="74"/>
      <w:bookmarkEnd w:id="75"/>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80"/>
        <w:gridCol w:w="720"/>
        <w:gridCol w:w="1440"/>
        <w:gridCol w:w="1440"/>
        <w:gridCol w:w="1440"/>
        <w:gridCol w:w="1440"/>
      </w:tblGrid>
      <w:tr w:rsidR="00E624FD" w:rsidRPr="00CB6C59" w14:paraId="002F7327" w14:textId="77777777" w:rsidTr="00E624FD">
        <w:trPr>
          <w:cantSplit/>
          <w:trHeight w:val="288"/>
          <w:tblHeader/>
          <w:jc w:val="center"/>
        </w:trPr>
        <w:tc>
          <w:tcPr>
            <w:tcW w:w="2880" w:type="dxa"/>
            <w:tcBorders>
              <w:top w:val="single" w:sz="12" w:space="0" w:color="auto"/>
              <w:bottom w:val="nil"/>
            </w:tcBorders>
            <w:shd w:val="clear" w:color="auto" w:fill="D9D9D9"/>
            <w:vAlign w:val="bottom"/>
          </w:tcPr>
          <w:p w14:paraId="608C9FF7" w14:textId="77777777" w:rsidR="00E624FD" w:rsidRPr="00CB6C59" w:rsidRDefault="00E624FD" w:rsidP="00E624FD">
            <w:pPr>
              <w:keepNext/>
              <w:autoSpaceDE w:val="0"/>
              <w:autoSpaceDN w:val="0"/>
              <w:adjustRightInd w:val="0"/>
              <w:rPr>
                <w:rFonts w:cs="Arial"/>
                <w:b/>
                <w:bCs/>
                <w:color w:val="000000"/>
                <w:sz w:val="20"/>
              </w:rPr>
            </w:pPr>
          </w:p>
        </w:tc>
        <w:tc>
          <w:tcPr>
            <w:tcW w:w="720" w:type="dxa"/>
            <w:tcBorders>
              <w:top w:val="single" w:sz="12" w:space="0" w:color="auto"/>
              <w:bottom w:val="nil"/>
            </w:tcBorders>
            <w:shd w:val="clear" w:color="auto" w:fill="D9D9D9"/>
            <w:vAlign w:val="bottom"/>
          </w:tcPr>
          <w:p w14:paraId="0DE1BD6C" w14:textId="77777777" w:rsidR="00E624FD" w:rsidRPr="00CB6C59" w:rsidRDefault="00E624FD" w:rsidP="00E624FD">
            <w:pPr>
              <w:keepNext/>
              <w:autoSpaceDE w:val="0"/>
              <w:autoSpaceDN w:val="0"/>
              <w:adjustRightInd w:val="0"/>
              <w:jc w:val="center"/>
              <w:rPr>
                <w:rFonts w:cs="Arial"/>
                <w:b/>
                <w:color w:val="000000"/>
                <w:sz w:val="20"/>
              </w:rPr>
            </w:pPr>
          </w:p>
        </w:tc>
        <w:tc>
          <w:tcPr>
            <w:tcW w:w="1440" w:type="dxa"/>
            <w:shd w:val="clear" w:color="auto" w:fill="D9D9D9"/>
            <w:vAlign w:val="center"/>
          </w:tcPr>
          <w:p w14:paraId="282C80EC"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1</w:t>
            </w:r>
          </w:p>
        </w:tc>
        <w:tc>
          <w:tcPr>
            <w:tcW w:w="1440" w:type="dxa"/>
            <w:shd w:val="clear" w:color="auto" w:fill="D9D9D9"/>
            <w:vAlign w:val="center"/>
          </w:tcPr>
          <w:p w14:paraId="4E5AA969"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2</w:t>
            </w:r>
          </w:p>
        </w:tc>
        <w:tc>
          <w:tcPr>
            <w:tcW w:w="1440" w:type="dxa"/>
            <w:shd w:val="clear" w:color="auto" w:fill="D9D9D9"/>
            <w:vAlign w:val="center"/>
          </w:tcPr>
          <w:p w14:paraId="07220C85"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3</w:t>
            </w:r>
          </w:p>
        </w:tc>
        <w:tc>
          <w:tcPr>
            <w:tcW w:w="1440" w:type="dxa"/>
            <w:shd w:val="clear" w:color="auto" w:fill="D9D9D9"/>
            <w:vAlign w:val="center"/>
          </w:tcPr>
          <w:p w14:paraId="404708F5"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4</w:t>
            </w:r>
          </w:p>
        </w:tc>
      </w:tr>
      <w:tr w:rsidR="00E624FD" w:rsidRPr="00CB6C59" w14:paraId="3E1F2F79" w14:textId="77777777" w:rsidTr="00E624FD">
        <w:trPr>
          <w:cantSplit/>
          <w:trHeight w:val="288"/>
          <w:tblHeader/>
          <w:jc w:val="center"/>
        </w:trPr>
        <w:tc>
          <w:tcPr>
            <w:tcW w:w="2880" w:type="dxa"/>
            <w:tcBorders>
              <w:top w:val="nil"/>
              <w:bottom w:val="single" w:sz="4" w:space="0" w:color="auto"/>
            </w:tcBorders>
            <w:shd w:val="clear" w:color="auto" w:fill="D9D9D9"/>
            <w:vAlign w:val="bottom"/>
          </w:tcPr>
          <w:p w14:paraId="376151F8" w14:textId="77777777" w:rsidR="00E624FD" w:rsidRPr="00CB6C59" w:rsidRDefault="00E624FD" w:rsidP="00E624FD">
            <w:pPr>
              <w:keepNext/>
              <w:autoSpaceDE w:val="0"/>
              <w:autoSpaceDN w:val="0"/>
              <w:adjustRightInd w:val="0"/>
              <w:rPr>
                <w:rFonts w:cs="Arial"/>
                <w:b/>
                <w:bCs/>
                <w:color w:val="000000"/>
                <w:sz w:val="20"/>
              </w:rPr>
            </w:pPr>
            <w:r w:rsidRPr="00CB6C59">
              <w:rPr>
                <w:rFonts w:cs="Arial"/>
                <w:b/>
                <w:bCs/>
                <w:color w:val="000000"/>
                <w:sz w:val="20"/>
              </w:rPr>
              <w:t>Finding</w:t>
            </w:r>
          </w:p>
        </w:tc>
        <w:tc>
          <w:tcPr>
            <w:tcW w:w="720" w:type="dxa"/>
            <w:tcBorders>
              <w:top w:val="nil"/>
              <w:bottom w:val="single" w:sz="4" w:space="0" w:color="auto"/>
            </w:tcBorders>
            <w:shd w:val="clear" w:color="auto" w:fill="D9D9D9"/>
            <w:vAlign w:val="bottom"/>
          </w:tcPr>
          <w:p w14:paraId="2B9276C8" w14:textId="77777777" w:rsidR="00E624FD" w:rsidRPr="00CB6C59" w:rsidRDefault="00E624FD" w:rsidP="00E624FD">
            <w:pPr>
              <w:keepNext/>
              <w:autoSpaceDE w:val="0"/>
              <w:autoSpaceDN w:val="0"/>
              <w:adjustRightInd w:val="0"/>
              <w:jc w:val="center"/>
              <w:rPr>
                <w:rFonts w:cs="Arial"/>
                <w:b/>
                <w:color w:val="000000"/>
                <w:sz w:val="20"/>
              </w:rPr>
            </w:pPr>
            <w:r w:rsidRPr="00CB6C59">
              <w:rPr>
                <w:rFonts w:cs="Arial"/>
                <w:b/>
                <w:color w:val="000000"/>
                <w:sz w:val="20"/>
              </w:rPr>
              <w:t>Grade</w:t>
            </w:r>
          </w:p>
        </w:tc>
        <w:tc>
          <w:tcPr>
            <w:tcW w:w="1440" w:type="dxa"/>
            <w:shd w:val="clear" w:color="auto" w:fill="D9D9D9"/>
            <w:vAlign w:val="center"/>
          </w:tcPr>
          <w:p w14:paraId="2CE396CC"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10 µg ID93 +</w:t>
            </w:r>
          </w:p>
          <w:p w14:paraId="321CD62B"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 xml:space="preserve">2 µg GLA-SE </w:t>
            </w:r>
          </w:p>
          <w:p w14:paraId="17510318"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or placebo</w:t>
            </w:r>
            <w:r w:rsidRPr="00CB6C59">
              <w:rPr>
                <w:rFonts w:cs="Arial"/>
                <w:b/>
                <w:bCs/>
                <w:color w:val="000000"/>
                <w:sz w:val="20"/>
              </w:rPr>
              <w:br/>
              <w:t>(QFT-)</w:t>
            </w:r>
          </w:p>
          <w:p w14:paraId="19F07089"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(n=12)</w:t>
            </w:r>
          </w:p>
        </w:tc>
        <w:tc>
          <w:tcPr>
            <w:tcW w:w="1440" w:type="dxa"/>
            <w:shd w:val="clear" w:color="auto" w:fill="D9D9D9"/>
            <w:vAlign w:val="center"/>
          </w:tcPr>
          <w:p w14:paraId="3819EFD1"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2 µg ID93 +</w:t>
            </w:r>
          </w:p>
          <w:p w14:paraId="5611F9AB"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 xml:space="preserve">2 µg GLA-SE </w:t>
            </w:r>
          </w:p>
          <w:p w14:paraId="0AA3FFAC"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or placebo</w:t>
            </w:r>
            <w:r w:rsidRPr="00CB6C59">
              <w:rPr>
                <w:rFonts w:cs="Arial"/>
                <w:b/>
                <w:bCs/>
                <w:color w:val="000000"/>
                <w:sz w:val="20"/>
              </w:rPr>
              <w:br/>
              <w:t xml:space="preserve">(QFT+/-) </w:t>
            </w:r>
          </w:p>
          <w:p w14:paraId="50942833"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(n=18)</w:t>
            </w:r>
          </w:p>
        </w:tc>
        <w:tc>
          <w:tcPr>
            <w:tcW w:w="1440" w:type="dxa"/>
            <w:shd w:val="clear" w:color="auto" w:fill="D9D9D9"/>
            <w:vAlign w:val="center"/>
          </w:tcPr>
          <w:p w14:paraId="5ED707A3"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10 µg ID93 +</w:t>
            </w:r>
          </w:p>
          <w:p w14:paraId="7A4CF39E"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 xml:space="preserve">2 µg GLA-SE </w:t>
            </w:r>
          </w:p>
          <w:p w14:paraId="752AFAD1"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or placebo</w:t>
            </w:r>
            <w:r w:rsidRPr="00CB6C59">
              <w:rPr>
                <w:rFonts w:cs="Arial"/>
                <w:b/>
                <w:bCs/>
                <w:color w:val="000000"/>
                <w:sz w:val="20"/>
              </w:rPr>
              <w:br/>
              <w:t xml:space="preserve">(QFT+/-) </w:t>
            </w:r>
          </w:p>
          <w:p w14:paraId="0CE51EE3"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(n= )</w:t>
            </w:r>
          </w:p>
        </w:tc>
        <w:tc>
          <w:tcPr>
            <w:tcW w:w="1440" w:type="dxa"/>
            <w:shd w:val="clear" w:color="auto" w:fill="D9D9D9"/>
            <w:vAlign w:val="center"/>
          </w:tcPr>
          <w:p w14:paraId="4CDEA0CA"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10 µg ID93 +</w:t>
            </w:r>
          </w:p>
          <w:p w14:paraId="13CB3350"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 xml:space="preserve">5 µg GLA-SE </w:t>
            </w:r>
          </w:p>
          <w:p w14:paraId="757C33F0"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or placebo</w:t>
            </w:r>
            <w:r w:rsidRPr="00CB6C59">
              <w:rPr>
                <w:rFonts w:cs="Arial"/>
                <w:b/>
                <w:bCs/>
                <w:color w:val="000000"/>
                <w:sz w:val="20"/>
              </w:rPr>
              <w:br/>
              <w:t xml:space="preserve">(QFT+/-) </w:t>
            </w:r>
          </w:p>
          <w:p w14:paraId="38E18103"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(n= )</w:t>
            </w:r>
          </w:p>
        </w:tc>
      </w:tr>
      <w:tr w:rsidR="00E624FD" w:rsidRPr="00CB6C59" w14:paraId="57F70C3D" w14:textId="77777777" w:rsidTr="00E624FD">
        <w:trPr>
          <w:cantSplit/>
          <w:trHeight w:val="288"/>
          <w:jc w:val="center"/>
        </w:trPr>
        <w:tc>
          <w:tcPr>
            <w:tcW w:w="2880" w:type="dxa"/>
            <w:tcBorders>
              <w:top w:val="single" w:sz="4" w:space="0" w:color="auto"/>
              <w:bottom w:val="nil"/>
            </w:tcBorders>
            <w:shd w:val="clear" w:color="auto" w:fill="FFFFFF"/>
            <w:vAlign w:val="center"/>
          </w:tcPr>
          <w:p w14:paraId="4D6D1790"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Injection site erythema</w:t>
            </w:r>
          </w:p>
        </w:tc>
        <w:tc>
          <w:tcPr>
            <w:tcW w:w="720" w:type="dxa"/>
            <w:tcBorders>
              <w:top w:val="single" w:sz="4" w:space="0" w:color="auto"/>
            </w:tcBorders>
            <w:shd w:val="clear" w:color="auto" w:fill="FFFFFF"/>
            <w:vAlign w:val="center"/>
          </w:tcPr>
          <w:p w14:paraId="6D2DCAA6"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w:t>
            </w:r>
          </w:p>
        </w:tc>
        <w:tc>
          <w:tcPr>
            <w:tcW w:w="1440" w:type="dxa"/>
            <w:shd w:val="clear" w:color="auto" w:fill="FFFFFF"/>
            <w:vAlign w:val="center"/>
          </w:tcPr>
          <w:p w14:paraId="10C42C42"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50E28D4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1E53E56B" w14:textId="77777777" w:rsidR="00E624FD" w:rsidRPr="00CB6C59" w:rsidRDefault="00E624FD" w:rsidP="00E624FD">
            <w:pPr>
              <w:keepNext/>
              <w:autoSpaceDE w:val="0"/>
              <w:autoSpaceDN w:val="0"/>
              <w:adjustRightInd w:val="0"/>
              <w:jc w:val="center"/>
              <w:rPr>
                <w:rFonts w:cs="Arial"/>
                <w:color w:val="000000"/>
                <w:sz w:val="20"/>
              </w:rPr>
            </w:pPr>
          </w:p>
        </w:tc>
        <w:tc>
          <w:tcPr>
            <w:tcW w:w="1440" w:type="dxa"/>
            <w:shd w:val="clear" w:color="auto" w:fill="FFFFFF"/>
            <w:vAlign w:val="center"/>
          </w:tcPr>
          <w:p w14:paraId="13950BEC"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05F65EEA" w14:textId="77777777" w:rsidTr="00E624FD">
        <w:trPr>
          <w:cantSplit/>
          <w:trHeight w:val="288"/>
          <w:jc w:val="center"/>
        </w:trPr>
        <w:tc>
          <w:tcPr>
            <w:tcW w:w="2880" w:type="dxa"/>
            <w:tcBorders>
              <w:top w:val="single" w:sz="4" w:space="0" w:color="auto"/>
              <w:bottom w:val="nil"/>
            </w:tcBorders>
            <w:shd w:val="clear" w:color="auto" w:fill="FFFFFF"/>
            <w:vAlign w:val="center"/>
          </w:tcPr>
          <w:p w14:paraId="3B9D6025"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Injection site pain</w:t>
            </w:r>
          </w:p>
        </w:tc>
        <w:tc>
          <w:tcPr>
            <w:tcW w:w="720" w:type="dxa"/>
            <w:shd w:val="clear" w:color="auto" w:fill="FFFFFF"/>
            <w:vAlign w:val="center"/>
          </w:tcPr>
          <w:p w14:paraId="1F7E3912"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shd w:val="clear" w:color="auto" w:fill="FFFFFF"/>
            <w:vAlign w:val="center"/>
          </w:tcPr>
          <w:p w14:paraId="486021E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5 (41.7%)</w:t>
            </w:r>
          </w:p>
        </w:tc>
        <w:tc>
          <w:tcPr>
            <w:tcW w:w="1440" w:type="dxa"/>
            <w:shd w:val="clear" w:color="auto" w:fill="FFFFFF"/>
            <w:vAlign w:val="center"/>
          </w:tcPr>
          <w:p w14:paraId="2B01AE3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12 (66.7%)</w:t>
            </w:r>
          </w:p>
        </w:tc>
        <w:tc>
          <w:tcPr>
            <w:tcW w:w="1440" w:type="dxa"/>
            <w:shd w:val="clear" w:color="auto" w:fill="FFFFFF"/>
            <w:vAlign w:val="center"/>
          </w:tcPr>
          <w:p w14:paraId="7A85C4F4" w14:textId="77777777" w:rsidR="00E624FD" w:rsidRPr="00CB6C59" w:rsidRDefault="00E624FD" w:rsidP="00E624FD">
            <w:pPr>
              <w:keepNext/>
              <w:autoSpaceDE w:val="0"/>
              <w:autoSpaceDN w:val="0"/>
              <w:adjustRightInd w:val="0"/>
              <w:jc w:val="center"/>
              <w:rPr>
                <w:rFonts w:cs="Arial"/>
                <w:color w:val="000000"/>
                <w:sz w:val="20"/>
              </w:rPr>
            </w:pPr>
          </w:p>
        </w:tc>
        <w:tc>
          <w:tcPr>
            <w:tcW w:w="1440" w:type="dxa"/>
            <w:shd w:val="clear" w:color="auto" w:fill="FFFFFF"/>
            <w:vAlign w:val="center"/>
          </w:tcPr>
          <w:p w14:paraId="78E1B554"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5337E8BC" w14:textId="77777777" w:rsidTr="00E624FD">
        <w:trPr>
          <w:cantSplit/>
          <w:trHeight w:val="288"/>
          <w:jc w:val="center"/>
        </w:trPr>
        <w:tc>
          <w:tcPr>
            <w:tcW w:w="2880" w:type="dxa"/>
            <w:tcBorders>
              <w:top w:val="nil"/>
              <w:bottom w:val="single" w:sz="4" w:space="0" w:color="auto"/>
            </w:tcBorders>
            <w:shd w:val="clear" w:color="auto" w:fill="FFFFFF"/>
            <w:vAlign w:val="center"/>
          </w:tcPr>
          <w:p w14:paraId="57A3F32D" w14:textId="77777777" w:rsidR="00E624FD" w:rsidRPr="00CB6C59" w:rsidRDefault="00E624FD" w:rsidP="00E624FD">
            <w:pPr>
              <w:keepNext/>
              <w:autoSpaceDE w:val="0"/>
              <w:autoSpaceDN w:val="0"/>
              <w:adjustRightInd w:val="0"/>
              <w:ind w:left="90"/>
              <w:rPr>
                <w:rFonts w:cs="Arial"/>
                <w:color w:val="000000"/>
                <w:sz w:val="20"/>
              </w:rPr>
            </w:pPr>
          </w:p>
        </w:tc>
        <w:tc>
          <w:tcPr>
            <w:tcW w:w="720" w:type="dxa"/>
            <w:shd w:val="clear" w:color="auto" w:fill="FFFFFF"/>
            <w:vAlign w:val="center"/>
          </w:tcPr>
          <w:p w14:paraId="47B4D9B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440" w:type="dxa"/>
            <w:shd w:val="clear" w:color="auto" w:fill="FFFFFF"/>
            <w:vAlign w:val="center"/>
          </w:tcPr>
          <w:p w14:paraId="00112F8E"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(8.3%)</w:t>
            </w:r>
          </w:p>
        </w:tc>
        <w:tc>
          <w:tcPr>
            <w:tcW w:w="1440" w:type="dxa"/>
            <w:shd w:val="clear" w:color="auto" w:fill="FFFFFF"/>
            <w:vAlign w:val="center"/>
          </w:tcPr>
          <w:p w14:paraId="2E5A078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 (16.7%)</w:t>
            </w:r>
          </w:p>
        </w:tc>
        <w:tc>
          <w:tcPr>
            <w:tcW w:w="1440" w:type="dxa"/>
            <w:shd w:val="clear" w:color="auto" w:fill="FFFFFF"/>
            <w:vAlign w:val="center"/>
          </w:tcPr>
          <w:p w14:paraId="4EE038BD" w14:textId="77777777" w:rsidR="00E624FD" w:rsidRPr="00CB6C59" w:rsidRDefault="00E624FD" w:rsidP="00E624FD">
            <w:pPr>
              <w:keepNext/>
              <w:autoSpaceDE w:val="0"/>
              <w:autoSpaceDN w:val="0"/>
              <w:adjustRightInd w:val="0"/>
              <w:jc w:val="center"/>
              <w:rPr>
                <w:rFonts w:cs="Arial"/>
                <w:color w:val="000000"/>
                <w:sz w:val="20"/>
              </w:rPr>
            </w:pPr>
          </w:p>
        </w:tc>
        <w:tc>
          <w:tcPr>
            <w:tcW w:w="1440" w:type="dxa"/>
            <w:shd w:val="clear" w:color="auto" w:fill="FFFFFF"/>
            <w:vAlign w:val="center"/>
          </w:tcPr>
          <w:p w14:paraId="0AED7897"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24046CB5" w14:textId="77777777" w:rsidTr="00E624FD">
        <w:trPr>
          <w:cantSplit/>
          <w:trHeight w:val="288"/>
          <w:jc w:val="center"/>
        </w:trPr>
        <w:tc>
          <w:tcPr>
            <w:tcW w:w="2880" w:type="dxa"/>
            <w:tcBorders>
              <w:top w:val="single" w:sz="4" w:space="0" w:color="auto"/>
              <w:bottom w:val="nil"/>
            </w:tcBorders>
            <w:shd w:val="clear" w:color="auto" w:fill="FFFFFF"/>
            <w:vAlign w:val="center"/>
          </w:tcPr>
          <w:p w14:paraId="22E850C3"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Injection site induration</w:t>
            </w:r>
          </w:p>
        </w:tc>
        <w:tc>
          <w:tcPr>
            <w:tcW w:w="720" w:type="dxa"/>
            <w:tcBorders>
              <w:top w:val="single" w:sz="4" w:space="0" w:color="auto"/>
              <w:bottom w:val="single" w:sz="4" w:space="0" w:color="auto"/>
            </w:tcBorders>
            <w:shd w:val="clear" w:color="auto" w:fill="FFFFFF"/>
            <w:vAlign w:val="center"/>
          </w:tcPr>
          <w:p w14:paraId="456F01DC"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tcBorders>
              <w:top w:val="single" w:sz="4" w:space="0" w:color="auto"/>
              <w:bottom w:val="single" w:sz="4" w:space="0" w:color="auto"/>
            </w:tcBorders>
            <w:shd w:val="clear" w:color="auto" w:fill="FFFFFF"/>
            <w:vAlign w:val="center"/>
          </w:tcPr>
          <w:p w14:paraId="4EA7378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tcBorders>
              <w:top w:val="single" w:sz="4" w:space="0" w:color="auto"/>
              <w:bottom w:val="single" w:sz="4" w:space="0" w:color="auto"/>
            </w:tcBorders>
            <w:shd w:val="clear" w:color="auto" w:fill="FFFFFF"/>
            <w:vAlign w:val="center"/>
          </w:tcPr>
          <w:p w14:paraId="000A1163"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(11.1%)</w:t>
            </w:r>
          </w:p>
        </w:tc>
        <w:tc>
          <w:tcPr>
            <w:tcW w:w="1440" w:type="dxa"/>
            <w:tcBorders>
              <w:top w:val="single" w:sz="4" w:space="0" w:color="auto"/>
              <w:bottom w:val="single" w:sz="4" w:space="0" w:color="auto"/>
            </w:tcBorders>
            <w:shd w:val="clear" w:color="auto" w:fill="FFFFFF"/>
            <w:vAlign w:val="center"/>
          </w:tcPr>
          <w:p w14:paraId="1D49A030" w14:textId="77777777" w:rsidR="00E624FD" w:rsidRPr="00CB6C59" w:rsidRDefault="00E624FD" w:rsidP="00E624FD">
            <w:pPr>
              <w:keepNext/>
              <w:autoSpaceDE w:val="0"/>
              <w:autoSpaceDN w:val="0"/>
              <w:adjustRightInd w:val="0"/>
              <w:jc w:val="center"/>
              <w:rPr>
                <w:rFonts w:cs="Arial"/>
                <w:color w:val="000000"/>
                <w:sz w:val="20"/>
              </w:rPr>
            </w:pPr>
          </w:p>
        </w:tc>
        <w:tc>
          <w:tcPr>
            <w:tcW w:w="1440" w:type="dxa"/>
            <w:tcBorders>
              <w:top w:val="single" w:sz="4" w:space="0" w:color="auto"/>
              <w:bottom w:val="single" w:sz="4" w:space="0" w:color="auto"/>
            </w:tcBorders>
            <w:shd w:val="clear" w:color="auto" w:fill="FFFFFF"/>
            <w:vAlign w:val="center"/>
          </w:tcPr>
          <w:p w14:paraId="2C932523"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572F38A9" w14:textId="77777777" w:rsidTr="00E624FD">
        <w:trPr>
          <w:cantSplit/>
          <w:trHeight w:val="288"/>
          <w:jc w:val="center"/>
        </w:trPr>
        <w:tc>
          <w:tcPr>
            <w:tcW w:w="2880" w:type="dxa"/>
            <w:tcBorders>
              <w:top w:val="nil"/>
              <w:bottom w:val="single" w:sz="12" w:space="0" w:color="auto"/>
            </w:tcBorders>
            <w:shd w:val="clear" w:color="auto" w:fill="FFFFFF"/>
            <w:vAlign w:val="center"/>
          </w:tcPr>
          <w:p w14:paraId="58CB300C" w14:textId="77777777" w:rsidR="00E624FD" w:rsidRPr="00CB6C59" w:rsidRDefault="00E624FD" w:rsidP="00E624FD">
            <w:pPr>
              <w:keepNext/>
              <w:autoSpaceDE w:val="0"/>
              <w:autoSpaceDN w:val="0"/>
              <w:adjustRightInd w:val="0"/>
              <w:ind w:left="90"/>
              <w:rPr>
                <w:rFonts w:cs="Arial"/>
                <w:color w:val="000000"/>
                <w:sz w:val="20"/>
              </w:rPr>
            </w:pPr>
          </w:p>
        </w:tc>
        <w:tc>
          <w:tcPr>
            <w:tcW w:w="720" w:type="dxa"/>
            <w:tcBorders>
              <w:top w:val="single" w:sz="4" w:space="0" w:color="auto"/>
              <w:bottom w:val="single" w:sz="12" w:space="0" w:color="auto"/>
            </w:tcBorders>
            <w:shd w:val="clear" w:color="auto" w:fill="FFFFFF"/>
            <w:vAlign w:val="center"/>
          </w:tcPr>
          <w:p w14:paraId="05FF237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440" w:type="dxa"/>
            <w:tcBorders>
              <w:top w:val="single" w:sz="4" w:space="0" w:color="auto"/>
              <w:bottom w:val="single" w:sz="12" w:space="0" w:color="auto"/>
            </w:tcBorders>
            <w:shd w:val="clear" w:color="auto" w:fill="FFFFFF"/>
            <w:vAlign w:val="center"/>
          </w:tcPr>
          <w:p w14:paraId="28003D4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tcBorders>
              <w:top w:val="single" w:sz="4" w:space="0" w:color="auto"/>
              <w:bottom w:val="single" w:sz="12" w:space="0" w:color="auto"/>
            </w:tcBorders>
            <w:shd w:val="clear" w:color="auto" w:fill="FFFFFF"/>
            <w:vAlign w:val="center"/>
          </w:tcPr>
          <w:p w14:paraId="2C3CD891"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 (16.7%)</w:t>
            </w:r>
          </w:p>
        </w:tc>
        <w:tc>
          <w:tcPr>
            <w:tcW w:w="1440" w:type="dxa"/>
            <w:tcBorders>
              <w:top w:val="single" w:sz="4" w:space="0" w:color="auto"/>
              <w:bottom w:val="single" w:sz="12" w:space="0" w:color="auto"/>
            </w:tcBorders>
            <w:shd w:val="clear" w:color="auto" w:fill="FFFFFF"/>
            <w:vAlign w:val="center"/>
          </w:tcPr>
          <w:p w14:paraId="354CF67D" w14:textId="77777777" w:rsidR="00E624FD" w:rsidRPr="00CB6C59" w:rsidRDefault="00E624FD" w:rsidP="00E624FD">
            <w:pPr>
              <w:keepNext/>
              <w:autoSpaceDE w:val="0"/>
              <w:autoSpaceDN w:val="0"/>
              <w:adjustRightInd w:val="0"/>
              <w:jc w:val="center"/>
              <w:rPr>
                <w:rFonts w:cs="Arial"/>
                <w:color w:val="000000"/>
                <w:sz w:val="20"/>
              </w:rPr>
            </w:pPr>
          </w:p>
        </w:tc>
        <w:tc>
          <w:tcPr>
            <w:tcW w:w="1440" w:type="dxa"/>
            <w:tcBorders>
              <w:top w:val="single" w:sz="4" w:space="0" w:color="auto"/>
              <w:bottom w:val="single" w:sz="12" w:space="0" w:color="auto"/>
            </w:tcBorders>
            <w:shd w:val="clear" w:color="auto" w:fill="FFFFFF"/>
            <w:vAlign w:val="center"/>
          </w:tcPr>
          <w:p w14:paraId="6498DBA5" w14:textId="77777777" w:rsidR="00E624FD" w:rsidRPr="00CB6C59" w:rsidRDefault="00E624FD" w:rsidP="00E624FD">
            <w:pPr>
              <w:keepNext/>
              <w:autoSpaceDE w:val="0"/>
              <w:autoSpaceDN w:val="0"/>
              <w:adjustRightInd w:val="0"/>
              <w:jc w:val="center"/>
              <w:rPr>
                <w:rFonts w:cs="Arial"/>
                <w:color w:val="000000"/>
                <w:sz w:val="20"/>
              </w:rPr>
            </w:pPr>
          </w:p>
        </w:tc>
      </w:tr>
    </w:tbl>
    <w:p w14:paraId="499D7E91" w14:textId="77777777" w:rsidR="00E624FD" w:rsidRPr="00CB6C59" w:rsidRDefault="00E624FD" w:rsidP="00E624FD">
      <w:pPr>
        <w:autoSpaceDE w:val="0"/>
        <w:autoSpaceDN w:val="0"/>
        <w:ind w:left="180"/>
        <w:rPr>
          <w:rFonts w:cs="Arial"/>
          <w:sz w:val="18"/>
          <w:szCs w:val="18"/>
        </w:rPr>
      </w:pPr>
      <w:r w:rsidRPr="00CB6C59">
        <w:rPr>
          <w:rFonts w:cs="Arial"/>
          <w:color w:val="000000"/>
          <w:sz w:val="18"/>
          <w:szCs w:val="18"/>
        </w:rPr>
        <w:t>Note: Highest severity per subject reported for each event</w:t>
      </w:r>
    </w:p>
    <w:p w14:paraId="3A0D4BFB" w14:textId="77777777" w:rsidR="00E624FD" w:rsidRPr="00CB6C59" w:rsidRDefault="00E624FD" w:rsidP="00E624FD">
      <w:pPr>
        <w:autoSpaceDE w:val="0"/>
        <w:autoSpaceDN w:val="0"/>
        <w:rPr>
          <w:rFonts w:cs="Arial"/>
          <w:szCs w:val="22"/>
          <w:highlight w:val="yellow"/>
        </w:rPr>
      </w:pPr>
    </w:p>
    <w:p w14:paraId="2B28A4B7" w14:textId="7A253FA9" w:rsidR="00E624FD" w:rsidRPr="00CB6C59" w:rsidRDefault="00E624FD" w:rsidP="00E624FD">
      <w:pPr>
        <w:autoSpaceDE w:val="0"/>
        <w:autoSpaceDN w:val="0"/>
        <w:rPr>
          <w:rFonts w:cs="Arial"/>
          <w:szCs w:val="22"/>
        </w:rPr>
      </w:pPr>
      <w:r w:rsidRPr="00CB6C59">
        <w:rPr>
          <w:rFonts w:cs="Arial"/>
          <w:szCs w:val="22"/>
        </w:rPr>
        <w:t>Solicited systemic reactogenicity AEs are summarized in</w:t>
      </w:r>
      <w:r w:rsidRPr="00DD3316">
        <w:rPr>
          <w:rFonts w:cs="Arial"/>
          <w:szCs w:val="22"/>
        </w:rPr>
        <w:t xml:space="preserve"> </w:t>
      </w:r>
      <w:r w:rsidRPr="0040275E">
        <w:rPr>
          <w:rFonts w:cs="Arial"/>
          <w:color w:val="0000FF"/>
          <w:szCs w:val="22"/>
        </w:rPr>
        <w:fldChar w:fldCharType="begin"/>
      </w:r>
      <w:r w:rsidRPr="0040275E">
        <w:rPr>
          <w:rFonts w:cs="Arial"/>
          <w:color w:val="0000FF"/>
          <w:szCs w:val="22"/>
        </w:rPr>
        <w:instrText xml:space="preserve"> REF  _Ref388606439 \h  \* MERGEFORMAT </w:instrText>
      </w:r>
      <w:r w:rsidRPr="0040275E">
        <w:rPr>
          <w:rFonts w:cs="Arial"/>
          <w:color w:val="0000FF"/>
          <w:szCs w:val="22"/>
        </w:rPr>
      </w:r>
      <w:r w:rsidRPr="0040275E">
        <w:rPr>
          <w:rFonts w:cs="Arial"/>
          <w:color w:val="0000FF"/>
          <w:szCs w:val="22"/>
        </w:rPr>
        <w:fldChar w:fldCharType="separate"/>
      </w:r>
      <w:r w:rsidR="00024E24" w:rsidRPr="00024E24">
        <w:rPr>
          <w:rFonts w:cs="Arial"/>
          <w:color w:val="0000FF"/>
          <w:szCs w:val="22"/>
        </w:rPr>
        <w:t>Table 7</w:t>
      </w:r>
      <w:r w:rsidRPr="0040275E">
        <w:rPr>
          <w:rFonts w:cs="Arial"/>
          <w:color w:val="0000FF"/>
          <w:szCs w:val="22"/>
        </w:rPr>
        <w:fldChar w:fldCharType="end"/>
      </w:r>
      <w:r w:rsidRPr="00DD3316">
        <w:rPr>
          <w:rFonts w:cs="Arial"/>
          <w:szCs w:val="22"/>
        </w:rPr>
        <w:t>. T</w:t>
      </w:r>
      <w:r w:rsidRPr="00CB6C59">
        <w:rPr>
          <w:rFonts w:cs="Arial"/>
          <w:szCs w:val="22"/>
        </w:rPr>
        <w:t>he most frequent systemic reaction was myalgia, followed by headache and fatigue/malaise. There were no Grade 3 or Grade 4 systemic reactions.</w:t>
      </w:r>
    </w:p>
    <w:p w14:paraId="5143D3BA" w14:textId="018C9908" w:rsidR="00E624FD" w:rsidRPr="00CB6C59" w:rsidRDefault="00E624FD" w:rsidP="00906CD6">
      <w:pPr>
        <w:pStyle w:val="Caption"/>
      </w:pPr>
      <w:bookmarkStart w:id="76" w:name="_Ref388606439"/>
      <w:bookmarkStart w:id="77" w:name="_Toc388606808"/>
      <w:bookmarkStart w:id="78" w:name="_Toc388606836"/>
      <w:bookmarkStart w:id="79" w:name="_Toc389130074"/>
      <w:bookmarkStart w:id="80" w:name="_Toc389130104"/>
      <w:bookmarkStart w:id="81" w:name="_Toc440906405"/>
      <w:r w:rsidRPr="00CB6C59">
        <w:t xml:space="preserve">Table </w:t>
      </w:r>
      <w:r w:rsidR="00024E24">
        <w:fldChar w:fldCharType="begin"/>
      </w:r>
      <w:r w:rsidR="00024E24">
        <w:instrText xml:space="preserve"> SEQ Table \* ARABIC </w:instrText>
      </w:r>
      <w:r w:rsidR="00024E24">
        <w:fldChar w:fldCharType="separate"/>
      </w:r>
      <w:r w:rsidR="00024E24">
        <w:rPr>
          <w:noProof/>
        </w:rPr>
        <w:t>7</w:t>
      </w:r>
      <w:r w:rsidR="00024E24">
        <w:rPr>
          <w:noProof/>
        </w:rPr>
        <w:fldChar w:fldCharType="end"/>
      </w:r>
      <w:bookmarkEnd w:id="76"/>
      <w:r w:rsidRPr="00CB6C59">
        <w:t>:</w:t>
      </w:r>
      <w:r w:rsidRPr="00CB6C59">
        <w:tab/>
        <w:t>IDRI-TBVPX-114: Incidence of Systemic Reactogenicity Adverse Events</w:t>
      </w:r>
      <w:bookmarkEnd w:id="77"/>
      <w:bookmarkEnd w:id="78"/>
      <w:bookmarkEnd w:id="79"/>
      <w:bookmarkEnd w:id="80"/>
      <w:bookmarkEnd w:id="81"/>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80"/>
        <w:gridCol w:w="720"/>
        <w:gridCol w:w="1440"/>
        <w:gridCol w:w="1440"/>
        <w:gridCol w:w="1440"/>
        <w:gridCol w:w="1440"/>
      </w:tblGrid>
      <w:tr w:rsidR="00E624FD" w:rsidRPr="00CB6C59" w14:paraId="727CF2E6" w14:textId="77777777" w:rsidTr="00E624FD">
        <w:trPr>
          <w:cantSplit/>
          <w:trHeight w:val="288"/>
          <w:tblHeader/>
          <w:jc w:val="center"/>
        </w:trPr>
        <w:tc>
          <w:tcPr>
            <w:tcW w:w="2880" w:type="dxa"/>
            <w:tcBorders>
              <w:top w:val="single" w:sz="12" w:space="0" w:color="auto"/>
              <w:bottom w:val="nil"/>
            </w:tcBorders>
            <w:shd w:val="clear" w:color="auto" w:fill="D9D9D9"/>
            <w:vAlign w:val="bottom"/>
          </w:tcPr>
          <w:p w14:paraId="321E58D8" w14:textId="77777777" w:rsidR="00E624FD" w:rsidRPr="00CB6C59" w:rsidRDefault="00E624FD" w:rsidP="00E624FD">
            <w:pPr>
              <w:keepNext/>
              <w:autoSpaceDE w:val="0"/>
              <w:autoSpaceDN w:val="0"/>
              <w:adjustRightInd w:val="0"/>
              <w:rPr>
                <w:rFonts w:cs="Arial"/>
                <w:b/>
                <w:bCs/>
                <w:color w:val="000000"/>
                <w:sz w:val="20"/>
              </w:rPr>
            </w:pPr>
          </w:p>
        </w:tc>
        <w:tc>
          <w:tcPr>
            <w:tcW w:w="720" w:type="dxa"/>
            <w:tcBorders>
              <w:top w:val="single" w:sz="12" w:space="0" w:color="auto"/>
              <w:bottom w:val="nil"/>
            </w:tcBorders>
            <w:shd w:val="clear" w:color="auto" w:fill="D9D9D9"/>
            <w:vAlign w:val="bottom"/>
          </w:tcPr>
          <w:p w14:paraId="51431AE1" w14:textId="77777777" w:rsidR="00E624FD" w:rsidRPr="00CB6C59" w:rsidRDefault="00E624FD" w:rsidP="00E624FD">
            <w:pPr>
              <w:keepNext/>
              <w:autoSpaceDE w:val="0"/>
              <w:autoSpaceDN w:val="0"/>
              <w:adjustRightInd w:val="0"/>
              <w:jc w:val="center"/>
              <w:rPr>
                <w:rFonts w:cs="Arial"/>
                <w:b/>
                <w:color w:val="000000"/>
                <w:sz w:val="20"/>
              </w:rPr>
            </w:pPr>
          </w:p>
        </w:tc>
        <w:tc>
          <w:tcPr>
            <w:tcW w:w="1440" w:type="dxa"/>
            <w:shd w:val="clear" w:color="auto" w:fill="D9D9D9"/>
            <w:vAlign w:val="center"/>
          </w:tcPr>
          <w:p w14:paraId="166AFD5C"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1</w:t>
            </w:r>
          </w:p>
        </w:tc>
        <w:tc>
          <w:tcPr>
            <w:tcW w:w="1440" w:type="dxa"/>
            <w:shd w:val="clear" w:color="auto" w:fill="D9D9D9"/>
            <w:vAlign w:val="center"/>
          </w:tcPr>
          <w:p w14:paraId="2186812C"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2</w:t>
            </w:r>
          </w:p>
        </w:tc>
        <w:tc>
          <w:tcPr>
            <w:tcW w:w="1440" w:type="dxa"/>
            <w:shd w:val="clear" w:color="auto" w:fill="D9D9D9"/>
            <w:vAlign w:val="center"/>
          </w:tcPr>
          <w:p w14:paraId="40164B27"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3</w:t>
            </w:r>
          </w:p>
        </w:tc>
        <w:tc>
          <w:tcPr>
            <w:tcW w:w="1440" w:type="dxa"/>
            <w:shd w:val="clear" w:color="auto" w:fill="D9D9D9"/>
            <w:vAlign w:val="center"/>
          </w:tcPr>
          <w:p w14:paraId="324DECAA"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4</w:t>
            </w:r>
          </w:p>
        </w:tc>
      </w:tr>
      <w:tr w:rsidR="00E624FD" w:rsidRPr="00CB6C59" w14:paraId="7DAE1A63" w14:textId="77777777" w:rsidTr="00E624FD">
        <w:trPr>
          <w:cantSplit/>
          <w:trHeight w:val="288"/>
          <w:tblHeader/>
          <w:jc w:val="center"/>
        </w:trPr>
        <w:tc>
          <w:tcPr>
            <w:tcW w:w="2880" w:type="dxa"/>
            <w:tcBorders>
              <w:top w:val="nil"/>
              <w:bottom w:val="single" w:sz="4" w:space="0" w:color="auto"/>
            </w:tcBorders>
            <w:shd w:val="clear" w:color="auto" w:fill="D9D9D9"/>
            <w:vAlign w:val="bottom"/>
          </w:tcPr>
          <w:p w14:paraId="3E7F43C9" w14:textId="77777777" w:rsidR="00E624FD" w:rsidRPr="00CB6C59" w:rsidRDefault="00E624FD" w:rsidP="00E624FD">
            <w:pPr>
              <w:keepNext/>
              <w:autoSpaceDE w:val="0"/>
              <w:autoSpaceDN w:val="0"/>
              <w:adjustRightInd w:val="0"/>
              <w:rPr>
                <w:rFonts w:cs="Arial"/>
                <w:b/>
                <w:bCs/>
                <w:color w:val="000000"/>
                <w:sz w:val="20"/>
              </w:rPr>
            </w:pPr>
            <w:r w:rsidRPr="00CB6C59">
              <w:rPr>
                <w:rFonts w:cs="Arial"/>
                <w:b/>
                <w:bCs/>
                <w:color w:val="000000"/>
                <w:sz w:val="20"/>
              </w:rPr>
              <w:t>Finding</w:t>
            </w:r>
          </w:p>
        </w:tc>
        <w:tc>
          <w:tcPr>
            <w:tcW w:w="720" w:type="dxa"/>
            <w:tcBorders>
              <w:top w:val="nil"/>
              <w:bottom w:val="single" w:sz="4" w:space="0" w:color="auto"/>
            </w:tcBorders>
            <w:shd w:val="clear" w:color="auto" w:fill="D9D9D9"/>
            <w:vAlign w:val="bottom"/>
          </w:tcPr>
          <w:p w14:paraId="335854F4" w14:textId="77777777" w:rsidR="00E624FD" w:rsidRPr="00CB6C59" w:rsidRDefault="00E624FD" w:rsidP="00E624FD">
            <w:pPr>
              <w:keepNext/>
              <w:autoSpaceDE w:val="0"/>
              <w:autoSpaceDN w:val="0"/>
              <w:adjustRightInd w:val="0"/>
              <w:jc w:val="center"/>
              <w:rPr>
                <w:rFonts w:cs="Arial"/>
                <w:b/>
                <w:color w:val="000000"/>
                <w:sz w:val="20"/>
              </w:rPr>
            </w:pPr>
            <w:r w:rsidRPr="00CB6C59">
              <w:rPr>
                <w:rFonts w:cs="Arial"/>
                <w:b/>
                <w:color w:val="000000"/>
                <w:sz w:val="20"/>
              </w:rPr>
              <w:t>Grade</w:t>
            </w:r>
          </w:p>
        </w:tc>
        <w:tc>
          <w:tcPr>
            <w:tcW w:w="1440" w:type="dxa"/>
            <w:shd w:val="clear" w:color="auto" w:fill="D9D9D9"/>
            <w:vAlign w:val="center"/>
          </w:tcPr>
          <w:p w14:paraId="5EBFF3CC"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10 µg ID93 +</w:t>
            </w:r>
          </w:p>
          <w:p w14:paraId="04F8CD2D"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 xml:space="preserve">2 µg GLA-SE </w:t>
            </w:r>
          </w:p>
          <w:p w14:paraId="57E3F8AF"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or placebo</w:t>
            </w:r>
            <w:r w:rsidRPr="00CB6C59">
              <w:rPr>
                <w:rFonts w:cs="Arial"/>
                <w:b/>
                <w:bCs/>
                <w:color w:val="000000"/>
                <w:sz w:val="20"/>
              </w:rPr>
              <w:br/>
              <w:t>(QFT-)</w:t>
            </w:r>
          </w:p>
          <w:p w14:paraId="5FC83A66"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(n=12)</w:t>
            </w:r>
          </w:p>
        </w:tc>
        <w:tc>
          <w:tcPr>
            <w:tcW w:w="1440" w:type="dxa"/>
            <w:shd w:val="clear" w:color="auto" w:fill="D9D9D9"/>
            <w:vAlign w:val="center"/>
          </w:tcPr>
          <w:p w14:paraId="1F753951"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2 µg ID93 +</w:t>
            </w:r>
          </w:p>
          <w:p w14:paraId="6F249F3B"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 xml:space="preserve">2 µg GLA-SE </w:t>
            </w:r>
          </w:p>
          <w:p w14:paraId="6AFD8D39"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or placebo</w:t>
            </w:r>
            <w:r w:rsidRPr="00CB6C59">
              <w:rPr>
                <w:rFonts w:cs="Arial"/>
                <w:b/>
                <w:bCs/>
                <w:color w:val="000000"/>
                <w:sz w:val="20"/>
              </w:rPr>
              <w:br/>
              <w:t xml:space="preserve">(QFT+/-) </w:t>
            </w:r>
          </w:p>
          <w:p w14:paraId="1C1FA80A"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(n=18)</w:t>
            </w:r>
          </w:p>
        </w:tc>
        <w:tc>
          <w:tcPr>
            <w:tcW w:w="1440" w:type="dxa"/>
            <w:shd w:val="clear" w:color="auto" w:fill="D9D9D9"/>
            <w:vAlign w:val="center"/>
          </w:tcPr>
          <w:p w14:paraId="057E4381"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10 µg ID93 +</w:t>
            </w:r>
          </w:p>
          <w:p w14:paraId="57F0645C"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 xml:space="preserve">2 µg GLA-SE </w:t>
            </w:r>
          </w:p>
          <w:p w14:paraId="3C46F59D"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or placebo</w:t>
            </w:r>
            <w:r w:rsidRPr="00CB6C59">
              <w:rPr>
                <w:rFonts w:cs="Arial"/>
                <w:b/>
                <w:bCs/>
                <w:color w:val="000000"/>
                <w:sz w:val="20"/>
              </w:rPr>
              <w:br/>
              <w:t xml:space="preserve">(QFT+/-) </w:t>
            </w:r>
          </w:p>
          <w:p w14:paraId="094959DC"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(n= )</w:t>
            </w:r>
          </w:p>
        </w:tc>
        <w:tc>
          <w:tcPr>
            <w:tcW w:w="1440" w:type="dxa"/>
            <w:shd w:val="clear" w:color="auto" w:fill="D9D9D9"/>
            <w:vAlign w:val="center"/>
          </w:tcPr>
          <w:p w14:paraId="5E090DE2"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10 µg ID93 +</w:t>
            </w:r>
          </w:p>
          <w:p w14:paraId="1C668373"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 xml:space="preserve">5 µg GLA-SE </w:t>
            </w:r>
          </w:p>
          <w:p w14:paraId="23CD9F48"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or placebo</w:t>
            </w:r>
            <w:r w:rsidRPr="00CB6C59">
              <w:rPr>
                <w:rFonts w:cs="Arial"/>
                <w:b/>
                <w:bCs/>
                <w:color w:val="000000"/>
                <w:sz w:val="20"/>
              </w:rPr>
              <w:br/>
              <w:t xml:space="preserve">(QFT+/-) </w:t>
            </w:r>
          </w:p>
          <w:p w14:paraId="22645218"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(n= )</w:t>
            </w:r>
          </w:p>
        </w:tc>
      </w:tr>
      <w:tr w:rsidR="00E624FD" w:rsidRPr="00CB6C59" w14:paraId="687F4133" w14:textId="77777777" w:rsidTr="00E624FD">
        <w:trPr>
          <w:cantSplit/>
          <w:trHeight w:val="288"/>
          <w:jc w:val="center"/>
        </w:trPr>
        <w:tc>
          <w:tcPr>
            <w:tcW w:w="2880" w:type="dxa"/>
            <w:tcBorders>
              <w:top w:val="single" w:sz="4" w:space="0" w:color="auto"/>
              <w:bottom w:val="single" w:sz="4" w:space="0" w:color="auto"/>
            </w:tcBorders>
            <w:shd w:val="clear" w:color="auto" w:fill="FFFFFF"/>
            <w:vAlign w:val="center"/>
          </w:tcPr>
          <w:p w14:paraId="1B374699"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Anorexia</w:t>
            </w:r>
          </w:p>
        </w:tc>
        <w:tc>
          <w:tcPr>
            <w:tcW w:w="720" w:type="dxa"/>
            <w:tcBorders>
              <w:top w:val="single" w:sz="4" w:space="0" w:color="auto"/>
            </w:tcBorders>
            <w:shd w:val="clear" w:color="auto" w:fill="FFFFFF"/>
            <w:vAlign w:val="center"/>
          </w:tcPr>
          <w:p w14:paraId="329C0E03"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440" w:type="dxa"/>
            <w:shd w:val="clear" w:color="auto" w:fill="FFFFFF"/>
            <w:vAlign w:val="center"/>
          </w:tcPr>
          <w:p w14:paraId="27D245E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(8.3%)</w:t>
            </w:r>
          </w:p>
        </w:tc>
        <w:tc>
          <w:tcPr>
            <w:tcW w:w="1440" w:type="dxa"/>
            <w:shd w:val="clear" w:color="auto" w:fill="FFFFFF"/>
            <w:vAlign w:val="center"/>
          </w:tcPr>
          <w:p w14:paraId="48D1A82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2E2DDC0E" w14:textId="77777777" w:rsidR="00E624FD" w:rsidRPr="00CB6C59" w:rsidRDefault="00E624FD" w:rsidP="00E624FD">
            <w:pPr>
              <w:keepNext/>
              <w:autoSpaceDE w:val="0"/>
              <w:autoSpaceDN w:val="0"/>
              <w:adjustRightInd w:val="0"/>
              <w:jc w:val="center"/>
              <w:rPr>
                <w:rFonts w:cs="Arial"/>
                <w:color w:val="000000"/>
                <w:sz w:val="20"/>
              </w:rPr>
            </w:pPr>
          </w:p>
        </w:tc>
        <w:tc>
          <w:tcPr>
            <w:tcW w:w="1440" w:type="dxa"/>
            <w:shd w:val="clear" w:color="auto" w:fill="FFFFFF"/>
            <w:vAlign w:val="center"/>
          </w:tcPr>
          <w:p w14:paraId="305FDBC7"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75E18C2B" w14:textId="77777777" w:rsidTr="00E624FD">
        <w:trPr>
          <w:cantSplit/>
          <w:trHeight w:val="288"/>
          <w:jc w:val="center"/>
        </w:trPr>
        <w:tc>
          <w:tcPr>
            <w:tcW w:w="2880" w:type="dxa"/>
            <w:tcBorders>
              <w:top w:val="single" w:sz="4" w:space="0" w:color="auto"/>
              <w:bottom w:val="nil"/>
            </w:tcBorders>
            <w:shd w:val="clear" w:color="auto" w:fill="FFFFFF"/>
            <w:vAlign w:val="center"/>
          </w:tcPr>
          <w:p w14:paraId="74F52E8C"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Fatigue/malaise</w:t>
            </w:r>
          </w:p>
        </w:tc>
        <w:tc>
          <w:tcPr>
            <w:tcW w:w="720" w:type="dxa"/>
            <w:shd w:val="clear" w:color="auto" w:fill="FFFFFF"/>
            <w:vAlign w:val="center"/>
          </w:tcPr>
          <w:p w14:paraId="7D0795B6"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440" w:type="dxa"/>
            <w:shd w:val="clear" w:color="auto" w:fill="FFFFFF"/>
            <w:vAlign w:val="center"/>
          </w:tcPr>
          <w:p w14:paraId="270753B1"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(8.3%)</w:t>
            </w:r>
          </w:p>
        </w:tc>
        <w:tc>
          <w:tcPr>
            <w:tcW w:w="1440" w:type="dxa"/>
            <w:shd w:val="clear" w:color="auto" w:fill="FFFFFF"/>
            <w:vAlign w:val="center"/>
          </w:tcPr>
          <w:p w14:paraId="5F22686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(5.6%)</w:t>
            </w:r>
          </w:p>
        </w:tc>
        <w:tc>
          <w:tcPr>
            <w:tcW w:w="1440" w:type="dxa"/>
            <w:shd w:val="clear" w:color="auto" w:fill="FFFFFF"/>
            <w:vAlign w:val="center"/>
          </w:tcPr>
          <w:p w14:paraId="460CB6C6" w14:textId="77777777" w:rsidR="00E624FD" w:rsidRPr="00CB6C59" w:rsidRDefault="00E624FD" w:rsidP="00E624FD">
            <w:pPr>
              <w:keepNext/>
              <w:autoSpaceDE w:val="0"/>
              <w:autoSpaceDN w:val="0"/>
              <w:adjustRightInd w:val="0"/>
              <w:jc w:val="center"/>
              <w:rPr>
                <w:rFonts w:cs="Arial"/>
                <w:color w:val="000000"/>
                <w:sz w:val="20"/>
              </w:rPr>
            </w:pPr>
          </w:p>
        </w:tc>
        <w:tc>
          <w:tcPr>
            <w:tcW w:w="1440" w:type="dxa"/>
            <w:shd w:val="clear" w:color="auto" w:fill="FFFFFF"/>
            <w:vAlign w:val="center"/>
          </w:tcPr>
          <w:p w14:paraId="70CCA4F7"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219D9AFE" w14:textId="77777777" w:rsidTr="00E624FD">
        <w:trPr>
          <w:cantSplit/>
          <w:trHeight w:val="288"/>
          <w:jc w:val="center"/>
        </w:trPr>
        <w:tc>
          <w:tcPr>
            <w:tcW w:w="2880" w:type="dxa"/>
            <w:tcBorders>
              <w:top w:val="single" w:sz="4" w:space="0" w:color="auto"/>
              <w:bottom w:val="nil"/>
            </w:tcBorders>
            <w:shd w:val="clear" w:color="auto" w:fill="FFFFFF"/>
            <w:vAlign w:val="center"/>
          </w:tcPr>
          <w:p w14:paraId="68CB31CC"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Fever</w:t>
            </w:r>
          </w:p>
        </w:tc>
        <w:tc>
          <w:tcPr>
            <w:tcW w:w="720" w:type="dxa"/>
            <w:shd w:val="clear" w:color="auto" w:fill="FFFFFF"/>
            <w:vAlign w:val="center"/>
          </w:tcPr>
          <w:p w14:paraId="564259C4"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shd w:val="clear" w:color="auto" w:fill="FFFFFF"/>
            <w:vAlign w:val="center"/>
          </w:tcPr>
          <w:p w14:paraId="4A7A9B4E"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(8.3%)</w:t>
            </w:r>
          </w:p>
        </w:tc>
        <w:tc>
          <w:tcPr>
            <w:tcW w:w="1440" w:type="dxa"/>
            <w:shd w:val="clear" w:color="auto" w:fill="FFFFFF"/>
            <w:vAlign w:val="center"/>
          </w:tcPr>
          <w:p w14:paraId="5CA4D6C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3AD06929" w14:textId="77777777" w:rsidR="00E624FD" w:rsidRPr="00CB6C59" w:rsidRDefault="00E624FD" w:rsidP="00E624FD">
            <w:pPr>
              <w:keepNext/>
              <w:autoSpaceDE w:val="0"/>
              <w:autoSpaceDN w:val="0"/>
              <w:adjustRightInd w:val="0"/>
              <w:jc w:val="center"/>
              <w:rPr>
                <w:rFonts w:cs="Arial"/>
                <w:color w:val="000000"/>
                <w:sz w:val="20"/>
              </w:rPr>
            </w:pPr>
          </w:p>
        </w:tc>
        <w:tc>
          <w:tcPr>
            <w:tcW w:w="1440" w:type="dxa"/>
            <w:shd w:val="clear" w:color="auto" w:fill="FFFFFF"/>
            <w:vAlign w:val="center"/>
          </w:tcPr>
          <w:p w14:paraId="685F0DB4"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0DB2F51A" w14:textId="77777777" w:rsidTr="00E624FD">
        <w:trPr>
          <w:cantSplit/>
          <w:trHeight w:val="288"/>
          <w:jc w:val="center"/>
        </w:trPr>
        <w:tc>
          <w:tcPr>
            <w:tcW w:w="2880" w:type="dxa"/>
            <w:tcBorders>
              <w:top w:val="single" w:sz="4" w:space="0" w:color="auto"/>
              <w:bottom w:val="nil"/>
            </w:tcBorders>
            <w:shd w:val="clear" w:color="auto" w:fill="FFFFFF"/>
            <w:vAlign w:val="center"/>
          </w:tcPr>
          <w:p w14:paraId="364FCBA1"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Headache</w:t>
            </w:r>
          </w:p>
        </w:tc>
        <w:tc>
          <w:tcPr>
            <w:tcW w:w="720" w:type="dxa"/>
            <w:shd w:val="clear" w:color="auto" w:fill="FFFFFF"/>
            <w:vAlign w:val="center"/>
          </w:tcPr>
          <w:p w14:paraId="2E43B2A9"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shd w:val="clear" w:color="auto" w:fill="FFFFFF"/>
            <w:vAlign w:val="center"/>
          </w:tcPr>
          <w:p w14:paraId="7629C8B2"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(8.3%)</w:t>
            </w:r>
          </w:p>
        </w:tc>
        <w:tc>
          <w:tcPr>
            <w:tcW w:w="1440" w:type="dxa"/>
            <w:shd w:val="clear" w:color="auto" w:fill="FFFFFF"/>
            <w:vAlign w:val="center"/>
          </w:tcPr>
          <w:p w14:paraId="3C05438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30FD9832" w14:textId="77777777" w:rsidR="00E624FD" w:rsidRPr="00CB6C59" w:rsidRDefault="00E624FD" w:rsidP="00E624FD">
            <w:pPr>
              <w:keepNext/>
              <w:autoSpaceDE w:val="0"/>
              <w:autoSpaceDN w:val="0"/>
              <w:adjustRightInd w:val="0"/>
              <w:jc w:val="center"/>
              <w:rPr>
                <w:rFonts w:cs="Arial"/>
                <w:color w:val="000000"/>
                <w:sz w:val="20"/>
              </w:rPr>
            </w:pPr>
          </w:p>
        </w:tc>
        <w:tc>
          <w:tcPr>
            <w:tcW w:w="1440" w:type="dxa"/>
            <w:shd w:val="clear" w:color="auto" w:fill="FFFFFF"/>
            <w:vAlign w:val="center"/>
          </w:tcPr>
          <w:p w14:paraId="0BC48870"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40DC8379" w14:textId="77777777" w:rsidTr="00E624FD">
        <w:trPr>
          <w:cantSplit/>
          <w:trHeight w:val="288"/>
          <w:jc w:val="center"/>
        </w:trPr>
        <w:tc>
          <w:tcPr>
            <w:tcW w:w="2880" w:type="dxa"/>
            <w:tcBorders>
              <w:top w:val="nil"/>
              <w:bottom w:val="single" w:sz="4" w:space="0" w:color="auto"/>
            </w:tcBorders>
            <w:shd w:val="clear" w:color="auto" w:fill="FFFFFF"/>
            <w:vAlign w:val="center"/>
          </w:tcPr>
          <w:p w14:paraId="257193B4" w14:textId="77777777" w:rsidR="00E624FD" w:rsidRPr="00CB6C59" w:rsidRDefault="00E624FD" w:rsidP="00E624FD">
            <w:pPr>
              <w:keepNext/>
              <w:autoSpaceDE w:val="0"/>
              <w:autoSpaceDN w:val="0"/>
              <w:adjustRightInd w:val="0"/>
              <w:ind w:left="90"/>
              <w:rPr>
                <w:rFonts w:cs="Arial"/>
                <w:color w:val="000000"/>
                <w:sz w:val="20"/>
              </w:rPr>
            </w:pPr>
          </w:p>
        </w:tc>
        <w:tc>
          <w:tcPr>
            <w:tcW w:w="720" w:type="dxa"/>
            <w:shd w:val="clear" w:color="auto" w:fill="FFFFFF"/>
            <w:vAlign w:val="center"/>
          </w:tcPr>
          <w:p w14:paraId="113C2F25"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440" w:type="dxa"/>
            <w:shd w:val="clear" w:color="auto" w:fill="FFFFFF"/>
            <w:vAlign w:val="center"/>
          </w:tcPr>
          <w:p w14:paraId="4CE94E3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(16.7%)</w:t>
            </w:r>
          </w:p>
        </w:tc>
        <w:tc>
          <w:tcPr>
            <w:tcW w:w="1440" w:type="dxa"/>
            <w:shd w:val="clear" w:color="auto" w:fill="FFFFFF"/>
            <w:vAlign w:val="center"/>
          </w:tcPr>
          <w:p w14:paraId="2D6B9C62"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shd w:val="clear" w:color="auto" w:fill="FFFFFF"/>
            <w:vAlign w:val="center"/>
          </w:tcPr>
          <w:p w14:paraId="145B18BF" w14:textId="77777777" w:rsidR="00E624FD" w:rsidRPr="00CB6C59" w:rsidRDefault="00E624FD" w:rsidP="00E624FD">
            <w:pPr>
              <w:keepNext/>
              <w:autoSpaceDE w:val="0"/>
              <w:autoSpaceDN w:val="0"/>
              <w:adjustRightInd w:val="0"/>
              <w:jc w:val="center"/>
              <w:rPr>
                <w:rFonts w:cs="Arial"/>
                <w:color w:val="000000"/>
                <w:sz w:val="20"/>
              </w:rPr>
            </w:pPr>
          </w:p>
        </w:tc>
        <w:tc>
          <w:tcPr>
            <w:tcW w:w="1440" w:type="dxa"/>
            <w:shd w:val="clear" w:color="auto" w:fill="FFFFFF"/>
            <w:vAlign w:val="center"/>
          </w:tcPr>
          <w:p w14:paraId="05D11342"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2A297AA4" w14:textId="77777777" w:rsidTr="00E624FD">
        <w:trPr>
          <w:cantSplit/>
          <w:trHeight w:val="288"/>
          <w:jc w:val="center"/>
        </w:trPr>
        <w:tc>
          <w:tcPr>
            <w:tcW w:w="2880" w:type="dxa"/>
            <w:tcBorders>
              <w:top w:val="single" w:sz="4" w:space="0" w:color="auto"/>
              <w:bottom w:val="nil"/>
            </w:tcBorders>
            <w:shd w:val="clear" w:color="auto" w:fill="FFFFFF"/>
            <w:vAlign w:val="center"/>
          </w:tcPr>
          <w:p w14:paraId="66AC9125" w14:textId="77777777" w:rsidR="00E624FD" w:rsidRPr="00CB6C59" w:rsidRDefault="00E624FD" w:rsidP="00E624FD">
            <w:pPr>
              <w:keepNext/>
              <w:autoSpaceDE w:val="0"/>
              <w:autoSpaceDN w:val="0"/>
              <w:adjustRightInd w:val="0"/>
              <w:ind w:left="90"/>
              <w:rPr>
                <w:rFonts w:cs="Arial"/>
                <w:color w:val="000000"/>
                <w:sz w:val="20"/>
              </w:rPr>
            </w:pPr>
            <w:r w:rsidRPr="00CB6C59">
              <w:rPr>
                <w:rFonts w:cs="Arial"/>
                <w:color w:val="000000"/>
                <w:sz w:val="20"/>
              </w:rPr>
              <w:t>Myalgia</w:t>
            </w:r>
          </w:p>
        </w:tc>
        <w:tc>
          <w:tcPr>
            <w:tcW w:w="720" w:type="dxa"/>
            <w:tcBorders>
              <w:bottom w:val="single" w:sz="4" w:space="0" w:color="auto"/>
            </w:tcBorders>
            <w:shd w:val="clear" w:color="auto" w:fill="FFFFFF"/>
            <w:vAlign w:val="center"/>
          </w:tcPr>
          <w:p w14:paraId="054930A1"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440" w:type="dxa"/>
            <w:tcBorders>
              <w:bottom w:val="single" w:sz="4" w:space="0" w:color="auto"/>
            </w:tcBorders>
            <w:shd w:val="clear" w:color="auto" w:fill="FFFFFF"/>
            <w:vAlign w:val="center"/>
          </w:tcPr>
          <w:p w14:paraId="63DB5173"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(8.3%)</w:t>
            </w:r>
          </w:p>
        </w:tc>
        <w:tc>
          <w:tcPr>
            <w:tcW w:w="1440" w:type="dxa"/>
            <w:tcBorders>
              <w:bottom w:val="single" w:sz="4" w:space="0" w:color="auto"/>
            </w:tcBorders>
            <w:shd w:val="clear" w:color="auto" w:fill="FFFFFF"/>
            <w:vAlign w:val="center"/>
          </w:tcPr>
          <w:p w14:paraId="6FD0951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 (16.7%)</w:t>
            </w:r>
          </w:p>
        </w:tc>
        <w:tc>
          <w:tcPr>
            <w:tcW w:w="1440" w:type="dxa"/>
            <w:tcBorders>
              <w:bottom w:val="single" w:sz="4" w:space="0" w:color="auto"/>
            </w:tcBorders>
            <w:shd w:val="clear" w:color="auto" w:fill="FFFFFF"/>
            <w:vAlign w:val="center"/>
          </w:tcPr>
          <w:p w14:paraId="2FF5B921" w14:textId="77777777" w:rsidR="00E624FD" w:rsidRPr="00CB6C59" w:rsidRDefault="00E624FD" w:rsidP="00E624FD">
            <w:pPr>
              <w:keepNext/>
              <w:autoSpaceDE w:val="0"/>
              <w:autoSpaceDN w:val="0"/>
              <w:adjustRightInd w:val="0"/>
              <w:jc w:val="center"/>
              <w:rPr>
                <w:rFonts w:cs="Arial"/>
                <w:color w:val="000000"/>
                <w:sz w:val="20"/>
              </w:rPr>
            </w:pPr>
          </w:p>
        </w:tc>
        <w:tc>
          <w:tcPr>
            <w:tcW w:w="1440" w:type="dxa"/>
            <w:tcBorders>
              <w:bottom w:val="single" w:sz="4" w:space="0" w:color="auto"/>
            </w:tcBorders>
            <w:shd w:val="clear" w:color="auto" w:fill="FFFFFF"/>
            <w:vAlign w:val="center"/>
          </w:tcPr>
          <w:p w14:paraId="00CBEC00"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3AD3E432" w14:textId="77777777" w:rsidTr="00E624FD">
        <w:trPr>
          <w:cantSplit/>
          <w:trHeight w:val="288"/>
          <w:jc w:val="center"/>
        </w:trPr>
        <w:tc>
          <w:tcPr>
            <w:tcW w:w="2880" w:type="dxa"/>
            <w:tcBorders>
              <w:top w:val="nil"/>
              <w:bottom w:val="single" w:sz="12" w:space="0" w:color="auto"/>
            </w:tcBorders>
            <w:shd w:val="clear" w:color="auto" w:fill="FFFFFF"/>
            <w:vAlign w:val="center"/>
          </w:tcPr>
          <w:p w14:paraId="1452B9BA" w14:textId="77777777" w:rsidR="00E624FD" w:rsidRPr="00CB6C59" w:rsidRDefault="00E624FD" w:rsidP="00E624FD">
            <w:pPr>
              <w:keepNext/>
              <w:autoSpaceDE w:val="0"/>
              <w:autoSpaceDN w:val="0"/>
              <w:adjustRightInd w:val="0"/>
              <w:ind w:left="90"/>
              <w:rPr>
                <w:rFonts w:cs="Arial"/>
                <w:color w:val="000000"/>
                <w:sz w:val="20"/>
              </w:rPr>
            </w:pPr>
          </w:p>
        </w:tc>
        <w:tc>
          <w:tcPr>
            <w:tcW w:w="720" w:type="dxa"/>
            <w:tcBorders>
              <w:top w:val="single" w:sz="4" w:space="0" w:color="auto"/>
              <w:bottom w:val="single" w:sz="12" w:space="0" w:color="auto"/>
            </w:tcBorders>
            <w:shd w:val="clear" w:color="auto" w:fill="FFFFFF"/>
            <w:vAlign w:val="center"/>
          </w:tcPr>
          <w:p w14:paraId="44ABD2E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440" w:type="dxa"/>
            <w:tcBorders>
              <w:top w:val="single" w:sz="4" w:space="0" w:color="auto"/>
              <w:bottom w:val="single" w:sz="12" w:space="0" w:color="auto"/>
            </w:tcBorders>
            <w:shd w:val="clear" w:color="auto" w:fill="FFFFFF"/>
            <w:vAlign w:val="center"/>
          </w:tcPr>
          <w:p w14:paraId="0EC5A359"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440" w:type="dxa"/>
            <w:tcBorders>
              <w:top w:val="single" w:sz="4" w:space="0" w:color="auto"/>
              <w:bottom w:val="single" w:sz="12" w:space="0" w:color="auto"/>
            </w:tcBorders>
            <w:shd w:val="clear" w:color="auto" w:fill="FFFFFF"/>
            <w:vAlign w:val="center"/>
          </w:tcPr>
          <w:p w14:paraId="4F183F89"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(5.6%)</w:t>
            </w:r>
          </w:p>
        </w:tc>
        <w:tc>
          <w:tcPr>
            <w:tcW w:w="1440" w:type="dxa"/>
            <w:tcBorders>
              <w:top w:val="single" w:sz="4" w:space="0" w:color="auto"/>
              <w:bottom w:val="single" w:sz="12" w:space="0" w:color="auto"/>
            </w:tcBorders>
            <w:shd w:val="clear" w:color="auto" w:fill="FFFFFF"/>
            <w:vAlign w:val="center"/>
          </w:tcPr>
          <w:p w14:paraId="704A3911" w14:textId="77777777" w:rsidR="00E624FD" w:rsidRPr="00CB6C59" w:rsidRDefault="00E624FD" w:rsidP="00E624FD">
            <w:pPr>
              <w:keepNext/>
              <w:autoSpaceDE w:val="0"/>
              <w:autoSpaceDN w:val="0"/>
              <w:adjustRightInd w:val="0"/>
              <w:jc w:val="center"/>
              <w:rPr>
                <w:rFonts w:cs="Arial"/>
                <w:color w:val="000000"/>
                <w:sz w:val="20"/>
              </w:rPr>
            </w:pPr>
          </w:p>
        </w:tc>
        <w:tc>
          <w:tcPr>
            <w:tcW w:w="1440" w:type="dxa"/>
            <w:tcBorders>
              <w:top w:val="single" w:sz="4" w:space="0" w:color="auto"/>
              <w:bottom w:val="single" w:sz="12" w:space="0" w:color="auto"/>
            </w:tcBorders>
            <w:shd w:val="clear" w:color="auto" w:fill="FFFFFF"/>
            <w:vAlign w:val="center"/>
          </w:tcPr>
          <w:p w14:paraId="6A7C3A42" w14:textId="77777777" w:rsidR="00E624FD" w:rsidRPr="00CB6C59" w:rsidRDefault="00E624FD" w:rsidP="00E624FD">
            <w:pPr>
              <w:keepNext/>
              <w:autoSpaceDE w:val="0"/>
              <w:autoSpaceDN w:val="0"/>
              <w:adjustRightInd w:val="0"/>
              <w:jc w:val="center"/>
              <w:rPr>
                <w:rFonts w:cs="Arial"/>
                <w:color w:val="000000"/>
                <w:sz w:val="20"/>
              </w:rPr>
            </w:pPr>
          </w:p>
        </w:tc>
      </w:tr>
    </w:tbl>
    <w:p w14:paraId="6DE6336B" w14:textId="77777777" w:rsidR="00E624FD" w:rsidRPr="00CB6C59" w:rsidRDefault="00E624FD" w:rsidP="00E624FD">
      <w:pPr>
        <w:autoSpaceDE w:val="0"/>
        <w:autoSpaceDN w:val="0"/>
        <w:ind w:left="180"/>
        <w:rPr>
          <w:rFonts w:cs="Arial"/>
          <w:sz w:val="18"/>
          <w:szCs w:val="18"/>
        </w:rPr>
      </w:pPr>
      <w:r w:rsidRPr="00CB6C59">
        <w:rPr>
          <w:rFonts w:cs="Arial"/>
          <w:color w:val="000000"/>
          <w:sz w:val="18"/>
          <w:szCs w:val="18"/>
        </w:rPr>
        <w:t>Note: Highest severity per subject reported for each event</w:t>
      </w:r>
    </w:p>
    <w:p w14:paraId="334F873C" w14:textId="77777777" w:rsidR="00E624FD" w:rsidRPr="00CB6C59" w:rsidRDefault="00E624FD" w:rsidP="00E624FD">
      <w:pPr>
        <w:autoSpaceDE w:val="0"/>
        <w:autoSpaceDN w:val="0"/>
        <w:rPr>
          <w:rFonts w:cs="Arial"/>
          <w:szCs w:val="22"/>
          <w:highlight w:val="yellow"/>
        </w:rPr>
      </w:pPr>
    </w:p>
    <w:p w14:paraId="0D03C9EA" w14:textId="08C31684" w:rsidR="00E624FD" w:rsidRPr="00CB6C59" w:rsidRDefault="00E624FD" w:rsidP="00E624FD">
      <w:pPr>
        <w:autoSpaceDE w:val="0"/>
        <w:autoSpaceDN w:val="0"/>
        <w:rPr>
          <w:rFonts w:cs="Arial"/>
          <w:szCs w:val="22"/>
          <w:highlight w:val="yellow"/>
        </w:rPr>
      </w:pPr>
      <w:r w:rsidRPr="00CB6C59">
        <w:rPr>
          <w:rFonts w:cs="Arial"/>
          <w:szCs w:val="22"/>
        </w:rPr>
        <w:t xml:space="preserve">All other AEs and laboratory abnormalities occurring in at least 3 subjects are summarized in </w:t>
      </w:r>
      <w:r w:rsidRPr="0040275E">
        <w:rPr>
          <w:rFonts w:cs="Arial"/>
          <w:color w:val="0000FF"/>
          <w:szCs w:val="22"/>
        </w:rPr>
        <w:fldChar w:fldCharType="begin"/>
      </w:r>
      <w:r w:rsidRPr="0040275E">
        <w:rPr>
          <w:rFonts w:cs="Arial"/>
          <w:color w:val="0000FF"/>
          <w:szCs w:val="22"/>
        </w:rPr>
        <w:instrText xml:space="preserve"> REF  _Ref388606471 \h  \* MERGEFORMAT </w:instrText>
      </w:r>
      <w:r w:rsidRPr="0040275E">
        <w:rPr>
          <w:rFonts w:cs="Arial"/>
          <w:color w:val="0000FF"/>
          <w:szCs w:val="22"/>
        </w:rPr>
      </w:r>
      <w:r w:rsidRPr="0040275E">
        <w:rPr>
          <w:rFonts w:cs="Arial"/>
          <w:color w:val="0000FF"/>
          <w:szCs w:val="22"/>
        </w:rPr>
        <w:fldChar w:fldCharType="separate"/>
      </w:r>
      <w:r w:rsidR="00024E24" w:rsidRPr="00024E24">
        <w:rPr>
          <w:rFonts w:cs="Arial"/>
          <w:color w:val="0000FF"/>
          <w:szCs w:val="22"/>
        </w:rPr>
        <w:t>Table 8</w:t>
      </w:r>
      <w:r w:rsidRPr="0040275E">
        <w:rPr>
          <w:rFonts w:cs="Arial"/>
          <w:color w:val="0000FF"/>
          <w:szCs w:val="22"/>
        </w:rPr>
        <w:fldChar w:fldCharType="end"/>
      </w:r>
      <w:r w:rsidRPr="00DD3316">
        <w:rPr>
          <w:rFonts w:cs="Arial"/>
          <w:szCs w:val="22"/>
        </w:rPr>
        <w:t>. Th</w:t>
      </w:r>
      <w:r w:rsidRPr="00CB6C59">
        <w:rPr>
          <w:rFonts w:cs="Arial"/>
          <w:szCs w:val="22"/>
        </w:rPr>
        <w:t>e two Grade 2 lab findings of decreased neutrophils within the same treatment group triggered a protocol-defined pausing rule. After review by the SMC, it was determined that the study may continue unmodified.</w:t>
      </w:r>
    </w:p>
    <w:p w14:paraId="6565C390" w14:textId="1CCB77F7" w:rsidR="00E624FD" w:rsidRPr="00CB6C59" w:rsidRDefault="00E624FD" w:rsidP="00906CD6">
      <w:pPr>
        <w:pStyle w:val="Caption"/>
      </w:pPr>
      <w:bookmarkStart w:id="82" w:name="_Ref388606471"/>
      <w:bookmarkStart w:id="83" w:name="_Toc388606809"/>
      <w:bookmarkStart w:id="84" w:name="_Toc388606837"/>
      <w:bookmarkStart w:id="85" w:name="_Toc389130075"/>
      <w:bookmarkStart w:id="86" w:name="_Toc389130105"/>
      <w:bookmarkStart w:id="87" w:name="_Toc440906406"/>
      <w:r w:rsidRPr="00CB6C59">
        <w:t xml:space="preserve">Table </w:t>
      </w:r>
      <w:r w:rsidR="00024E24">
        <w:fldChar w:fldCharType="begin"/>
      </w:r>
      <w:r w:rsidR="00024E24">
        <w:instrText xml:space="preserve"> SEQ Table \* ARABIC </w:instrText>
      </w:r>
      <w:r w:rsidR="00024E24">
        <w:fldChar w:fldCharType="separate"/>
      </w:r>
      <w:r w:rsidR="00024E24">
        <w:rPr>
          <w:noProof/>
        </w:rPr>
        <w:t>8</w:t>
      </w:r>
      <w:r w:rsidR="00024E24">
        <w:rPr>
          <w:noProof/>
        </w:rPr>
        <w:fldChar w:fldCharType="end"/>
      </w:r>
      <w:bookmarkEnd w:id="82"/>
      <w:r w:rsidRPr="00CB6C59">
        <w:t>:</w:t>
      </w:r>
      <w:r w:rsidRPr="00CB6C59">
        <w:tab/>
        <w:t>IDRI-TBVPX-114: Incidence of All Other Adverse Events and Laboratory Abnormalities Occurring in at Least 3 Subjects</w:t>
      </w:r>
      <w:bookmarkEnd w:id="83"/>
      <w:bookmarkEnd w:id="84"/>
      <w:bookmarkEnd w:id="85"/>
      <w:bookmarkEnd w:id="86"/>
      <w:bookmarkEnd w:id="87"/>
      <w:r w:rsidRPr="00CB6C59">
        <w:t xml:space="preserve"> </w:t>
      </w:r>
    </w:p>
    <w:tbl>
      <w:tblPr>
        <w:tblW w:w="945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351"/>
        <w:gridCol w:w="744"/>
        <w:gridCol w:w="1341"/>
        <w:gridCol w:w="1341"/>
        <w:gridCol w:w="1341"/>
        <w:gridCol w:w="1341"/>
      </w:tblGrid>
      <w:tr w:rsidR="00E624FD" w:rsidRPr="00CB6C59" w14:paraId="04A09BA8" w14:textId="77777777" w:rsidTr="00E624FD">
        <w:trPr>
          <w:cantSplit/>
          <w:trHeight w:val="288"/>
          <w:tblHeader/>
          <w:jc w:val="center"/>
        </w:trPr>
        <w:tc>
          <w:tcPr>
            <w:tcW w:w="3351" w:type="dxa"/>
            <w:tcBorders>
              <w:top w:val="single" w:sz="12" w:space="0" w:color="auto"/>
              <w:bottom w:val="nil"/>
            </w:tcBorders>
            <w:shd w:val="clear" w:color="auto" w:fill="D9D9D9"/>
            <w:vAlign w:val="bottom"/>
          </w:tcPr>
          <w:p w14:paraId="0C0C55F0" w14:textId="77777777" w:rsidR="00E624FD" w:rsidRPr="00CB6C59" w:rsidRDefault="00E624FD" w:rsidP="00E624FD">
            <w:pPr>
              <w:keepNext/>
              <w:autoSpaceDE w:val="0"/>
              <w:autoSpaceDN w:val="0"/>
              <w:adjustRightInd w:val="0"/>
              <w:rPr>
                <w:rFonts w:cs="Arial"/>
                <w:b/>
                <w:bCs/>
                <w:color w:val="000000"/>
                <w:sz w:val="20"/>
              </w:rPr>
            </w:pPr>
          </w:p>
        </w:tc>
        <w:tc>
          <w:tcPr>
            <w:tcW w:w="744" w:type="dxa"/>
            <w:tcBorders>
              <w:top w:val="single" w:sz="12" w:space="0" w:color="auto"/>
              <w:bottom w:val="nil"/>
            </w:tcBorders>
            <w:shd w:val="clear" w:color="auto" w:fill="D9D9D9"/>
            <w:vAlign w:val="bottom"/>
          </w:tcPr>
          <w:p w14:paraId="50499DDF" w14:textId="77777777" w:rsidR="00E624FD" w:rsidRPr="00CB6C59" w:rsidRDefault="00E624FD" w:rsidP="00E624FD">
            <w:pPr>
              <w:keepNext/>
              <w:autoSpaceDE w:val="0"/>
              <w:autoSpaceDN w:val="0"/>
              <w:adjustRightInd w:val="0"/>
              <w:jc w:val="center"/>
              <w:rPr>
                <w:rFonts w:cs="Arial"/>
                <w:b/>
                <w:color w:val="000000"/>
                <w:sz w:val="20"/>
              </w:rPr>
            </w:pPr>
          </w:p>
        </w:tc>
        <w:tc>
          <w:tcPr>
            <w:tcW w:w="1341" w:type="dxa"/>
            <w:tcBorders>
              <w:top w:val="single" w:sz="12" w:space="0" w:color="auto"/>
              <w:bottom w:val="single" w:sz="4" w:space="0" w:color="auto"/>
            </w:tcBorders>
            <w:shd w:val="clear" w:color="auto" w:fill="D9D9D9"/>
            <w:vAlign w:val="center"/>
          </w:tcPr>
          <w:p w14:paraId="333A4B01"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1</w:t>
            </w:r>
          </w:p>
        </w:tc>
        <w:tc>
          <w:tcPr>
            <w:tcW w:w="1341" w:type="dxa"/>
            <w:tcBorders>
              <w:top w:val="single" w:sz="12" w:space="0" w:color="auto"/>
              <w:bottom w:val="single" w:sz="4" w:space="0" w:color="auto"/>
            </w:tcBorders>
            <w:shd w:val="clear" w:color="auto" w:fill="D9D9D9"/>
            <w:vAlign w:val="center"/>
          </w:tcPr>
          <w:p w14:paraId="5E5C3AC8"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2</w:t>
            </w:r>
          </w:p>
        </w:tc>
        <w:tc>
          <w:tcPr>
            <w:tcW w:w="1341" w:type="dxa"/>
            <w:tcBorders>
              <w:top w:val="single" w:sz="12" w:space="0" w:color="auto"/>
              <w:bottom w:val="single" w:sz="4" w:space="0" w:color="auto"/>
            </w:tcBorders>
            <w:shd w:val="clear" w:color="auto" w:fill="D9D9D9"/>
            <w:vAlign w:val="center"/>
          </w:tcPr>
          <w:p w14:paraId="1347E732"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3</w:t>
            </w:r>
          </w:p>
        </w:tc>
        <w:tc>
          <w:tcPr>
            <w:tcW w:w="1341" w:type="dxa"/>
            <w:tcBorders>
              <w:top w:val="single" w:sz="12" w:space="0" w:color="auto"/>
              <w:bottom w:val="single" w:sz="4" w:space="0" w:color="auto"/>
            </w:tcBorders>
            <w:shd w:val="clear" w:color="auto" w:fill="D9D9D9"/>
            <w:vAlign w:val="center"/>
          </w:tcPr>
          <w:p w14:paraId="487D2927"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Cohort 4</w:t>
            </w:r>
          </w:p>
        </w:tc>
      </w:tr>
      <w:tr w:rsidR="00E624FD" w:rsidRPr="00CB6C59" w14:paraId="2720ADE8" w14:textId="77777777" w:rsidTr="00E624FD">
        <w:trPr>
          <w:cantSplit/>
          <w:trHeight w:val="288"/>
          <w:tblHeader/>
          <w:jc w:val="center"/>
        </w:trPr>
        <w:tc>
          <w:tcPr>
            <w:tcW w:w="3351" w:type="dxa"/>
            <w:tcBorders>
              <w:top w:val="nil"/>
              <w:bottom w:val="single" w:sz="4" w:space="0" w:color="auto"/>
            </w:tcBorders>
            <w:shd w:val="clear" w:color="auto" w:fill="D9D9D9"/>
            <w:vAlign w:val="bottom"/>
          </w:tcPr>
          <w:p w14:paraId="20803162" w14:textId="77777777" w:rsidR="00E624FD" w:rsidRPr="00CB6C59" w:rsidRDefault="00E624FD" w:rsidP="00E624FD">
            <w:pPr>
              <w:keepNext/>
              <w:autoSpaceDE w:val="0"/>
              <w:autoSpaceDN w:val="0"/>
              <w:adjustRightInd w:val="0"/>
              <w:rPr>
                <w:rFonts w:cs="Arial"/>
                <w:b/>
                <w:bCs/>
                <w:color w:val="000000"/>
                <w:sz w:val="20"/>
              </w:rPr>
            </w:pPr>
            <w:r w:rsidRPr="00CB6C59">
              <w:rPr>
                <w:rFonts w:cs="Arial"/>
                <w:b/>
                <w:bCs/>
                <w:color w:val="000000"/>
                <w:sz w:val="20"/>
              </w:rPr>
              <w:t>System Organ Class</w:t>
            </w:r>
          </w:p>
          <w:p w14:paraId="70F33CAA" w14:textId="77777777" w:rsidR="00E624FD" w:rsidRPr="00CB6C59" w:rsidRDefault="00E624FD" w:rsidP="00E624FD">
            <w:pPr>
              <w:keepNext/>
              <w:autoSpaceDE w:val="0"/>
              <w:autoSpaceDN w:val="0"/>
              <w:adjustRightInd w:val="0"/>
              <w:ind w:left="230" w:hanging="230"/>
              <w:rPr>
                <w:rFonts w:cs="Arial"/>
                <w:b/>
                <w:bCs/>
                <w:color w:val="000000"/>
                <w:sz w:val="20"/>
              </w:rPr>
            </w:pPr>
            <w:r w:rsidRPr="00CB6C59">
              <w:rPr>
                <w:rFonts w:cs="Arial"/>
                <w:b/>
                <w:bCs/>
                <w:color w:val="000000"/>
                <w:sz w:val="20"/>
              </w:rPr>
              <w:tab/>
              <w:t>Preferred Term</w:t>
            </w:r>
          </w:p>
        </w:tc>
        <w:tc>
          <w:tcPr>
            <w:tcW w:w="744" w:type="dxa"/>
            <w:tcBorders>
              <w:top w:val="nil"/>
              <w:bottom w:val="single" w:sz="4" w:space="0" w:color="auto"/>
            </w:tcBorders>
            <w:shd w:val="clear" w:color="auto" w:fill="D9D9D9"/>
            <w:vAlign w:val="bottom"/>
          </w:tcPr>
          <w:p w14:paraId="3E6B2B36"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color w:val="000000"/>
                <w:sz w:val="20"/>
              </w:rPr>
              <w:t>Grade</w:t>
            </w:r>
          </w:p>
        </w:tc>
        <w:tc>
          <w:tcPr>
            <w:tcW w:w="1341" w:type="dxa"/>
            <w:tcBorders>
              <w:top w:val="single" w:sz="4" w:space="0" w:color="auto"/>
              <w:bottom w:val="single" w:sz="4" w:space="0" w:color="auto"/>
            </w:tcBorders>
            <w:shd w:val="clear" w:color="auto" w:fill="D9D9D9"/>
            <w:vAlign w:val="center"/>
          </w:tcPr>
          <w:p w14:paraId="30658E36"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10 µg ID93 +</w:t>
            </w:r>
          </w:p>
          <w:p w14:paraId="430D6E0E"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 xml:space="preserve">2 µg GLA-SE </w:t>
            </w:r>
          </w:p>
          <w:p w14:paraId="7543F104"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or placebo</w:t>
            </w:r>
            <w:r w:rsidRPr="00CB6C59">
              <w:rPr>
                <w:rFonts w:cs="Arial"/>
                <w:b/>
                <w:bCs/>
                <w:color w:val="000000"/>
                <w:sz w:val="20"/>
              </w:rPr>
              <w:br/>
              <w:t>(QFT-)</w:t>
            </w:r>
          </w:p>
          <w:p w14:paraId="4A820FCD"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(n=12)</w:t>
            </w:r>
          </w:p>
        </w:tc>
        <w:tc>
          <w:tcPr>
            <w:tcW w:w="1341" w:type="dxa"/>
            <w:tcBorders>
              <w:top w:val="single" w:sz="4" w:space="0" w:color="auto"/>
              <w:bottom w:val="single" w:sz="4" w:space="0" w:color="auto"/>
            </w:tcBorders>
            <w:shd w:val="clear" w:color="auto" w:fill="D9D9D9"/>
            <w:vAlign w:val="center"/>
          </w:tcPr>
          <w:p w14:paraId="7AA51425"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2 µg ID93 +</w:t>
            </w:r>
          </w:p>
          <w:p w14:paraId="2A02C621"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 xml:space="preserve">2 µg GLA-SE </w:t>
            </w:r>
          </w:p>
          <w:p w14:paraId="4777AF0A"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or placebo</w:t>
            </w:r>
            <w:r w:rsidRPr="00CB6C59">
              <w:rPr>
                <w:rFonts w:cs="Arial"/>
                <w:b/>
                <w:bCs/>
                <w:color w:val="000000"/>
                <w:sz w:val="20"/>
              </w:rPr>
              <w:br/>
              <w:t xml:space="preserve">(QFT+/-) </w:t>
            </w:r>
          </w:p>
          <w:p w14:paraId="5582DE4F"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(n=18)</w:t>
            </w:r>
          </w:p>
        </w:tc>
        <w:tc>
          <w:tcPr>
            <w:tcW w:w="1341" w:type="dxa"/>
            <w:tcBorders>
              <w:top w:val="single" w:sz="4" w:space="0" w:color="auto"/>
              <w:bottom w:val="single" w:sz="4" w:space="0" w:color="auto"/>
            </w:tcBorders>
            <w:shd w:val="clear" w:color="auto" w:fill="D9D9D9"/>
            <w:vAlign w:val="center"/>
          </w:tcPr>
          <w:p w14:paraId="18976813"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10 µg ID93 +</w:t>
            </w:r>
          </w:p>
          <w:p w14:paraId="03805F8C"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 xml:space="preserve">2 µg GLA-SE </w:t>
            </w:r>
          </w:p>
          <w:p w14:paraId="6EDE2BA3"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or placebo</w:t>
            </w:r>
            <w:r w:rsidRPr="00CB6C59">
              <w:rPr>
                <w:rFonts w:cs="Arial"/>
                <w:b/>
                <w:bCs/>
                <w:color w:val="000000"/>
                <w:sz w:val="20"/>
              </w:rPr>
              <w:br/>
              <w:t xml:space="preserve">(QFT+/-) </w:t>
            </w:r>
          </w:p>
          <w:p w14:paraId="5C3D0BBE"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(n= )</w:t>
            </w:r>
          </w:p>
        </w:tc>
        <w:tc>
          <w:tcPr>
            <w:tcW w:w="1341" w:type="dxa"/>
            <w:tcBorders>
              <w:top w:val="single" w:sz="4" w:space="0" w:color="auto"/>
              <w:bottom w:val="single" w:sz="4" w:space="0" w:color="auto"/>
            </w:tcBorders>
            <w:shd w:val="clear" w:color="auto" w:fill="D9D9D9"/>
            <w:vAlign w:val="center"/>
          </w:tcPr>
          <w:p w14:paraId="2CF857B5"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10 µg ID93 +</w:t>
            </w:r>
          </w:p>
          <w:p w14:paraId="4E4992DE"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 xml:space="preserve">5 µg GLA-SE </w:t>
            </w:r>
          </w:p>
          <w:p w14:paraId="77943FDD"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or placebo</w:t>
            </w:r>
            <w:r w:rsidRPr="00CB6C59">
              <w:rPr>
                <w:rFonts w:cs="Arial"/>
                <w:b/>
                <w:bCs/>
                <w:color w:val="000000"/>
                <w:sz w:val="20"/>
              </w:rPr>
              <w:br/>
              <w:t xml:space="preserve">(QFT+/-) </w:t>
            </w:r>
          </w:p>
          <w:p w14:paraId="0D62ECBC" w14:textId="77777777" w:rsidR="00E624FD" w:rsidRPr="00CB6C59" w:rsidRDefault="00E624FD" w:rsidP="00E624FD">
            <w:pPr>
              <w:keepNext/>
              <w:autoSpaceDE w:val="0"/>
              <w:autoSpaceDN w:val="0"/>
              <w:adjustRightInd w:val="0"/>
              <w:jc w:val="center"/>
              <w:rPr>
                <w:rFonts w:cs="Arial"/>
                <w:b/>
                <w:bCs/>
                <w:color w:val="000000"/>
                <w:sz w:val="20"/>
              </w:rPr>
            </w:pPr>
            <w:r w:rsidRPr="00CB6C59">
              <w:rPr>
                <w:rFonts w:cs="Arial"/>
                <w:b/>
                <w:bCs/>
                <w:color w:val="000000"/>
                <w:sz w:val="20"/>
              </w:rPr>
              <w:t>(n= )</w:t>
            </w:r>
          </w:p>
        </w:tc>
      </w:tr>
      <w:tr w:rsidR="00E624FD" w:rsidRPr="00CB6C59" w14:paraId="2D80860A" w14:textId="77777777" w:rsidTr="00E624FD">
        <w:trPr>
          <w:cantSplit/>
          <w:trHeight w:val="288"/>
          <w:jc w:val="center"/>
        </w:trPr>
        <w:tc>
          <w:tcPr>
            <w:tcW w:w="3351" w:type="dxa"/>
            <w:tcBorders>
              <w:top w:val="single" w:sz="4" w:space="0" w:color="auto"/>
              <w:bottom w:val="single" w:sz="4" w:space="0" w:color="auto"/>
              <w:right w:val="nil"/>
            </w:tcBorders>
            <w:shd w:val="clear" w:color="auto" w:fill="D9D9D9"/>
            <w:vAlign w:val="center"/>
            <w:hideMark/>
          </w:tcPr>
          <w:p w14:paraId="2BBC6D4E" w14:textId="77777777" w:rsidR="00E624FD" w:rsidRPr="00CB6C59" w:rsidRDefault="00E624FD" w:rsidP="00E624FD">
            <w:pPr>
              <w:keepNext/>
              <w:autoSpaceDE w:val="0"/>
              <w:autoSpaceDN w:val="0"/>
              <w:adjustRightInd w:val="0"/>
              <w:rPr>
                <w:rFonts w:cs="Arial"/>
                <w:b/>
                <w:bCs/>
                <w:color w:val="000000"/>
                <w:sz w:val="20"/>
              </w:rPr>
            </w:pPr>
            <w:r w:rsidRPr="00CB6C59">
              <w:rPr>
                <w:rFonts w:cs="Arial"/>
                <w:b/>
                <w:bCs/>
                <w:color w:val="000000"/>
                <w:sz w:val="20"/>
              </w:rPr>
              <w:t>Investigations</w:t>
            </w:r>
          </w:p>
        </w:tc>
        <w:tc>
          <w:tcPr>
            <w:tcW w:w="744" w:type="dxa"/>
            <w:tcBorders>
              <w:top w:val="single" w:sz="4" w:space="0" w:color="auto"/>
              <w:left w:val="nil"/>
              <w:bottom w:val="single" w:sz="4" w:space="0" w:color="auto"/>
              <w:right w:val="nil"/>
            </w:tcBorders>
            <w:shd w:val="clear" w:color="auto" w:fill="D9D9D9"/>
            <w:vAlign w:val="center"/>
          </w:tcPr>
          <w:p w14:paraId="76BA22DF" w14:textId="77777777" w:rsidR="00E624FD" w:rsidRPr="00CB6C59" w:rsidRDefault="00E624FD" w:rsidP="00E624FD">
            <w:pPr>
              <w:keepNext/>
              <w:autoSpaceDE w:val="0"/>
              <w:autoSpaceDN w:val="0"/>
              <w:adjustRightInd w:val="0"/>
              <w:jc w:val="center"/>
              <w:rPr>
                <w:rFonts w:cs="Arial"/>
                <w:color w:val="000000"/>
                <w:sz w:val="20"/>
              </w:rPr>
            </w:pPr>
          </w:p>
        </w:tc>
        <w:tc>
          <w:tcPr>
            <w:tcW w:w="1341" w:type="dxa"/>
            <w:tcBorders>
              <w:top w:val="single" w:sz="4" w:space="0" w:color="auto"/>
              <w:left w:val="nil"/>
              <w:bottom w:val="single" w:sz="4" w:space="0" w:color="auto"/>
              <w:right w:val="nil"/>
            </w:tcBorders>
            <w:shd w:val="clear" w:color="auto" w:fill="D9D9D9"/>
            <w:vAlign w:val="center"/>
          </w:tcPr>
          <w:p w14:paraId="5DD8C789" w14:textId="77777777" w:rsidR="00E624FD" w:rsidRPr="00CB6C59" w:rsidRDefault="00E624FD" w:rsidP="00E624FD">
            <w:pPr>
              <w:keepNext/>
              <w:autoSpaceDE w:val="0"/>
              <w:autoSpaceDN w:val="0"/>
              <w:adjustRightInd w:val="0"/>
              <w:jc w:val="center"/>
              <w:rPr>
                <w:rFonts w:cs="Arial"/>
                <w:color w:val="000000"/>
                <w:sz w:val="20"/>
              </w:rPr>
            </w:pPr>
          </w:p>
        </w:tc>
        <w:tc>
          <w:tcPr>
            <w:tcW w:w="1341" w:type="dxa"/>
            <w:tcBorders>
              <w:top w:val="single" w:sz="4" w:space="0" w:color="auto"/>
              <w:left w:val="nil"/>
              <w:bottom w:val="single" w:sz="4" w:space="0" w:color="auto"/>
              <w:right w:val="nil"/>
            </w:tcBorders>
            <w:shd w:val="clear" w:color="auto" w:fill="D9D9D9"/>
            <w:vAlign w:val="center"/>
          </w:tcPr>
          <w:p w14:paraId="606BBCA4" w14:textId="77777777" w:rsidR="00E624FD" w:rsidRPr="00CB6C59" w:rsidRDefault="00E624FD" w:rsidP="00E624FD">
            <w:pPr>
              <w:keepNext/>
              <w:autoSpaceDE w:val="0"/>
              <w:autoSpaceDN w:val="0"/>
              <w:adjustRightInd w:val="0"/>
              <w:jc w:val="center"/>
              <w:rPr>
                <w:rFonts w:cs="Arial"/>
                <w:color w:val="000000"/>
                <w:sz w:val="20"/>
              </w:rPr>
            </w:pPr>
          </w:p>
        </w:tc>
        <w:tc>
          <w:tcPr>
            <w:tcW w:w="1341" w:type="dxa"/>
            <w:tcBorders>
              <w:top w:val="single" w:sz="4" w:space="0" w:color="auto"/>
              <w:left w:val="nil"/>
              <w:bottom w:val="single" w:sz="4" w:space="0" w:color="auto"/>
              <w:right w:val="nil"/>
            </w:tcBorders>
            <w:shd w:val="clear" w:color="auto" w:fill="D9D9D9"/>
            <w:vAlign w:val="center"/>
          </w:tcPr>
          <w:p w14:paraId="2030D2AC" w14:textId="77777777" w:rsidR="00E624FD" w:rsidRPr="00CB6C59" w:rsidRDefault="00E624FD" w:rsidP="00E624FD">
            <w:pPr>
              <w:keepNext/>
              <w:autoSpaceDE w:val="0"/>
              <w:autoSpaceDN w:val="0"/>
              <w:adjustRightInd w:val="0"/>
              <w:jc w:val="center"/>
              <w:rPr>
                <w:rFonts w:cs="Arial"/>
                <w:color w:val="000000"/>
                <w:sz w:val="20"/>
              </w:rPr>
            </w:pPr>
          </w:p>
        </w:tc>
        <w:tc>
          <w:tcPr>
            <w:tcW w:w="1341" w:type="dxa"/>
            <w:tcBorders>
              <w:top w:val="single" w:sz="4" w:space="0" w:color="auto"/>
              <w:left w:val="nil"/>
              <w:bottom w:val="single" w:sz="4" w:space="0" w:color="auto"/>
              <w:right w:val="single" w:sz="12" w:space="0" w:color="auto"/>
            </w:tcBorders>
            <w:shd w:val="clear" w:color="auto" w:fill="D9D9D9"/>
            <w:vAlign w:val="center"/>
          </w:tcPr>
          <w:p w14:paraId="0C0EC3F7"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63319222" w14:textId="77777777" w:rsidTr="00E624FD">
        <w:trPr>
          <w:cantSplit/>
          <w:trHeight w:val="288"/>
          <w:jc w:val="center"/>
        </w:trPr>
        <w:tc>
          <w:tcPr>
            <w:tcW w:w="3351" w:type="dxa"/>
            <w:tcBorders>
              <w:top w:val="single" w:sz="4" w:space="0" w:color="auto"/>
            </w:tcBorders>
            <w:shd w:val="clear" w:color="auto" w:fill="FFFFFF"/>
            <w:vAlign w:val="center"/>
          </w:tcPr>
          <w:p w14:paraId="36A30706" w14:textId="77777777" w:rsidR="00E624FD" w:rsidRPr="00CB6C59" w:rsidRDefault="00E624FD" w:rsidP="00E624FD">
            <w:pPr>
              <w:keepNext/>
              <w:autoSpaceDE w:val="0"/>
              <w:autoSpaceDN w:val="0"/>
              <w:adjustRightInd w:val="0"/>
              <w:ind w:left="173"/>
              <w:rPr>
                <w:rFonts w:cs="Arial"/>
                <w:color w:val="000000"/>
                <w:sz w:val="20"/>
              </w:rPr>
            </w:pPr>
            <w:r w:rsidRPr="00CB6C59">
              <w:rPr>
                <w:rFonts w:cs="Arial"/>
                <w:color w:val="000000"/>
                <w:sz w:val="20"/>
              </w:rPr>
              <w:t>ALT increased</w:t>
            </w:r>
          </w:p>
        </w:tc>
        <w:tc>
          <w:tcPr>
            <w:tcW w:w="744" w:type="dxa"/>
            <w:tcBorders>
              <w:top w:val="single" w:sz="4" w:space="0" w:color="auto"/>
            </w:tcBorders>
            <w:shd w:val="clear" w:color="auto" w:fill="FFFFFF"/>
            <w:vAlign w:val="center"/>
          </w:tcPr>
          <w:p w14:paraId="27513F6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341" w:type="dxa"/>
            <w:tcBorders>
              <w:top w:val="single" w:sz="4" w:space="0" w:color="auto"/>
            </w:tcBorders>
            <w:shd w:val="clear" w:color="auto" w:fill="FFFFFF"/>
            <w:vAlign w:val="center"/>
          </w:tcPr>
          <w:p w14:paraId="72FA448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(16.7%)</w:t>
            </w:r>
          </w:p>
        </w:tc>
        <w:tc>
          <w:tcPr>
            <w:tcW w:w="1341" w:type="dxa"/>
            <w:tcBorders>
              <w:top w:val="single" w:sz="4" w:space="0" w:color="auto"/>
            </w:tcBorders>
            <w:shd w:val="clear" w:color="auto" w:fill="FFFFFF"/>
            <w:vAlign w:val="center"/>
          </w:tcPr>
          <w:p w14:paraId="062407C0"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(5.6%)</w:t>
            </w:r>
          </w:p>
        </w:tc>
        <w:tc>
          <w:tcPr>
            <w:tcW w:w="1341" w:type="dxa"/>
            <w:tcBorders>
              <w:top w:val="single" w:sz="4" w:space="0" w:color="auto"/>
            </w:tcBorders>
            <w:shd w:val="clear" w:color="auto" w:fill="FFFFFF"/>
            <w:vAlign w:val="center"/>
          </w:tcPr>
          <w:p w14:paraId="2F4A0B45" w14:textId="77777777" w:rsidR="00E624FD" w:rsidRPr="00CB6C59" w:rsidRDefault="00E624FD" w:rsidP="00E624FD">
            <w:pPr>
              <w:keepNext/>
              <w:autoSpaceDE w:val="0"/>
              <w:autoSpaceDN w:val="0"/>
              <w:adjustRightInd w:val="0"/>
              <w:jc w:val="center"/>
              <w:rPr>
                <w:rFonts w:cs="Arial"/>
                <w:color w:val="000000"/>
                <w:sz w:val="20"/>
              </w:rPr>
            </w:pPr>
          </w:p>
        </w:tc>
        <w:tc>
          <w:tcPr>
            <w:tcW w:w="1341" w:type="dxa"/>
            <w:tcBorders>
              <w:top w:val="single" w:sz="4" w:space="0" w:color="auto"/>
            </w:tcBorders>
            <w:shd w:val="clear" w:color="auto" w:fill="FFFFFF"/>
            <w:vAlign w:val="center"/>
          </w:tcPr>
          <w:p w14:paraId="469F2A96"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2D18C10E" w14:textId="77777777" w:rsidTr="00E624FD">
        <w:trPr>
          <w:cantSplit/>
          <w:trHeight w:val="288"/>
          <w:jc w:val="center"/>
        </w:trPr>
        <w:tc>
          <w:tcPr>
            <w:tcW w:w="3351" w:type="dxa"/>
            <w:tcBorders>
              <w:top w:val="single" w:sz="4" w:space="0" w:color="auto"/>
              <w:bottom w:val="nil"/>
            </w:tcBorders>
            <w:shd w:val="clear" w:color="auto" w:fill="FFFFFF"/>
            <w:vAlign w:val="center"/>
          </w:tcPr>
          <w:p w14:paraId="7FC013CA" w14:textId="77777777" w:rsidR="00E624FD" w:rsidRPr="00CB6C59" w:rsidRDefault="00E624FD" w:rsidP="00E624FD">
            <w:pPr>
              <w:keepNext/>
              <w:autoSpaceDE w:val="0"/>
              <w:autoSpaceDN w:val="0"/>
              <w:adjustRightInd w:val="0"/>
              <w:ind w:left="173"/>
              <w:rPr>
                <w:rFonts w:cs="Arial"/>
                <w:color w:val="000000"/>
                <w:sz w:val="20"/>
              </w:rPr>
            </w:pPr>
            <w:r w:rsidRPr="00CB6C59">
              <w:rPr>
                <w:rFonts w:cs="Arial"/>
                <w:color w:val="000000"/>
                <w:sz w:val="20"/>
              </w:rPr>
              <w:t>Blood pressure diastolic increased</w:t>
            </w:r>
          </w:p>
        </w:tc>
        <w:tc>
          <w:tcPr>
            <w:tcW w:w="744" w:type="dxa"/>
            <w:shd w:val="clear" w:color="auto" w:fill="FFFFFF"/>
            <w:vAlign w:val="center"/>
          </w:tcPr>
          <w:p w14:paraId="06C42CBD"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341" w:type="dxa"/>
            <w:shd w:val="clear" w:color="auto" w:fill="FFFFFF"/>
            <w:vAlign w:val="center"/>
          </w:tcPr>
          <w:p w14:paraId="2EF507F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(8.3%)</w:t>
            </w:r>
          </w:p>
        </w:tc>
        <w:tc>
          <w:tcPr>
            <w:tcW w:w="1341" w:type="dxa"/>
            <w:shd w:val="clear" w:color="auto" w:fill="FFFFFF"/>
            <w:vAlign w:val="center"/>
          </w:tcPr>
          <w:p w14:paraId="0940004E"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(11.1%)</w:t>
            </w:r>
          </w:p>
        </w:tc>
        <w:tc>
          <w:tcPr>
            <w:tcW w:w="1341" w:type="dxa"/>
            <w:shd w:val="clear" w:color="auto" w:fill="FFFFFF"/>
            <w:vAlign w:val="center"/>
          </w:tcPr>
          <w:p w14:paraId="775854D3" w14:textId="77777777" w:rsidR="00E624FD" w:rsidRPr="00CB6C59" w:rsidRDefault="00E624FD" w:rsidP="00E624FD">
            <w:pPr>
              <w:keepNext/>
              <w:autoSpaceDE w:val="0"/>
              <w:autoSpaceDN w:val="0"/>
              <w:adjustRightInd w:val="0"/>
              <w:jc w:val="center"/>
              <w:rPr>
                <w:rFonts w:cs="Arial"/>
                <w:color w:val="000000"/>
                <w:sz w:val="20"/>
              </w:rPr>
            </w:pPr>
          </w:p>
        </w:tc>
        <w:tc>
          <w:tcPr>
            <w:tcW w:w="1341" w:type="dxa"/>
            <w:shd w:val="clear" w:color="auto" w:fill="FFFFFF"/>
            <w:vAlign w:val="center"/>
          </w:tcPr>
          <w:p w14:paraId="12BB0E1A"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61C2D23B" w14:textId="77777777" w:rsidTr="00E624FD">
        <w:trPr>
          <w:cantSplit/>
          <w:trHeight w:val="288"/>
          <w:jc w:val="center"/>
        </w:trPr>
        <w:tc>
          <w:tcPr>
            <w:tcW w:w="3351" w:type="dxa"/>
            <w:tcBorders>
              <w:top w:val="nil"/>
              <w:bottom w:val="nil"/>
            </w:tcBorders>
            <w:shd w:val="clear" w:color="auto" w:fill="FFFFFF"/>
            <w:vAlign w:val="center"/>
          </w:tcPr>
          <w:p w14:paraId="29B3061C" w14:textId="77777777" w:rsidR="00E624FD" w:rsidRPr="00CB6C59" w:rsidRDefault="00E624FD" w:rsidP="00E624FD">
            <w:pPr>
              <w:keepNext/>
              <w:autoSpaceDE w:val="0"/>
              <w:autoSpaceDN w:val="0"/>
              <w:adjustRightInd w:val="0"/>
              <w:ind w:left="173"/>
              <w:rPr>
                <w:rFonts w:cs="Arial"/>
                <w:color w:val="000000"/>
                <w:sz w:val="20"/>
              </w:rPr>
            </w:pPr>
          </w:p>
        </w:tc>
        <w:tc>
          <w:tcPr>
            <w:tcW w:w="744" w:type="dxa"/>
            <w:shd w:val="clear" w:color="auto" w:fill="FFFFFF"/>
            <w:vAlign w:val="center"/>
          </w:tcPr>
          <w:p w14:paraId="53FE39B6"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341" w:type="dxa"/>
            <w:shd w:val="clear" w:color="auto" w:fill="FFFFFF"/>
            <w:vAlign w:val="center"/>
          </w:tcPr>
          <w:p w14:paraId="5AF8D74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(8.3%)</w:t>
            </w:r>
          </w:p>
        </w:tc>
        <w:tc>
          <w:tcPr>
            <w:tcW w:w="1341" w:type="dxa"/>
            <w:shd w:val="clear" w:color="auto" w:fill="FFFFFF"/>
            <w:vAlign w:val="center"/>
          </w:tcPr>
          <w:p w14:paraId="1767A8A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shd w:val="clear" w:color="auto" w:fill="FFFFFF"/>
            <w:vAlign w:val="center"/>
          </w:tcPr>
          <w:p w14:paraId="7EBE74D8" w14:textId="77777777" w:rsidR="00E624FD" w:rsidRPr="00CB6C59" w:rsidRDefault="00E624FD" w:rsidP="00E624FD">
            <w:pPr>
              <w:keepNext/>
              <w:autoSpaceDE w:val="0"/>
              <w:autoSpaceDN w:val="0"/>
              <w:adjustRightInd w:val="0"/>
              <w:jc w:val="center"/>
              <w:rPr>
                <w:rFonts w:cs="Arial"/>
                <w:color w:val="000000"/>
                <w:sz w:val="20"/>
              </w:rPr>
            </w:pPr>
          </w:p>
        </w:tc>
        <w:tc>
          <w:tcPr>
            <w:tcW w:w="1341" w:type="dxa"/>
            <w:shd w:val="clear" w:color="auto" w:fill="FFFFFF"/>
            <w:vAlign w:val="center"/>
          </w:tcPr>
          <w:p w14:paraId="6B9582AB"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488FCFE0" w14:textId="77777777" w:rsidTr="00E624FD">
        <w:trPr>
          <w:cantSplit/>
          <w:trHeight w:val="288"/>
          <w:jc w:val="center"/>
        </w:trPr>
        <w:tc>
          <w:tcPr>
            <w:tcW w:w="3351" w:type="dxa"/>
            <w:tcBorders>
              <w:top w:val="single" w:sz="4" w:space="0" w:color="auto"/>
              <w:bottom w:val="nil"/>
            </w:tcBorders>
            <w:shd w:val="clear" w:color="auto" w:fill="FFFFFF"/>
            <w:vAlign w:val="center"/>
          </w:tcPr>
          <w:p w14:paraId="0A0801DF" w14:textId="77777777" w:rsidR="00E624FD" w:rsidRPr="00CB6C59" w:rsidRDefault="00E624FD" w:rsidP="00E624FD">
            <w:pPr>
              <w:keepNext/>
              <w:autoSpaceDE w:val="0"/>
              <w:autoSpaceDN w:val="0"/>
              <w:adjustRightInd w:val="0"/>
              <w:ind w:left="173"/>
              <w:rPr>
                <w:rFonts w:cs="Arial"/>
                <w:color w:val="000000"/>
                <w:sz w:val="20"/>
              </w:rPr>
            </w:pPr>
            <w:r w:rsidRPr="00CB6C59">
              <w:rPr>
                <w:rFonts w:cs="Arial"/>
                <w:color w:val="000000"/>
                <w:sz w:val="20"/>
              </w:rPr>
              <w:t>Hemoglobin decreased</w:t>
            </w:r>
          </w:p>
        </w:tc>
        <w:tc>
          <w:tcPr>
            <w:tcW w:w="744" w:type="dxa"/>
            <w:shd w:val="clear" w:color="auto" w:fill="FFFFFF"/>
            <w:vAlign w:val="center"/>
          </w:tcPr>
          <w:p w14:paraId="703C72B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341" w:type="dxa"/>
            <w:shd w:val="clear" w:color="auto" w:fill="FFFFFF"/>
            <w:vAlign w:val="center"/>
          </w:tcPr>
          <w:p w14:paraId="5A09EB36"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(16.7%)</w:t>
            </w:r>
          </w:p>
        </w:tc>
        <w:tc>
          <w:tcPr>
            <w:tcW w:w="1341" w:type="dxa"/>
            <w:shd w:val="clear" w:color="auto" w:fill="FFFFFF"/>
            <w:vAlign w:val="center"/>
          </w:tcPr>
          <w:p w14:paraId="499165E3"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(5.6%)</w:t>
            </w:r>
          </w:p>
        </w:tc>
        <w:tc>
          <w:tcPr>
            <w:tcW w:w="1341" w:type="dxa"/>
            <w:shd w:val="clear" w:color="auto" w:fill="FFFFFF"/>
            <w:vAlign w:val="center"/>
          </w:tcPr>
          <w:p w14:paraId="69FE8530" w14:textId="77777777" w:rsidR="00E624FD" w:rsidRPr="00CB6C59" w:rsidRDefault="00E624FD" w:rsidP="00E624FD">
            <w:pPr>
              <w:keepNext/>
              <w:autoSpaceDE w:val="0"/>
              <w:autoSpaceDN w:val="0"/>
              <w:adjustRightInd w:val="0"/>
              <w:jc w:val="center"/>
              <w:rPr>
                <w:rFonts w:cs="Arial"/>
                <w:color w:val="000000"/>
                <w:sz w:val="20"/>
              </w:rPr>
            </w:pPr>
          </w:p>
        </w:tc>
        <w:tc>
          <w:tcPr>
            <w:tcW w:w="1341" w:type="dxa"/>
            <w:shd w:val="clear" w:color="auto" w:fill="FFFFFF"/>
            <w:vAlign w:val="center"/>
          </w:tcPr>
          <w:p w14:paraId="64486677"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1E0483AD" w14:textId="77777777" w:rsidTr="00E624FD">
        <w:trPr>
          <w:cantSplit/>
          <w:trHeight w:val="288"/>
          <w:jc w:val="center"/>
        </w:trPr>
        <w:tc>
          <w:tcPr>
            <w:tcW w:w="3351" w:type="dxa"/>
            <w:tcBorders>
              <w:top w:val="nil"/>
              <w:bottom w:val="single" w:sz="4" w:space="0" w:color="auto"/>
            </w:tcBorders>
            <w:shd w:val="clear" w:color="auto" w:fill="FFFFFF"/>
            <w:vAlign w:val="center"/>
          </w:tcPr>
          <w:p w14:paraId="5026ACC0" w14:textId="77777777" w:rsidR="00E624FD" w:rsidRPr="00CB6C59" w:rsidRDefault="00E624FD" w:rsidP="00E624FD">
            <w:pPr>
              <w:keepNext/>
              <w:autoSpaceDE w:val="0"/>
              <w:autoSpaceDN w:val="0"/>
              <w:adjustRightInd w:val="0"/>
              <w:ind w:left="173"/>
              <w:rPr>
                <w:rFonts w:cs="Arial"/>
                <w:color w:val="000000"/>
                <w:sz w:val="20"/>
              </w:rPr>
            </w:pPr>
          </w:p>
        </w:tc>
        <w:tc>
          <w:tcPr>
            <w:tcW w:w="744" w:type="dxa"/>
            <w:shd w:val="clear" w:color="auto" w:fill="FFFFFF"/>
            <w:vAlign w:val="center"/>
          </w:tcPr>
          <w:p w14:paraId="76BE1C8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341" w:type="dxa"/>
            <w:shd w:val="clear" w:color="auto" w:fill="FFFFFF"/>
            <w:vAlign w:val="center"/>
          </w:tcPr>
          <w:p w14:paraId="765A9FD8"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shd w:val="clear" w:color="auto" w:fill="FFFFFF"/>
            <w:vAlign w:val="center"/>
          </w:tcPr>
          <w:p w14:paraId="0DB3121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 (5.6%)</w:t>
            </w:r>
          </w:p>
        </w:tc>
        <w:tc>
          <w:tcPr>
            <w:tcW w:w="1341" w:type="dxa"/>
            <w:shd w:val="clear" w:color="auto" w:fill="FFFFFF"/>
            <w:vAlign w:val="center"/>
          </w:tcPr>
          <w:p w14:paraId="29C9B022" w14:textId="77777777" w:rsidR="00E624FD" w:rsidRPr="00CB6C59" w:rsidRDefault="00E624FD" w:rsidP="00E624FD">
            <w:pPr>
              <w:keepNext/>
              <w:autoSpaceDE w:val="0"/>
              <w:autoSpaceDN w:val="0"/>
              <w:adjustRightInd w:val="0"/>
              <w:jc w:val="center"/>
              <w:rPr>
                <w:rFonts w:cs="Arial"/>
                <w:color w:val="000000"/>
                <w:sz w:val="20"/>
              </w:rPr>
            </w:pPr>
          </w:p>
        </w:tc>
        <w:tc>
          <w:tcPr>
            <w:tcW w:w="1341" w:type="dxa"/>
            <w:shd w:val="clear" w:color="auto" w:fill="FFFFFF"/>
            <w:vAlign w:val="center"/>
          </w:tcPr>
          <w:p w14:paraId="3976CF89"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4055D995" w14:textId="77777777" w:rsidTr="00E624FD">
        <w:trPr>
          <w:cantSplit/>
          <w:trHeight w:val="288"/>
          <w:jc w:val="center"/>
        </w:trPr>
        <w:tc>
          <w:tcPr>
            <w:tcW w:w="3351" w:type="dxa"/>
            <w:tcBorders>
              <w:top w:val="single" w:sz="4" w:space="0" w:color="auto"/>
              <w:bottom w:val="nil"/>
            </w:tcBorders>
            <w:shd w:val="clear" w:color="auto" w:fill="FFFFFF"/>
            <w:vAlign w:val="center"/>
          </w:tcPr>
          <w:p w14:paraId="2E3C5393" w14:textId="77777777" w:rsidR="00E624FD" w:rsidRPr="00CB6C59" w:rsidRDefault="00E624FD" w:rsidP="00E624FD">
            <w:pPr>
              <w:keepNext/>
              <w:autoSpaceDE w:val="0"/>
              <w:autoSpaceDN w:val="0"/>
              <w:adjustRightInd w:val="0"/>
              <w:ind w:left="173"/>
              <w:rPr>
                <w:rFonts w:cs="Arial"/>
                <w:color w:val="000000"/>
                <w:sz w:val="20"/>
              </w:rPr>
            </w:pPr>
            <w:r w:rsidRPr="00CB6C59">
              <w:rPr>
                <w:rFonts w:cs="Arial"/>
                <w:color w:val="000000"/>
                <w:sz w:val="20"/>
              </w:rPr>
              <w:t>Neutrophil count decreased</w:t>
            </w:r>
          </w:p>
        </w:tc>
        <w:tc>
          <w:tcPr>
            <w:tcW w:w="744" w:type="dxa"/>
            <w:shd w:val="clear" w:color="auto" w:fill="FFFFFF"/>
            <w:vAlign w:val="center"/>
          </w:tcPr>
          <w:p w14:paraId="5B5EEC11"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1</w:t>
            </w:r>
          </w:p>
        </w:tc>
        <w:tc>
          <w:tcPr>
            <w:tcW w:w="1341" w:type="dxa"/>
            <w:shd w:val="clear" w:color="auto" w:fill="FFFFFF"/>
            <w:vAlign w:val="center"/>
          </w:tcPr>
          <w:p w14:paraId="639334D2"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(16.7%)</w:t>
            </w:r>
          </w:p>
        </w:tc>
        <w:tc>
          <w:tcPr>
            <w:tcW w:w="1341" w:type="dxa"/>
            <w:shd w:val="clear" w:color="auto" w:fill="FFFFFF"/>
            <w:vAlign w:val="center"/>
          </w:tcPr>
          <w:p w14:paraId="215E44AB"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3 (16.7%)</w:t>
            </w:r>
          </w:p>
        </w:tc>
        <w:tc>
          <w:tcPr>
            <w:tcW w:w="1341" w:type="dxa"/>
            <w:shd w:val="clear" w:color="auto" w:fill="FFFFFF"/>
            <w:vAlign w:val="center"/>
          </w:tcPr>
          <w:p w14:paraId="387D0892" w14:textId="77777777" w:rsidR="00E624FD" w:rsidRPr="00CB6C59" w:rsidRDefault="00E624FD" w:rsidP="00E624FD">
            <w:pPr>
              <w:keepNext/>
              <w:autoSpaceDE w:val="0"/>
              <w:autoSpaceDN w:val="0"/>
              <w:adjustRightInd w:val="0"/>
              <w:jc w:val="center"/>
              <w:rPr>
                <w:rFonts w:cs="Arial"/>
                <w:color w:val="000000"/>
                <w:sz w:val="20"/>
              </w:rPr>
            </w:pPr>
          </w:p>
        </w:tc>
        <w:tc>
          <w:tcPr>
            <w:tcW w:w="1341" w:type="dxa"/>
            <w:shd w:val="clear" w:color="auto" w:fill="FFFFFF"/>
            <w:vAlign w:val="center"/>
          </w:tcPr>
          <w:p w14:paraId="2FBEA893" w14:textId="77777777" w:rsidR="00E624FD" w:rsidRPr="00CB6C59" w:rsidRDefault="00E624FD" w:rsidP="00E624FD">
            <w:pPr>
              <w:keepNext/>
              <w:autoSpaceDE w:val="0"/>
              <w:autoSpaceDN w:val="0"/>
              <w:adjustRightInd w:val="0"/>
              <w:jc w:val="center"/>
              <w:rPr>
                <w:rFonts w:cs="Arial"/>
                <w:color w:val="000000"/>
                <w:sz w:val="20"/>
              </w:rPr>
            </w:pPr>
          </w:p>
        </w:tc>
      </w:tr>
      <w:tr w:rsidR="00E624FD" w:rsidRPr="00CB6C59" w14:paraId="6C7694C3" w14:textId="77777777" w:rsidTr="00E624FD">
        <w:trPr>
          <w:cantSplit/>
          <w:trHeight w:val="288"/>
          <w:jc w:val="center"/>
        </w:trPr>
        <w:tc>
          <w:tcPr>
            <w:tcW w:w="3351" w:type="dxa"/>
            <w:tcBorders>
              <w:top w:val="nil"/>
              <w:bottom w:val="single" w:sz="12" w:space="0" w:color="auto"/>
            </w:tcBorders>
            <w:shd w:val="clear" w:color="auto" w:fill="FFFFFF"/>
            <w:vAlign w:val="center"/>
          </w:tcPr>
          <w:p w14:paraId="3888FC3A" w14:textId="77777777" w:rsidR="00E624FD" w:rsidRPr="00CB6C59" w:rsidRDefault="00E624FD" w:rsidP="00E624FD">
            <w:pPr>
              <w:keepNext/>
              <w:autoSpaceDE w:val="0"/>
              <w:autoSpaceDN w:val="0"/>
              <w:adjustRightInd w:val="0"/>
              <w:ind w:left="173"/>
              <w:rPr>
                <w:rFonts w:cs="Arial"/>
                <w:color w:val="000000"/>
                <w:sz w:val="20"/>
              </w:rPr>
            </w:pPr>
          </w:p>
        </w:tc>
        <w:tc>
          <w:tcPr>
            <w:tcW w:w="744" w:type="dxa"/>
            <w:tcBorders>
              <w:bottom w:val="single" w:sz="12" w:space="0" w:color="auto"/>
            </w:tcBorders>
            <w:shd w:val="clear" w:color="auto" w:fill="FFFFFF"/>
            <w:vAlign w:val="center"/>
          </w:tcPr>
          <w:p w14:paraId="7A410167"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w:t>
            </w:r>
          </w:p>
        </w:tc>
        <w:tc>
          <w:tcPr>
            <w:tcW w:w="1341" w:type="dxa"/>
            <w:tcBorders>
              <w:bottom w:val="single" w:sz="12" w:space="0" w:color="auto"/>
            </w:tcBorders>
            <w:shd w:val="clear" w:color="auto" w:fill="FFFFFF"/>
            <w:vAlign w:val="center"/>
          </w:tcPr>
          <w:p w14:paraId="2ADFBF6F"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0</w:t>
            </w:r>
          </w:p>
        </w:tc>
        <w:tc>
          <w:tcPr>
            <w:tcW w:w="1341" w:type="dxa"/>
            <w:tcBorders>
              <w:bottom w:val="single" w:sz="12" w:space="0" w:color="auto"/>
            </w:tcBorders>
            <w:shd w:val="clear" w:color="auto" w:fill="FFFFFF"/>
            <w:vAlign w:val="center"/>
          </w:tcPr>
          <w:p w14:paraId="64BFD845" w14:textId="77777777" w:rsidR="00E624FD" w:rsidRPr="00CB6C59" w:rsidRDefault="00E624FD" w:rsidP="00E624FD">
            <w:pPr>
              <w:keepNext/>
              <w:autoSpaceDE w:val="0"/>
              <w:autoSpaceDN w:val="0"/>
              <w:adjustRightInd w:val="0"/>
              <w:jc w:val="center"/>
              <w:rPr>
                <w:rFonts w:cs="Arial"/>
                <w:color w:val="000000"/>
                <w:sz w:val="20"/>
              </w:rPr>
            </w:pPr>
            <w:r w:rsidRPr="00CB6C59">
              <w:rPr>
                <w:rFonts w:cs="Arial"/>
                <w:color w:val="000000"/>
                <w:sz w:val="20"/>
              </w:rPr>
              <w:t>2 (11.1%)</w:t>
            </w:r>
          </w:p>
        </w:tc>
        <w:tc>
          <w:tcPr>
            <w:tcW w:w="1341" w:type="dxa"/>
            <w:tcBorders>
              <w:bottom w:val="single" w:sz="12" w:space="0" w:color="auto"/>
            </w:tcBorders>
            <w:shd w:val="clear" w:color="auto" w:fill="FFFFFF"/>
            <w:vAlign w:val="center"/>
          </w:tcPr>
          <w:p w14:paraId="2ED8ABD4" w14:textId="77777777" w:rsidR="00E624FD" w:rsidRPr="00CB6C59" w:rsidRDefault="00E624FD" w:rsidP="00E624FD">
            <w:pPr>
              <w:keepNext/>
              <w:autoSpaceDE w:val="0"/>
              <w:autoSpaceDN w:val="0"/>
              <w:adjustRightInd w:val="0"/>
              <w:jc w:val="center"/>
              <w:rPr>
                <w:rFonts w:cs="Arial"/>
                <w:color w:val="000000"/>
                <w:sz w:val="20"/>
              </w:rPr>
            </w:pPr>
          </w:p>
        </w:tc>
        <w:tc>
          <w:tcPr>
            <w:tcW w:w="1341" w:type="dxa"/>
            <w:tcBorders>
              <w:bottom w:val="single" w:sz="12" w:space="0" w:color="auto"/>
            </w:tcBorders>
            <w:shd w:val="clear" w:color="auto" w:fill="FFFFFF"/>
            <w:vAlign w:val="center"/>
          </w:tcPr>
          <w:p w14:paraId="4944B8E9" w14:textId="77777777" w:rsidR="00E624FD" w:rsidRPr="00CB6C59" w:rsidRDefault="00E624FD" w:rsidP="00E624FD">
            <w:pPr>
              <w:keepNext/>
              <w:autoSpaceDE w:val="0"/>
              <w:autoSpaceDN w:val="0"/>
              <w:adjustRightInd w:val="0"/>
              <w:jc w:val="center"/>
              <w:rPr>
                <w:rFonts w:cs="Arial"/>
                <w:color w:val="000000"/>
                <w:sz w:val="20"/>
              </w:rPr>
            </w:pPr>
          </w:p>
        </w:tc>
      </w:tr>
    </w:tbl>
    <w:p w14:paraId="1C36000B" w14:textId="77777777" w:rsidR="00E624FD" w:rsidRPr="00CB6C59" w:rsidRDefault="00E624FD" w:rsidP="00E624FD">
      <w:pPr>
        <w:autoSpaceDE w:val="0"/>
        <w:autoSpaceDN w:val="0"/>
        <w:ind w:left="180"/>
        <w:rPr>
          <w:rFonts w:cs="Arial"/>
          <w:color w:val="000000"/>
          <w:sz w:val="18"/>
          <w:szCs w:val="18"/>
        </w:rPr>
      </w:pPr>
      <w:r w:rsidRPr="00CB6C59">
        <w:rPr>
          <w:rFonts w:cs="Arial"/>
          <w:color w:val="000000"/>
          <w:sz w:val="18"/>
          <w:szCs w:val="18"/>
        </w:rPr>
        <w:t>Note: Highest severity per subject reported for each event.</w:t>
      </w:r>
    </w:p>
    <w:p w14:paraId="265D81C6" w14:textId="0BC89914" w:rsidR="00353452" w:rsidRPr="00353452" w:rsidRDefault="00353452" w:rsidP="00353452">
      <w:pPr>
        <w:pStyle w:val="BodyText2"/>
      </w:pPr>
    </w:p>
    <w:p w14:paraId="018C8B40" w14:textId="77777777" w:rsidR="00F43682" w:rsidRDefault="00F43682">
      <w:pPr>
        <w:pStyle w:val="Heading2"/>
      </w:pPr>
      <w:bookmarkStart w:id="88" w:name="_Toc42588961"/>
      <w:bookmarkStart w:id="89" w:name="_Toc53202802"/>
      <w:bookmarkStart w:id="90" w:name="_Toc389129943"/>
      <w:bookmarkStart w:id="91" w:name="_Toc440906244"/>
      <w:r>
        <w:t>Rationale</w:t>
      </w:r>
      <w:bookmarkEnd w:id="88"/>
      <w:bookmarkEnd w:id="89"/>
      <w:bookmarkEnd w:id="90"/>
      <w:bookmarkEnd w:id="91"/>
    </w:p>
    <w:p w14:paraId="2B1C1363" w14:textId="1111EAEA" w:rsidR="00194FDC" w:rsidRPr="00072B81" w:rsidRDefault="00194FDC" w:rsidP="00072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80" w:after="180" w:line="276" w:lineRule="auto"/>
        <w:rPr>
          <w:rFonts w:cs="Arial"/>
          <w:szCs w:val="22"/>
        </w:rPr>
      </w:pPr>
      <w:r w:rsidRPr="00072B81">
        <w:rPr>
          <w:rFonts w:cs="Arial"/>
          <w:color w:val="000000"/>
          <w:szCs w:val="22"/>
        </w:rPr>
        <w:t xml:space="preserve">The rationale for this trial </w:t>
      </w:r>
      <w:r w:rsidR="001B1988">
        <w:rPr>
          <w:rFonts w:cs="Arial"/>
          <w:color w:val="000000"/>
          <w:szCs w:val="22"/>
        </w:rPr>
        <w:t xml:space="preserve">is to establish safety </w:t>
      </w:r>
      <w:r w:rsidR="00B46417">
        <w:rPr>
          <w:rFonts w:cs="Arial"/>
          <w:color w:val="000000"/>
          <w:szCs w:val="22"/>
        </w:rPr>
        <w:t xml:space="preserve">and immunogenicity of the </w:t>
      </w:r>
      <w:r w:rsidR="00B46417" w:rsidRPr="00072B81">
        <w:rPr>
          <w:rFonts w:cs="Arial"/>
          <w:szCs w:val="22"/>
        </w:rPr>
        <w:t>ID93 + GLA-SE</w:t>
      </w:r>
      <w:r w:rsidR="00B46417">
        <w:rPr>
          <w:rFonts w:cs="Arial"/>
          <w:color w:val="000000"/>
          <w:szCs w:val="22"/>
        </w:rPr>
        <w:t xml:space="preserve"> vaccine </w:t>
      </w:r>
      <w:r w:rsidR="001B1988">
        <w:rPr>
          <w:rFonts w:cs="Arial"/>
          <w:color w:val="000000"/>
          <w:szCs w:val="22"/>
        </w:rPr>
        <w:t xml:space="preserve">in </w:t>
      </w:r>
      <w:r w:rsidR="001B1988" w:rsidRPr="00EB42E9">
        <w:t xml:space="preserve">HIV uninfected adult </w:t>
      </w:r>
      <w:r w:rsidR="001B1988">
        <w:t xml:space="preserve">pulmonary </w:t>
      </w:r>
      <w:r w:rsidR="001B1988">
        <w:rPr>
          <w:rFonts w:cs="Arial"/>
          <w:color w:val="000000"/>
          <w:szCs w:val="22"/>
        </w:rPr>
        <w:t>TB patients</w:t>
      </w:r>
      <w:r w:rsidR="00B46417">
        <w:rPr>
          <w:rFonts w:cs="Arial"/>
          <w:color w:val="000000"/>
          <w:szCs w:val="22"/>
        </w:rPr>
        <w:t xml:space="preserve"> upon completion of treatment,</w:t>
      </w:r>
      <w:r w:rsidR="001B1988">
        <w:rPr>
          <w:rFonts w:cs="Arial"/>
          <w:color w:val="000000"/>
          <w:szCs w:val="22"/>
        </w:rPr>
        <w:t xml:space="preserve"> in preparation for a planned Phase 2b prevention of TB recurrence trial</w:t>
      </w:r>
      <w:r w:rsidR="00B46417">
        <w:rPr>
          <w:rFonts w:cs="Arial"/>
          <w:color w:val="000000"/>
          <w:szCs w:val="22"/>
        </w:rPr>
        <w:t xml:space="preserve"> in this study population</w:t>
      </w:r>
      <w:r w:rsidR="001B1988">
        <w:rPr>
          <w:rFonts w:cs="Arial"/>
          <w:color w:val="000000"/>
          <w:szCs w:val="22"/>
        </w:rPr>
        <w:t>. The rationale for the proposed Phase 2b trial</w:t>
      </w:r>
      <w:r w:rsidR="00926902">
        <w:rPr>
          <w:rFonts w:cs="Arial"/>
          <w:color w:val="000000"/>
          <w:szCs w:val="22"/>
        </w:rPr>
        <w:t xml:space="preserve"> </w:t>
      </w:r>
      <w:r w:rsidR="00DD3316">
        <w:rPr>
          <w:rFonts w:cs="Arial"/>
          <w:color w:val="000000"/>
          <w:szCs w:val="22"/>
        </w:rPr>
        <w:t xml:space="preserve">is based on </w:t>
      </w:r>
      <w:r w:rsidRPr="00072B81">
        <w:rPr>
          <w:rFonts w:cs="Arial"/>
          <w:color w:val="000000"/>
          <w:szCs w:val="22"/>
        </w:rPr>
        <w:t xml:space="preserve">1) the potential of post-treatment </w:t>
      </w:r>
      <w:r w:rsidR="00072B81" w:rsidRPr="00072B81">
        <w:rPr>
          <w:rFonts w:cs="Arial"/>
          <w:szCs w:val="22"/>
        </w:rPr>
        <w:t>ID93 + GLA-SE</w:t>
      </w:r>
      <w:r w:rsidRPr="00072B81">
        <w:rPr>
          <w:rFonts w:cs="Arial"/>
          <w:szCs w:val="22"/>
        </w:rPr>
        <w:t xml:space="preserve"> vaccination </w:t>
      </w:r>
      <w:r w:rsidRPr="00072B81">
        <w:rPr>
          <w:rFonts w:cs="Arial"/>
          <w:color w:val="000000"/>
          <w:szCs w:val="22"/>
        </w:rPr>
        <w:t>to reduce the rate of recurrent TB disease, and thus i</w:t>
      </w:r>
      <w:r w:rsidR="00DD3316">
        <w:rPr>
          <w:rFonts w:cs="Arial"/>
          <w:color w:val="000000"/>
          <w:szCs w:val="22"/>
        </w:rPr>
        <w:t xml:space="preserve">mprove MDR-TB control efforts; </w:t>
      </w:r>
      <w:r w:rsidRPr="00072B81">
        <w:rPr>
          <w:rFonts w:cs="Arial"/>
          <w:color w:val="000000"/>
          <w:szCs w:val="22"/>
        </w:rPr>
        <w:t>2) the need for a proof-of-concept efficacy signal for this novel TB vaccine, in a study population with very high incide</w:t>
      </w:r>
      <w:r w:rsidR="006E41C8" w:rsidRPr="00072B81">
        <w:rPr>
          <w:rFonts w:cs="Arial"/>
          <w:color w:val="000000"/>
          <w:szCs w:val="22"/>
        </w:rPr>
        <w:t xml:space="preserve">nce of the TB disease endpoint, which could justify </w:t>
      </w:r>
      <w:r w:rsidRPr="00072B81">
        <w:rPr>
          <w:rFonts w:cs="Arial"/>
          <w:color w:val="000000"/>
          <w:szCs w:val="22"/>
        </w:rPr>
        <w:t xml:space="preserve">expansion to Phase </w:t>
      </w:r>
      <w:r w:rsidR="00F42DB9">
        <w:rPr>
          <w:rFonts w:cs="Arial"/>
          <w:color w:val="000000"/>
          <w:szCs w:val="22"/>
        </w:rPr>
        <w:t>3</w:t>
      </w:r>
      <w:r w:rsidR="00F42DB9" w:rsidRPr="00072B81">
        <w:rPr>
          <w:rFonts w:cs="Arial"/>
          <w:color w:val="000000"/>
          <w:szCs w:val="22"/>
        </w:rPr>
        <w:t xml:space="preserve"> </w:t>
      </w:r>
      <w:r w:rsidR="00DD3316">
        <w:rPr>
          <w:rFonts w:cs="Arial"/>
          <w:color w:val="000000"/>
          <w:szCs w:val="22"/>
        </w:rPr>
        <w:t xml:space="preserve">trials; and </w:t>
      </w:r>
      <w:r w:rsidRPr="00072B81">
        <w:rPr>
          <w:rFonts w:cs="Arial"/>
          <w:color w:val="000000"/>
          <w:szCs w:val="22"/>
        </w:rPr>
        <w:t xml:space="preserve">3) the need for safety data in TB patients who have recently completed TB treatment, </w:t>
      </w:r>
      <w:r w:rsidRPr="00F42DB9">
        <w:rPr>
          <w:rFonts w:cs="Arial"/>
          <w:color w:val="000000"/>
          <w:szCs w:val="22"/>
        </w:rPr>
        <w:t xml:space="preserve">prior to testing </w:t>
      </w:r>
      <w:r w:rsidR="00072B81" w:rsidRPr="00F42DB9">
        <w:rPr>
          <w:rFonts w:cs="Arial"/>
          <w:szCs w:val="22"/>
        </w:rPr>
        <w:t>ID93 + GLA-SE</w:t>
      </w:r>
      <w:r w:rsidRPr="00F42DB9">
        <w:rPr>
          <w:rFonts w:cs="Arial"/>
          <w:szCs w:val="22"/>
        </w:rPr>
        <w:t xml:space="preserve"> as a therapeutic vaccine in TB patients receiving active treatment</w:t>
      </w:r>
      <w:r w:rsidRPr="00072B81">
        <w:rPr>
          <w:rFonts w:cs="Arial"/>
          <w:szCs w:val="22"/>
        </w:rPr>
        <w:t>.</w:t>
      </w:r>
    </w:p>
    <w:p w14:paraId="7C8F9D35" w14:textId="64C55437" w:rsidR="00220146" w:rsidRPr="00072B81" w:rsidRDefault="00D465C3" w:rsidP="00072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80" w:after="180" w:line="276" w:lineRule="auto"/>
        <w:rPr>
          <w:rFonts w:cs="Arial"/>
          <w:color w:val="000000"/>
          <w:szCs w:val="22"/>
        </w:rPr>
      </w:pPr>
      <w:r w:rsidRPr="00072B81">
        <w:rPr>
          <w:rFonts w:cs="Arial"/>
          <w:color w:val="000000"/>
          <w:szCs w:val="22"/>
        </w:rPr>
        <w:t>The emergence</w:t>
      </w:r>
      <w:r w:rsidR="00AE5841" w:rsidRPr="00072B81">
        <w:rPr>
          <w:rFonts w:cs="Arial"/>
          <w:color w:val="000000"/>
          <w:szCs w:val="22"/>
        </w:rPr>
        <w:t xml:space="preserve"> of drug resistant strains of MTB</w:t>
      </w:r>
      <w:r w:rsidRPr="00072B81">
        <w:rPr>
          <w:rFonts w:cs="Arial"/>
          <w:color w:val="000000"/>
          <w:szCs w:val="22"/>
        </w:rPr>
        <w:t xml:space="preserve"> presents a significant threat to global TB control efforts and international health. In 2010, it is estimated that there were 490,000 incident cases of MDR-TB, an increase of 80% from estimates in 2000</w:t>
      </w:r>
      <w:r w:rsidR="00F83EFB">
        <w:rPr>
          <w:rFonts w:cs="Arial"/>
          <w:color w:val="000000"/>
          <w:szCs w:val="22"/>
        </w:rPr>
        <w:t xml:space="preserve"> </w:t>
      </w:r>
      <w:r w:rsidR="00BB24EE">
        <w:rPr>
          <w:rFonts w:cs="Arial"/>
          <w:color w:val="000000"/>
          <w:szCs w:val="22"/>
        </w:rPr>
        <w:fldChar w:fldCharType="begin"/>
      </w:r>
      <w:r w:rsidR="003321BC">
        <w:rPr>
          <w:rFonts w:cs="Arial"/>
          <w:color w:val="000000"/>
          <w:szCs w:val="22"/>
        </w:rPr>
        <w:instrText xml:space="preserve"> ADDIN EN.CITE &lt;EndNote&gt;&lt;Cite&gt;&lt;Author&gt;WHO&lt;/Author&gt;&lt;Year&gt;20011&lt;/Year&gt;&lt;RecNum&gt;4&lt;/RecNum&gt;&lt;DisplayText&gt;[2]&lt;/DisplayText&gt;&lt;record&gt;&lt;rec-number&gt;4&lt;/rec-number&gt;&lt;foreign-keys&gt;&lt;key app="EN" db-id="evfssswxaawzxqef5tqx5xasdv9ded0rp55x" timestamp="1400491678"&gt;4&lt;/key&gt;&lt;/foreign-keys&gt;&lt;ref-type name="Journal Article"&gt;17&lt;/ref-type&gt;&lt;contributors&gt;&lt;authors&gt;&lt;author&gt;WHO&lt;/author&gt;&lt;/authors&gt;&lt;/contributors&gt;&lt;titles&gt;&lt;title&gt;Global Tuberculosis Control Report&lt;/title&gt;&lt;/titles&gt;&lt;dates&gt;&lt;year&gt;20011&lt;/year&gt;&lt;/dates&gt;&lt;urls&gt;&lt;/urls&gt;&lt;/record&gt;&lt;/Cite&gt;&lt;/EndNote&gt;</w:instrText>
      </w:r>
      <w:r w:rsidR="00BB24EE">
        <w:rPr>
          <w:rFonts w:cs="Arial"/>
          <w:color w:val="000000"/>
          <w:szCs w:val="22"/>
        </w:rPr>
        <w:fldChar w:fldCharType="separate"/>
      </w:r>
      <w:r w:rsidR="003321BC">
        <w:rPr>
          <w:rFonts w:cs="Arial"/>
          <w:noProof/>
          <w:color w:val="000000"/>
          <w:szCs w:val="22"/>
        </w:rPr>
        <w:t>[</w:t>
      </w:r>
      <w:hyperlink w:anchor="_ENREF_2" w:tooltip="WHO, 20011 #4" w:history="1">
        <w:r w:rsidR="001A1F59" w:rsidRPr="0040275E">
          <w:rPr>
            <w:rFonts w:cs="Arial"/>
            <w:noProof/>
            <w:color w:val="0000FF"/>
            <w:szCs w:val="22"/>
          </w:rPr>
          <w:t>2</w:t>
        </w:r>
      </w:hyperlink>
      <w:r w:rsidR="003321BC">
        <w:rPr>
          <w:rFonts w:cs="Arial"/>
          <w:noProof/>
          <w:color w:val="000000"/>
          <w:szCs w:val="22"/>
        </w:rPr>
        <w:t>]</w:t>
      </w:r>
      <w:r w:rsidR="00BB24EE">
        <w:rPr>
          <w:rFonts w:cs="Arial"/>
          <w:color w:val="000000"/>
          <w:szCs w:val="22"/>
        </w:rPr>
        <w:fldChar w:fldCharType="end"/>
      </w:r>
      <w:r w:rsidRPr="00072B81">
        <w:rPr>
          <w:rFonts w:cs="Arial"/>
          <w:color w:val="000000"/>
          <w:szCs w:val="22"/>
        </w:rPr>
        <w:t>. It is estimated that global MDR-TB prevalence is between 1 and 1.5 million. From 1990 to 2009, incidence of TB in South Africa has risen from 302/100,000 persons to 970/100,000 persons, among the highest in the world.</w:t>
      </w:r>
      <w:r w:rsidR="00AE5841" w:rsidRPr="00072B81">
        <w:rPr>
          <w:rFonts w:cs="Arial"/>
          <w:color w:val="000000"/>
          <w:szCs w:val="22"/>
        </w:rPr>
        <w:t xml:space="preserve"> </w:t>
      </w:r>
      <w:r w:rsidR="00772A62" w:rsidRPr="00072B81">
        <w:rPr>
          <w:rFonts w:cs="Arial"/>
          <w:color w:val="000000"/>
          <w:szCs w:val="22"/>
        </w:rPr>
        <w:t>Eighteen thousand recurrent TB cases were reported in South Africa in 2010</w:t>
      </w:r>
      <w:r w:rsidR="00F83EFB">
        <w:rPr>
          <w:rFonts w:cs="Arial"/>
          <w:color w:val="000000"/>
          <w:szCs w:val="22"/>
        </w:rPr>
        <w:t xml:space="preserve"> </w:t>
      </w:r>
      <w:r w:rsidR="00BB24EE">
        <w:rPr>
          <w:rFonts w:cs="Arial"/>
          <w:color w:val="000000"/>
          <w:szCs w:val="22"/>
        </w:rPr>
        <w:fldChar w:fldCharType="begin"/>
      </w:r>
      <w:r w:rsidR="003321BC">
        <w:rPr>
          <w:rFonts w:cs="Arial"/>
          <w:color w:val="000000"/>
          <w:szCs w:val="22"/>
        </w:rPr>
        <w:instrText xml:space="preserve"> ADDIN EN.CITE &lt;EndNote&gt;&lt;Cite&gt;&lt;Author&gt;WHO&lt;/Author&gt;&lt;Year&gt;20011&lt;/Year&gt;&lt;RecNum&gt;4&lt;/RecNum&gt;&lt;DisplayText&gt;[2]&lt;/DisplayText&gt;&lt;record&gt;&lt;rec-number&gt;4&lt;/rec-number&gt;&lt;foreign-keys&gt;&lt;key app="EN" db-id="evfssswxaawzxqef5tqx5xasdv9ded0rp55x" timestamp="1400491678"&gt;4&lt;/key&gt;&lt;/foreign-keys&gt;&lt;ref-type name="Journal Article"&gt;17&lt;/ref-type&gt;&lt;contributors&gt;&lt;authors&gt;&lt;author&gt;WHO&lt;/author&gt;&lt;/authors&gt;&lt;/contributors&gt;&lt;titles&gt;&lt;title&gt;Global Tuberculosis Control Report&lt;/title&gt;&lt;/titles&gt;&lt;dates&gt;&lt;year&gt;20011&lt;/year&gt;&lt;/dates&gt;&lt;urls&gt;&lt;/urls&gt;&lt;/record&gt;&lt;/Cite&gt;&lt;/EndNote&gt;</w:instrText>
      </w:r>
      <w:r w:rsidR="00BB24EE">
        <w:rPr>
          <w:rFonts w:cs="Arial"/>
          <w:color w:val="000000"/>
          <w:szCs w:val="22"/>
        </w:rPr>
        <w:fldChar w:fldCharType="separate"/>
      </w:r>
      <w:r w:rsidR="003321BC">
        <w:rPr>
          <w:rFonts w:cs="Arial"/>
          <w:noProof/>
          <w:color w:val="000000"/>
          <w:szCs w:val="22"/>
        </w:rPr>
        <w:t>[</w:t>
      </w:r>
      <w:hyperlink w:anchor="_ENREF_2" w:tooltip="WHO, 20011 #4" w:history="1">
        <w:r w:rsidR="001A1F59" w:rsidRPr="0040275E">
          <w:rPr>
            <w:rFonts w:cs="Arial"/>
            <w:noProof/>
            <w:color w:val="0000FF"/>
            <w:szCs w:val="22"/>
          </w:rPr>
          <w:t>2</w:t>
        </w:r>
      </w:hyperlink>
      <w:r w:rsidR="003321BC">
        <w:rPr>
          <w:rFonts w:cs="Arial"/>
          <w:noProof/>
          <w:color w:val="000000"/>
          <w:szCs w:val="22"/>
        </w:rPr>
        <w:t>]</w:t>
      </w:r>
      <w:r w:rsidR="00BB24EE">
        <w:rPr>
          <w:rFonts w:cs="Arial"/>
          <w:color w:val="000000"/>
          <w:szCs w:val="22"/>
        </w:rPr>
        <w:fldChar w:fldCharType="end"/>
      </w:r>
      <w:r w:rsidR="00772A62" w:rsidRPr="00072B81">
        <w:rPr>
          <w:rFonts w:cs="Arial"/>
          <w:color w:val="000000"/>
          <w:szCs w:val="22"/>
        </w:rPr>
        <w:t>. Retreatment TB</w:t>
      </w:r>
      <w:r w:rsidR="00AE5841" w:rsidRPr="00072B81">
        <w:rPr>
          <w:rFonts w:cs="Arial"/>
          <w:color w:val="000000"/>
          <w:szCs w:val="22"/>
        </w:rPr>
        <w:t xml:space="preserve"> </w:t>
      </w:r>
      <w:r w:rsidR="00772A62" w:rsidRPr="00072B81">
        <w:rPr>
          <w:rFonts w:cs="Arial"/>
          <w:color w:val="000000"/>
          <w:szCs w:val="22"/>
        </w:rPr>
        <w:t xml:space="preserve">drug regimens </w:t>
      </w:r>
      <w:r w:rsidR="00BB24EE">
        <w:rPr>
          <w:rFonts w:cs="Arial"/>
          <w:color w:val="000000"/>
          <w:szCs w:val="22"/>
        </w:rPr>
        <w:t>may be</w:t>
      </w:r>
      <w:r w:rsidR="00772A62" w:rsidRPr="00072B81">
        <w:rPr>
          <w:rFonts w:cs="Arial"/>
          <w:color w:val="000000"/>
          <w:szCs w:val="22"/>
        </w:rPr>
        <w:t xml:space="preserve"> long, complex, and a</w:t>
      </w:r>
      <w:r w:rsidR="00D04279" w:rsidRPr="00072B81">
        <w:rPr>
          <w:rFonts w:cs="Arial"/>
          <w:color w:val="000000"/>
          <w:szCs w:val="22"/>
        </w:rPr>
        <w:t>ssociated with poor adherence</w:t>
      </w:r>
      <w:r w:rsidR="00F83EFB">
        <w:rPr>
          <w:rFonts w:cs="Arial"/>
          <w:color w:val="000000"/>
          <w:szCs w:val="22"/>
        </w:rPr>
        <w:t xml:space="preserve"> </w:t>
      </w:r>
      <w:r w:rsidR="004E1C21">
        <w:rPr>
          <w:rFonts w:cs="Arial"/>
          <w:color w:val="000000"/>
          <w:szCs w:val="22"/>
        </w:rPr>
        <w:fldChar w:fldCharType="begin"/>
      </w:r>
      <w:r w:rsidR="003321BC">
        <w:rPr>
          <w:rFonts w:cs="Arial"/>
          <w:color w:val="000000"/>
          <w:szCs w:val="22"/>
        </w:rPr>
        <w:instrText xml:space="preserve"> ADDIN EN.CITE &lt;EndNote&gt;&lt;Cite&gt;&lt;Author&gt;Marx&lt;/Author&gt;&lt;Year&gt;2012&lt;/Year&gt;&lt;RecNum&gt;150&lt;/RecNum&gt;&lt;DisplayText&gt;[3]&lt;/DisplayText&gt;&lt;record&gt;&lt;rec-number&gt;150&lt;/rec-number&gt;&lt;foreign-keys&gt;&lt;key app="EN" db-id="evfssswxaawzxqef5tqx5xasdv9ded0rp55x" timestamp="1400491678"&gt;150&lt;/key&gt;&lt;/foreign-keys&gt;&lt;ref-type name="Journal Article"&gt;17&lt;/ref-type&gt;&lt;contributors&gt;&lt;authors&gt;&lt;author&gt;Marx, F. M.&lt;/author&gt;&lt;author&gt;Dunbar, R.&lt;/author&gt;&lt;author&gt;Hesseling, A. C.&lt;/author&gt;&lt;author&gt;Enarson, D. A.&lt;/author&gt;&lt;author&gt;Fielding, K.&lt;/author&gt;&lt;author&gt;Beyers, N.&lt;/author&gt;&lt;/authors&gt;&lt;/contributors&gt;&lt;titles&gt;&lt;title&gt;Increased risk of default among previously treated tuberculosis cases in the Western Cape Province, South Africa&lt;/title&gt;&lt;secondary-title&gt;Int J Tuberc Lung Dis&lt;/secondary-title&gt;&lt;alt-title&gt;The international journal of tuberculosis and lung disease : the official journal of the International Union against Tuberculosis and Lung Disease&lt;/alt-title&gt;&lt;/titles&gt;&lt;periodical&gt;&lt;full-title&gt;Int J Tuberc Lung Dis&lt;/full-title&gt;&lt;/periodical&gt;&lt;alt-periodical&gt;&lt;full-title&gt;Int J Tuberc Lung Dis&lt;/full-title&gt;&lt;abbr-1&gt;The international journal of tuberculosis and lung disease : the official journal of the International Union against Tuberculosis and Lung Disease&lt;/abbr-1&gt;&lt;/alt-periodical&gt;&lt;edition&gt;2012/06/14&lt;/edition&gt;&lt;dates&gt;&lt;year&gt;2012&lt;/year&gt;&lt;pub-dates&gt;&lt;date&gt;Jun 11&lt;/date&gt;&lt;/pub-dates&gt;&lt;/dates&gt;&lt;isbn&gt;1815-7920 (Electronic)&amp;#xD;1027-3719 (Linking)&lt;/isbn&gt;&lt;accession-num&gt;22691549&lt;/accession-num&gt;&lt;urls&gt;&lt;related-urls&gt;&lt;url&gt;http://www.ncbi.nlm.nih.gov/pubmed/22691549&lt;/url&gt;&lt;/related-urls&gt;&lt;/urls&gt;&lt;electronic-resource-num&gt;10.5588/ijtld.11.0506&lt;/electronic-resource-num&gt;&lt;language&gt;Eng&lt;/language&gt;&lt;/record&gt;&lt;/Cite&gt;&lt;/EndNote&gt;</w:instrText>
      </w:r>
      <w:r w:rsidR="004E1C21">
        <w:rPr>
          <w:rFonts w:cs="Arial"/>
          <w:color w:val="000000"/>
          <w:szCs w:val="22"/>
        </w:rPr>
        <w:fldChar w:fldCharType="separate"/>
      </w:r>
      <w:r w:rsidR="003321BC">
        <w:rPr>
          <w:rFonts w:cs="Arial"/>
          <w:noProof/>
          <w:color w:val="000000"/>
          <w:szCs w:val="22"/>
        </w:rPr>
        <w:t>[</w:t>
      </w:r>
      <w:hyperlink w:anchor="_ENREF_3" w:tooltip="Marx, 2012 #150" w:history="1">
        <w:r w:rsidR="001A1F59" w:rsidRPr="0040275E">
          <w:rPr>
            <w:rFonts w:cs="Arial"/>
            <w:noProof/>
            <w:color w:val="0000FF"/>
            <w:szCs w:val="22"/>
          </w:rPr>
          <w:t>3</w:t>
        </w:r>
      </w:hyperlink>
      <w:r w:rsidR="003321BC">
        <w:rPr>
          <w:rFonts w:cs="Arial"/>
          <w:noProof/>
          <w:color w:val="000000"/>
          <w:szCs w:val="22"/>
        </w:rPr>
        <w:t>]</w:t>
      </w:r>
      <w:r w:rsidR="004E1C21">
        <w:rPr>
          <w:rFonts w:cs="Arial"/>
          <w:color w:val="000000"/>
          <w:szCs w:val="22"/>
        </w:rPr>
        <w:fldChar w:fldCharType="end"/>
      </w:r>
      <w:r w:rsidR="00D04279" w:rsidRPr="00072B81">
        <w:rPr>
          <w:rFonts w:cs="Arial"/>
          <w:color w:val="000000"/>
          <w:szCs w:val="22"/>
        </w:rPr>
        <w:t>; and r</w:t>
      </w:r>
      <w:r w:rsidR="00772A62" w:rsidRPr="00072B81">
        <w:rPr>
          <w:rFonts w:cs="Arial"/>
          <w:color w:val="000000"/>
          <w:szCs w:val="22"/>
        </w:rPr>
        <w:t>etreatment patients</w:t>
      </w:r>
      <w:r w:rsidR="00AE5841" w:rsidRPr="00072B81">
        <w:rPr>
          <w:rFonts w:cs="Arial"/>
          <w:color w:val="000000"/>
          <w:szCs w:val="22"/>
        </w:rPr>
        <w:t xml:space="preserve"> </w:t>
      </w:r>
      <w:r w:rsidR="00772A62" w:rsidRPr="00072B81">
        <w:rPr>
          <w:rFonts w:cs="Arial"/>
          <w:color w:val="000000"/>
          <w:szCs w:val="22"/>
        </w:rPr>
        <w:t>account for almost half of MDR-TB cases, carrying a massive burden of morbidity, mortality and</w:t>
      </w:r>
      <w:r w:rsidR="00AE5841" w:rsidRPr="00072B81">
        <w:rPr>
          <w:rFonts w:cs="Arial"/>
          <w:color w:val="000000"/>
          <w:szCs w:val="22"/>
        </w:rPr>
        <w:t xml:space="preserve"> </w:t>
      </w:r>
      <w:r w:rsidR="00772A62" w:rsidRPr="00072B81">
        <w:rPr>
          <w:rFonts w:cs="Arial"/>
          <w:color w:val="000000"/>
          <w:szCs w:val="22"/>
        </w:rPr>
        <w:t>cost of healthcare. South Africa spends half its TB budg</w:t>
      </w:r>
      <w:r w:rsidR="00D04279" w:rsidRPr="00072B81">
        <w:rPr>
          <w:rFonts w:cs="Arial"/>
          <w:color w:val="000000"/>
          <w:szCs w:val="22"/>
        </w:rPr>
        <w:t xml:space="preserve">et on MDR-TB and XDR-TB control; and </w:t>
      </w:r>
      <w:r w:rsidR="00220146" w:rsidRPr="00072B81">
        <w:rPr>
          <w:rFonts w:cs="Arial"/>
          <w:color w:val="000000"/>
          <w:szCs w:val="22"/>
        </w:rPr>
        <w:t xml:space="preserve">TB control strategies for patients with recurrent TB are aimed at prevention of MDR-TB. Effective post-treatment vaccination of TB patients against recurrent disease would be a simple intervention, which would not need expensive new infrastructure in resource-poor countries, but which would have </w:t>
      </w:r>
      <w:r w:rsidR="008A4286">
        <w:rPr>
          <w:rFonts w:cs="Arial"/>
          <w:color w:val="000000"/>
          <w:szCs w:val="22"/>
        </w:rPr>
        <w:t xml:space="preserve">a </w:t>
      </w:r>
      <w:r w:rsidR="00220146" w:rsidRPr="00072B81">
        <w:rPr>
          <w:rFonts w:cs="Arial"/>
          <w:color w:val="000000"/>
          <w:szCs w:val="22"/>
        </w:rPr>
        <w:t>major global health impact on the burden of TB control.</w:t>
      </w:r>
    </w:p>
    <w:p w14:paraId="002DE6C3" w14:textId="0AFC97CA" w:rsidR="00D14418" w:rsidRDefault="00AE5841" w:rsidP="00072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80" w:after="180" w:line="276" w:lineRule="auto"/>
        <w:rPr>
          <w:rFonts w:cs="Arial"/>
          <w:iCs/>
          <w:color w:val="000000"/>
          <w:szCs w:val="22"/>
        </w:rPr>
      </w:pPr>
      <w:r w:rsidRPr="00072B81">
        <w:rPr>
          <w:rFonts w:cs="Arial"/>
          <w:color w:val="000000"/>
          <w:szCs w:val="22"/>
        </w:rPr>
        <w:t>Patients with pulmonary TB, who have successfully complet</w:t>
      </w:r>
      <w:r w:rsidR="00D04279" w:rsidRPr="00072B81">
        <w:rPr>
          <w:rFonts w:cs="Arial"/>
          <w:color w:val="000000"/>
          <w:szCs w:val="22"/>
        </w:rPr>
        <w:t>ed treatment through to cure</w:t>
      </w:r>
      <w:r w:rsidRPr="00072B81">
        <w:rPr>
          <w:rFonts w:cs="Arial"/>
          <w:color w:val="000000"/>
          <w:szCs w:val="22"/>
        </w:rPr>
        <w:t>, remain epidemiologically and/or immunologically more susceptible to subsequent, recurrent TB than persons without prior disease</w:t>
      </w:r>
      <w:r w:rsidR="00F83EFB">
        <w:rPr>
          <w:rFonts w:cs="Arial"/>
          <w:color w:val="000000"/>
          <w:szCs w:val="22"/>
        </w:rPr>
        <w:t xml:space="preserve"> </w:t>
      </w:r>
      <w:r w:rsidR="00BB24EE">
        <w:rPr>
          <w:rFonts w:cs="Arial"/>
          <w:color w:val="000000"/>
          <w:szCs w:val="22"/>
        </w:rPr>
        <w:fldChar w:fldCharType="begin">
          <w:fldData xml:space="preserve">PEVuZE5vdGU+PENpdGU+PEF1dGhvcj5DaGFyYWxhbWJvdXM8L0F1dGhvcj48WWVhcj4yMDA4PC9Z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</w:fldData>
        </w:fldChar>
      </w:r>
      <w:r w:rsidR="003321BC">
        <w:rPr>
          <w:rFonts w:cs="Arial"/>
          <w:color w:val="000000"/>
          <w:szCs w:val="22"/>
        </w:rPr>
        <w:instrText xml:space="preserve"> ADDIN EN.CITE </w:instrText>
      </w:r>
      <w:r w:rsidR="003321BC">
        <w:rPr>
          <w:rFonts w:cs="Arial"/>
          <w:color w:val="000000"/>
          <w:szCs w:val="22"/>
        </w:rPr>
        <w:fldChar w:fldCharType="begin">
          <w:fldData xml:space="preserve">PEVuZE5vdGU+PENpdGU+PEF1dGhvcj5DaGFyYWxhbWJvdXM8L0F1dGhvcj48WWVhcj4yMDA4PC9Z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</w:fldData>
        </w:fldChar>
      </w:r>
      <w:r w:rsidR="003321BC">
        <w:rPr>
          <w:rFonts w:cs="Arial"/>
          <w:color w:val="000000"/>
          <w:szCs w:val="22"/>
        </w:rPr>
        <w:instrText xml:space="preserve"> ADDIN EN.CITE.DATA </w:instrText>
      </w:r>
      <w:r w:rsidR="003321BC">
        <w:rPr>
          <w:rFonts w:cs="Arial"/>
          <w:color w:val="000000"/>
          <w:szCs w:val="22"/>
        </w:rPr>
      </w:r>
      <w:r w:rsidR="003321BC">
        <w:rPr>
          <w:rFonts w:cs="Arial"/>
          <w:color w:val="000000"/>
          <w:szCs w:val="22"/>
        </w:rPr>
        <w:fldChar w:fldCharType="end"/>
      </w:r>
      <w:r w:rsidR="00BB24EE">
        <w:rPr>
          <w:rFonts w:cs="Arial"/>
          <w:color w:val="000000"/>
          <w:szCs w:val="22"/>
        </w:rPr>
      </w:r>
      <w:r w:rsidR="00BB24EE">
        <w:rPr>
          <w:rFonts w:cs="Arial"/>
          <w:color w:val="000000"/>
          <w:szCs w:val="22"/>
        </w:rPr>
        <w:fldChar w:fldCharType="separate"/>
      </w:r>
      <w:r w:rsidR="003321BC">
        <w:rPr>
          <w:rFonts w:cs="Arial"/>
          <w:noProof/>
          <w:color w:val="000000"/>
          <w:szCs w:val="22"/>
        </w:rPr>
        <w:t>[</w:t>
      </w:r>
      <w:hyperlink w:anchor="_ENREF_4" w:tooltip="Charalambous, 2008 #155" w:history="1">
        <w:r w:rsidR="001A1F59" w:rsidRPr="0040275E">
          <w:rPr>
            <w:rFonts w:cs="Arial"/>
            <w:noProof/>
            <w:color w:val="0000FF"/>
            <w:szCs w:val="22"/>
          </w:rPr>
          <w:t>4</w:t>
        </w:r>
      </w:hyperlink>
      <w:r w:rsidR="003321BC">
        <w:rPr>
          <w:rFonts w:cs="Arial"/>
          <w:noProof/>
          <w:color w:val="000000"/>
          <w:szCs w:val="22"/>
        </w:rPr>
        <w:t>]</w:t>
      </w:r>
      <w:r w:rsidR="00BB24EE">
        <w:rPr>
          <w:rFonts w:cs="Arial"/>
          <w:color w:val="000000"/>
          <w:szCs w:val="22"/>
        </w:rPr>
        <w:fldChar w:fldCharType="end"/>
      </w:r>
      <w:r w:rsidRPr="00072B81">
        <w:rPr>
          <w:rFonts w:cs="Arial"/>
          <w:color w:val="000000"/>
          <w:szCs w:val="22"/>
        </w:rPr>
        <w:t xml:space="preserve">. Our data indicate that the incidence of culture-confirmed, recurrent TB within 12 months of completing standard regimen TB treatment, under optimal research conditions, </w:t>
      </w:r>
      <w:r w:rsidRPr="00072B81">
        <w:rPr>
          <w:rFonts w:cs="Arial"/>
          <w:iCs/>
          <w:color w:val="000000"/>
          <w:szCs w:val="22"/>
        </w:rPr>
        <w:t xml:space="preserve">is approximately 5% in the Cape Town region of South Africa (five-fold higher than community TB incidence). </w:t>
      </w:r>
      <w:r w:rsidR="0009685B" w:rsidRPr="00072B81">
        <w:rPr>
          <w:rFonts w:cs="Arial"/>
          <w:iCs/>
          <w:color w:val="000000"/>
          <w:szCs w:val="22"/>
        </w:rPr>
        <w:t>It would be expected that recurrent disease occurring immediately following treatment completion would be due predominantly to reactiv</w:t>
      </w:r>
      <w:r w:rsidR="0067506F" w:rsidRPr="00072B81">
        <w:rPr>
          <w:rFonts w:cs="Arial"/>
          <w:iCs/>
          <w:color w:val="000000"/>
          <w:szCs w:val="22"/>
        </w:rPr>
        <w:t>ation (true relapse)</w:t>
      </w:r>
      <w:r w:rsidR="0009685B" w:rsidRPr="00072B81">
        <w:rPr>
          <w:rFonts w:cs="Arial"/>
          <w:iCs/>
          <w:color w:val="000000"/>
          <w:szCs w:val="22"/>
        </w:rPr>
        <w:t xml:space="preserve">, whereas recurrent </w:t>
      </w:r>
      <w:r w:rsidR="0067506F" w:rsidRPr="00072B81">
        <w:rPr>
          <w:rFonts w:cs="Arial"/>
          <w:iCs/>
          <w:color w:val="000000"/>
          <w:szCs w:val="22"/>
        </w:rPr>
        <w:t>disease occurring more distant from treatment completion would be more likely due to reinfection</w:t>
      </w:r>
      <w:r w:rsidR="00F83EFB">
        <w:rPr>
          <w:rFonts w:cs="Arial"/>
          <w:iCs/>
          <w:color w:val="000000"/>
          <w:szCs w:val="22"/>
        </w:rPr>
        <w:t xml:space="preserve"> </w:t>
      </w:r>
      <w:r w:rsidR="00BB24EE">
        <w:rPr>
          <w:rFonts w:cs="Arial"/>
          <w:iCs/>
          <w:color w:val="000000"/>
          <w:szCs w:val="22"/>
        </w:rPr>
        <w:fldChar w:fldCharType="begin">
          <w:fldData xml:space="preserve">PEVuZE5vdGU+PENpdGU+PEF1dGhvcj5DaGFyYWxhbWJvdXM8L0F1dGhvcj48WWVhcj4yMDA4PC9Z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</w:fldData>
        </w:fldChar>
      </w:r>
      <w:r w:rsidR="003321BC">
        <w:rPr>
          <w:rFonts w:cs="Arial"/>
          <w:iCs/>
          <w:color w:val="000000"/>
          <w:szCs w:val="22"/>
        </w:rPr>
        <w:instrText xml:space="preserve"> ADDIN EN.CITE </w:instrText>
      </w:r>
      <w:r w:rsidR="003321BC">
        <w:rPr>
          <w:rFonts w:cs="Arial"/>
          <w:iCs/>
          <w:color w:val="000000"/>
          <w:szCs w:val="22"/>
        </w:rPr>
        <w:fldChar w:fldCharType="begin">
          <w:fldData xml:space="preserve">PEVuZE5vdGU+PENpdGU+PEF1dGhvcj5DaGFyYWxhbWJvdXM8L0F1dGhvcj48WWVhcj4yMDA4PC9Z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</w:fldData>
        </w:fldChar>
      </w:r>
      <w:r w:rsidR="003321BC">
        <w:rPr>
          <w:rFonts w:cs="Arial"/>
          <w:iCs/>
          <w:color w:val="000000"/>
          <w:szCs w:val="22"/>
        </w:rPr>
        <w:instrText xml:space="preserve"> ADDIN EN.CITE.DATA </w:instrText>
      </w:r>
      <w:r w:rsidR="003321BC">
        <w:rPr>
          <w:rFonts w:cs="Arial"/>
          <w:iCs/>
          <w:color w:val="000000"/>
          <w:szCs w:val="22"/>
        </w:rPr>
      </w:r>
      <w:r w:rsidR="003321BC">
        <w:rPr>
          <w:rFonts w:cs="Arial"/>
          <w:iCs/>
          <w:color w:val="000000"/>
          <w:szCs w:val="22"/>
        </w:rPr>
        <w:fldChar w:fldCharType="end"/>
      </w:r>
      <w:r w:rsidR="00BB24EE">
        <w:rPr>
          <w:rFonts w:cs="Arial"/>
          <w:iCs/>
          <w:color w:val="000000"/>
          <w:szCs w:val="22"/>
        </w:rPr>
      </w:r>
      <w:r w:rsidR="00BB24EE">
        <w:rPr>
          <w:rFonts w:cs="Arial"/>
          <w:iCs/>
          <w:color w:val="000000"/>
          <w:szCs w:val="22"/>
        </w:rPr>
        <w:fldChar w:fldCharType="separate"/>
      </w:r>
      <w:r w:rsidR="003321BC">
        <w:rPr>
          <w:rFonts w:cs="Arial"/>
          <w:iCs/>
          <w:noProof/>
          <w:color w:val="000000"/>
          <w:szCs w:val="22"/>
        </w:rPr>
        <w:t>[</w:t>
      </w:r>
      <w:hyperlink w:anchor="_ENREF_4" w:tooltip="Charalambous, 2008 #155" w:history="1">
        <w:r w:rsidR="001A1F59" w:rsidRPr="0040275E">
          <w:rPr>
            <w:rFonts w:cs="Arial"/>
            <w:iCs/>
            <w:noProof/>
            <w:color w:val="0000FF"/>
            <w:szCs w:val="22"/>
          </w:rPr>
          <w:t>4-6</w:t>
        </w:r>
      </w:hyperlink>
      <w:r w:rsidR="003321BC">
        <w:rPr>
          <w:rFonts w:cs="Arial"/>
          <w:iCs/>
          <w:noProof/>
          <w:color w:val="000000"/>
          <w:szCs w:val="22"/>
        </w:rPr>
        <w:t>]</w:t>
      </w:r>
      <w:r w:rsidR="00BB24EE">
        <w:rPr>
          <w:rFonts w:cs="Arial"/>
          <w:iCs/>
          <w:color w:val="000000"/>
          <w:szCs w:val="22"/>
        </w:rPr>
        <w:fldChar w:fldCharType="end"/>
      </w:r>
      <w:r w:rsidR="0067506F" w:rsidRPr="00072B81">
        <w:rPr>
          <w:rFonts w:cs="Arial"/>
          <w:iCs/>
          <w:color w:val="000000"/>
          <w:szCs w:val="22"/>
        </w:rPr>
        <w:t xml:space="preserve">. </w:t>
      </w:r>
    </w:p>
    <w:p w14:paraId="090955B5" w14:textId="1E79AD85" w:rsidR="0009685B" w:rsidRPr="00072B81" w:rsidRDefault="0009685B" w:rsidP="00072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80" w:after="180" w:line="276" w:lineRule="auto"/>
        <w:rPr>
          <w:rFonts w:cs="Arial"/>
          <w:iCs/>
          <w:color w:val="000000"/>
          <w:szCs w:val="22"/>
        </w:rPr>
      </w:pPr>
      <w:r w:rsidRPr="00072B81">
        <w:rPr>
          <w:rFonts w:cs="Arial"/>
          <w:iCs/>
          <w:color w:val="000000"/>
          <w:szCs w:val="22"/>
        </w:rPr>
        <w:t xml:space="preserve">Globally, the incidence of culture-confirmed, recurrent TB within 12 months of completing treatment ranges from 2-8% under research conditions </w:t>
      </w:r>
      <w:r w:rsidRPr="00072B81">
        <w:rPr>
          <w:rFonts w:cs="Arial"/>
          <w:iCs/>
          <w:color w:val="000000"/>
          <w:szCs w:val="22"/>
        </w:rPr>
        <w:fldChar w:fldCharType="begin">
          <w:fldData xml:space="preserve">PEVuZE5vdGU+PENpdGU+PEF1dGhvcj5DaGFyYWxhbWJvdXM8L0F1dGhvcj48WWVhcj4yMDA4PC9Z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</w:fldData>
        </w:fldChar>
      </w:r>
      <w:r w:rsidR="003321BC">
        <w:rPr>
          <w:rFonts w:cs="Arial"/>
          <w:iCs/>
          <w:color w:val="000000"/>
          <w:szCs w:val="22"/>
        </w:rPr>
        <w:instrText xml:space="preserve"> ADDIN EN.CITE </w:instrText>
      </w:r>
      <w:r w:rsidR="003321BC">
        <w:rPr>
          <w:rFonts w:cs="Arial"/>
          <w:iCs/>
          <w:color w:val="000000"/>
          <w:szCs w:val="22"/>
        </w:rPr>
        <w:fldChar w:fldCharType="begin">
          <w:fldData xml:space="preserve">PEVuZE5vdGU+PENpdGU+PEF1dGhvcj5DaGFyYWxhbWJvdXM8L0F1dGhvcj48WWVhcj4yMDA4PC9Z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</w:fldData>
        </w:fldChar>
      </w:r>
      <w:r w:rsidR="003321BC">
        <w:rPr>
          <w:rFonts w:cs="Arial"/>
          <w:iCs/>
          <w:color w:val="000000"/>
          <w:szCs w:val="22"/>
        </w:rPr>
        <w:instrText xml:space="preserve"> ADDIN EN.CITE.DATA </w:instrText>
      </w:r>
      <w:r w:rsidR="003321BC">
        <w:rPr>
          <w:rFonts w:cs="Arial"/>
          <w:iCs/>
          <w:color w:val="000000"/>
          <w:szCs w:val="22"/>
        </w:rPr>
      </w:r>
      <w:r w:rsidR="003321BC">
        <w:rPr>
          <w:rFonts w:cs="Arial"/>
          <w:iCs/>
          <w:color w:val="000000"/>
          <w:szCs w:val="22"/>
        </w:rPr>
        <w:fldChar w:fldCharType="end"/>
      </w:r>
      <w:r w:rsidRPr="00072B81">
        <w:rPr>
          <w:rFonts w:cs="Arial"/>
          <w:iCs/>
          <w:color w:val="000000"/>
          <w:szCs w:val="22"/>
        </w:rPr>
      </w:r>
      <w:r w:rsidRPr="00072B81">
        <w:rPr>
          <w:rFonts w:cs="Arial"/>
          <w:iCs/>
          <w:color w:val="000000"/>
          <w:szCs w:val="22"/>
        </w:rPr>
        <w:fldChar w:fldCharType="separate"/>
      </w:r>
      <w:r w:rsidR="003321BC">
        <w:rPr>
          <w:rFonts w:cs="Arial"/>
          <w:iCs/>
          <w:noProof/>
          <w:color w:val="000000"/>
          <w:szCs w:val="22"/>
        </w:rPr>
        <w:t>[</w:t>
      </w:r>
      <w:hyperlink w:anchor="_ENREF_4" w:tooltip="Charalambous, 2008 #155" w:history="1">
        <w:r w:rsidR="001A1F59" w:rsidRPr="0040275E">
          <w:rPr>
            <w:rFonts w:cs="Arial"/>
            <w:iCs/>
            <w:noProof/>
            <w:color w:val="0000FF"/>
            <w:szCs w:val="22"/>
          </w:rPr>
          <w:t>4</w:t>
        </w:r>
      </w:hyperlink>
      <w:r w:rsidR="003321BC">
        <w:rPr>
          <w:rFonts w:cs="Arial"/>
          <w:iCs/>
          <w:noProof/>
          <w:color w:val="000000"/>
          <w:szCs w:val="22"/>
        </w:rPr>
        <w:t xml:space="preserve">, </w:t>
      </w:r>
      <w:hyperlink w:anchor="_ENREF_6" w:tooltip="Verver, 2005 #152" w:history="1">
        <w:r w:rsidR="001A1F59" w:rsidRPr="0040275E">
          <w:rPr>
            <w:rFonts w:cs="Arial"/>
            <w:iCs/>
            <w:noProof/>
            <w:color w:val="0000FF"/>
            <w:szCs w:val="22"/>
          </w:rPr>
          <w:t>6-8</w:t>
        </w:r>
      </w:hyperlink>
      <w:r w:rsidR="003321BC">
        <w:rPr>
          <w:rFonts w:cs="Arial"/>
          <w:iCs/>
          <w:noProof/>
          <w:color w:val="000000"/>
          <w:szCs w:val="22"/>
        </w:rPr>
        <w:t>]</w:t>
      </w:r>
      <w:r w:rsidRPr="00072B81">
        <w:rPr>
          <w:rFonts w:cs="Arial"/>
          <w:iCs/>
          <w:color w:val="000000"/>
          <w:szCs w:val="22"/>
        </w:rPr>
        <w:fldChar w:fldCharType="end"/>
      </w:r>
      <w:r w:rsidRPr="00072B81">
        <w:rPr>
          <w:rFonts w:cs="Arial"/>
          <w:iCs/>
          <w:color w:val="000000"/>
          <w:szCs w:val="22"/>
        </w:rPr>
        <w:t xml:space="preserve">. A systematic review of 15 trials showed that 91% of all recurrent TB occurred within 12 months after treatment completion </w:t>
      </w:r>
      <w:r w:rsidRPr="00072B81">
        <w:rPr>
          <w:rFonts w:cs="Arial"/>
          <w:iCs/>
          <w:color w:val="000000"/>
          <w:szCs w:val="22"/>
        </w:rPr>
        <w:fldChar w:fldCharType="begin"/>
      </w:r>
      <w:r w:rsidR="003321BC">
        <w:rPr>
          <w:rFonts w:cs="Arial"/>
          <w:iCs/>
          <w:color w:val="000000"/>
          <w:szCs w:val="22"/>
        </w:rPr>
        <w:instrText xml:space="preserve"> ADDIN EN.CITE &lt;EndNote&gt;&lt;Cite&gt;&lt;Author&gt;Nunn&lt;/Author&gt;&lt;Year&gt;2010&lt;/Year&gt;&lt;RecNum&gt;134&lt;/RecNum&gt;&lt;DisplayText&gt;[7]&lt;/DisplayText&gt;&lt;record&gt;&lt;rec-number&gt;134&lt;/rec-number&gt;&lt;foreign-keys&gt;&lt;key app="EN" db-id="evfssswxaawzxqef5tqx5xasdv9ded0rp55x" timestamp="1400491678"&gt;134&lt;/key&gt;&lt;/foreign-keys&gt;&lt;ref-type name="Journal Article"&gt;17&lt;/ref-type&gt;&lt;contributors&gt;&lt;authors&gt;&lt;author&gt;Nunn, A. J.&lt;/author&gt;&lt;author&gt;Phillips, P. P.&lt;/author&gt;&lt;author&gt;Mitchison, D. A.&lt;/author&gt;&lt;/authors&gt;&lt;/contributors&gt;&lt;auth-address&gt;Clinical Trials Unit, Medical Research Council, London, UK.&lt;/auth-address&gt;&lt;titles&gt;&lt;title&gt;Timing of relapse in short-course chemotherapy trials for tuberculosis&lt;/title&gt;&lt;secondary-title&gt;Int J Tuberc Lung Dis&lt;/secondary-title&gt;&lt;alt-title&gt;The international journal of tuberculosis and lung disease : the official journal of the International Union against Tuberculosis and Lung Disease&lt;/alt-title&gt;&lt;/titles&gt;&lt;periodical&gt;&lt;full-title&gt;Int J Tuberc Lung Dis&lt;/full-title&gt;&lt;/periodical&gt;&lt;alt-periodical&gt;&lt;full-title&gt;Int J Tuberc Lung Dis&lt;/full-title&gt;&lt;abbr-1&gt;The international journal of tuberculosis and lung disease : the official journal of the International Union against Tuberculosis and Lung Disease&lt;/abbr-1&gt;&lt;/alt-periodical&gt;&lt;pages&gt;241-2&lt;/pages&gt;&lt;volume&gt;14&lt;/volume&gt;&lt;number&gt;2&lt;/number&gt;&lt;edition&gt;2010/01/16&lt;/edition&gt;&lt;keywords&gt;&lt;keyword&gt;Africa/epidemiology&lt;/keyword&gt;&lt;keyword&gt;Antitubercular Agents/administration &amp;amp; dosage/*therapeutic use&lt;/keyword&gt;&lt;keyword&gt;Clinical Trials as Topic/methods&lt;/keyword&gt;&lt;keyword&gt;Far East/epidemiology&lt;/keyword&gt;&lt;keyword&gt;Follow-Up Studies&lt;/keyword&gt;&lt;keyword&gt;Humans&lt;/keyword&gt;&lt;keyword&gt;Recurrence&lt;/keyword&gt;&lt;keyword&gt;Time Factors&lt;/keyword&gt;&lt;keyword&gt;Tuberculosis/*drug therapy/epidemiology&lt;/keyword&gt;&lt;/keywords&gt;&lt;dates&gt;&lt;year&gt;2010&lt;/year&gt;&lt;pub-dates&gt;&lt;date&gt;Feb&lt;/date&gt;&lt;/pub-dates&gt;&lt;/dates&gt;&lt;isbn&gt;1815-7920 (Electronic)&amp;#xD;1027-3719 (Linking)&lt;/isbn&gt;&lt;accession-num&gt;20074418&lt;/accession-num&gt;&lt;urls&gt;&lt;related-urls&gt;&lt;url&gt;http://www.ncbi.nlm.nih.gov/pubmed/20074418&lt;/url&gt;&lt;/related-urls&gt;&lt;/urls&gt;&lt;language&gt;eng&lt;/language&gt;&lt;/record&gt;&lt;/Cite&gt;&lt;/EndNote&gt;</w:instrText>
      </w:r>
      <w:r w:rsidRPr="00072B81">
        <w:rPr>
          <w:rFonts w:cs="Arial"/>
          <w:iCs/>
          <w:color w:val="000000"/>
          <w:szCs w:val="22"/>
        </w:rPr>
        <w:fldChar w:fldCharType="separate"/>
      </w:r>
      <w:r w:rsidR="003321BC">
        <w:rPr>
          <w:rFonts w:cs="Arial"/>
          <w:iCs/>
          <w:noProof/>
          <w:color w:val="000000"/>
          <w:szCs w:val="22"/>
        </w:rPr>
        <w:t>[</w:t>
      </w:r>
      <w:hyperlink w:anchor="_ENREF_7" w:tooltip="Nunn, 2010 #134" w:history="1">
        <w:r w:rsidR="001A1F59" w:rsidRPr="00276ADA">
          <w:rPr>
            <w:rFonts w:cs="Arial"/>
            <w:iCs/>
            <w:noProof/>
            <w:color w:val="0000FF"/>
            <w:szCs w:val="22"/>
          </w:rPr>
          <w:t>7</w:t>
        </w:r>
      </w:hyperlink>
      <w:r w:rsidR="003321BC">
        <w:rPr>
          <w:rFonts w:cs="Arial"/>
          <w:iCs/>
          <w:noProof/>
          <w:color w:val="000000"/>
          <w:szCs w:val="22"/>
        </w:rPr>
        <w:t>]</w:t>
      </w:r>
      <w:r w:rsidRPr="00072B81">
        <w:rPr>
          <w:rFonts w:cs="Arial"/>
          <w:iCs/>
          <w:color w:val="000000"/>
          <w:szCs w:val="22"/>
        </w:rPr>
        <w:fldChar w:fldCharType="end"/>
      </w:r>
      <w:r w:rsidRPr="00072B81">
        <w:rPr>
          <w:rFonts w:cs="Arial"/>
          <w:iCs/>
          <w:color w:val="000000"/>
          <w:szCs w:val="22"/>
        </w:rPr>
        <w:t xml:space="preserve">, although the 8% recurrence rate is inflated by sub-optimal treatment arms </w:t>
      </w:r>
      <w:r w:rsidRPr="00072B81">
        <w:rPr>
          <w:rFonts w:cs="Arial"/>
          <w:iCs/>
          <w:color w:val="000000"/>
          <w:szCs w:val="22"/>
        </w:rPr>
        <w:fldChar w:fldCharType="begin"/>
      </w:r>
      <w:r w:rsidR="003321BC">
        <w:rPr>
          <w:rFonts w:cs="Arial"/>
          <w:iCs/>
          <w:color w:val="000000"/>
          <w:szCs w:val="22"/>
        </w:rPr>
        <w:instrText xml:space="preserve"> ADDIN EN.CITE &lt;EndNote&gt;&lt;Cite&gt;&lt;Author&gt;Nunn&lt;/Author&gt;&lt;Year&gt;2010&lt;/Year&gt;&lt;RecNum&gt;134&lt;/RecNum&gt;&lt;DisplayText&gt;[7]&lt;/DisplayText&gt;&lt;record&gt;&lt;rec-number&gt;134&lt;/rec-number&gt;&lt;foreign-keys&gt;&lt;key app="EN" db-id="evfssswxaawzxqef5tqx5xasdv9ded0rp55x" timestamp="1400491678"&gt;134&lt;/key&gt;&lt;/foreign-keys&gt;&lt;ref-type name="Journal Article"&gt;17&lt;/ref-type&gt;&lt;contributors&gt;&lt;authors&gt;&lt;author&gt;Nunn, A. J.&lt;/author&gt;&lt;author&gt;Phillips, P. P.&lt;/author&gt;&lt;author&gt;Mitchison, D. A.&lt;/author&gt;&lt;/authors&gt;&lt;/contributors&gt;&lt;auth-address&gt;Clinical Trials Unit, Medical Research Council, London, UK.&lt;/auth-address&gt;&lt;titles&gt;&lt;title&gt;Timing of relapse in short-course chemotherapy trials for tuberculosis&lt;/title&gt;&lt;secondary-title&gt;Int J Tuberc Lung Dis&lt;/secondary-title&gt;&lt;alt-title&gt;The international journal of tuberculosis and lung disease : the official journal of the International Union against Tuberculosis and Lung Disease&lt;/alt-title&gt;&lt;/titles&gt;&lt;periodical&gt;&lt;full-title&gt;Int J Tuberc Lung Dis&lt;/full-title&gt;&lt;/periodical&gt;&lt;alt-periodical&gt;&lt;full-title&gt;Int J Tuberc Lung Dis&lt;/full-title&gt;&lt;abbr-1&gt;The international journal of tuberculosis and lung disease : the official journal of the International Union against Tuberculosis and Lung Disease&lt;/abbr-1&gt;&lt;/alt-periodical&gt;&lt;pages&gt;241-2&lt;/pages&gt;&lt;volume&gt;14&lt;/volume&gt;&lt;number&gt;2&lt;/number&gt;&lt;edition&gt;2010/01/16&lt;/edition&gt;&lt;keywords&gt;&lt;keyword&gt;Africa/epidemiology&lt;/keyword&gt;&lt;keyword&gt;Antitubercular Agents/administration &amp;amp; dosage/*therapeutic use&lt;/keyword&gt;&lt;keyword&gt;Clinical Trials as Topic/methods&lt;/keyword&gt;&lt;keyword&gt;Far East/epidemiology&lt;/keyword&gt;&lt;keyword&gt;Follow-Up Studies&lt;/keyword&gt;&lt;keyword&gt;Humans&lt;/keyword&gt;&lt;keyword&gt;Recurrence&lt;/keyword&gt;&lt;keyword&gt;Time Factors&lt;/keyword&gt;&lt;keyword&gt;Tuberculosis/*drug therapy/epidemiology&lt;/keyword&gt;&lt;/keywords&gt;&lt;dates&gt;&lt;year&gt;2010&lt;/year&gt;&lt;pub-dates&gt;&lt;date&gt;Feb&lt;/date&gt;&lt;/pub-dates&gt;&lt;/dates&gt;&lt;isbn&gt;1815-7920 (Electronic)&amp;#xD;1027-3719 (Linking)&lt;/isbn&gt;&lt;accession-num&gt;20074418&lt;/accession-num&gt;&lt;urls&gt;&lt;related-urls&gt;&lt;url&gt;http://www.ncbi.nlm.nih.gov/pubmed/20074418&lt;/url&gt;&lt;/related-urls&gt;&lt;/urls&gt;&lt;language&gt;eng&lt;/language&gt;&lt;/record&gt;&lt;/Cite&gt;&lt;/EndNote&gt;</w:instrText>
      </w:r>
      <w:r w:rsidRPr="00072B81">
        <w:rPr>
          <w:rFonts w:cs="Arial"/>
          <w:iCs/>
          <w:color w:val="000000"/>
          <w:szCs w:val="22"/>
        </w:rPr>
        <w:fldChar w:fldCharType="separate"/>
      </w:r>
      <w:r w:rsidR="003321BC">
        <w:rPr>
          <w:rFonts w:cs="Arial"/>
          <w:iCs/>
          <w:noProof/>
          <w:color w:val="000000"/>
          <w:szCs w:val="22"/>
        </w:rPr>
        <w:t>[</w:t>
      </w:r>
      <w:hyperlink w:anchor="_ENREF_7" w:tooltip="Nunn, 2010 #134" w:history="1">
        <w:r w:rsidR="001A1F59" w:rsidRPr="0038687D">
          <w:rPr>
            <w:rFonts w:cs="Arial"/>
            <w:iCs/>
            <w:noProof/>
            <w:color w:val="0000FF"/>
            <w:szCs w:val="22"/>
          </w:rPr>
          <w:t>7</w:t>
        </w:r>
      </w:hyperlink>
      <w:r w:rsidR="003321BC">
        <w:rPr>
          <w:rFonts w:cs="Arial"/>
          <w:iCs/>
          <w:noProof/>
          <w:color w:val="000000"/>
          <w:szCs w:val="22"/>
        </w:rPr>
        <w:t>]</w:t>
      </w:r>
      <w:r w:rsidRPr="00072B81">
        <w:rPr>
          <w:rFonts w:cs="Arial"/>
          <w:iCs/>
          <w:color w:val="000000"/>
          <w:szCs w:val="22"/>
        </w:rPr>
        <w:fldChar w:fldCharType="end"/>
      </w:r>
      <w:r w:rsidRPr="00072B81">
        <w:rPr>
          <w:rFonts w:cs="Arial"/>
          <w:iCs/>
          <w:color w:val="000000"/>
          <w:szCs w:val="22"/>
        </w:rPr>
        <w:t xml:space="preserve">. Poor adherence increases the rate of reactivation TB, yet adequately treated patients remain at risk of recurrence </w:t>
      </w:r>
      <w:r w:rsidRPr="00072B81">
        <w:rPr>
          <w:rFonts w:cs="Arial"/>
          <w:iCs/>
          <w:color w:val="000000"/>
          <w:szCs w:val="22"/>
        </w:rPr>
        <w:fldChar w:fldCharType="begin">
          <w:fldData xml:space="preserve">PEVuZE5vdGU+PENpdGU+PEF1dGhvcj5QYW5qYWJpPC9BdXRob3I+PFllYXI+MjAwNzwvWWVhcj48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</w:fldData>
        </w:fldChar>
      </w:r>
      <w:r w:rsidR="003321BC">
        <w:rPr>
          <w:rFonts w:cs="Arial"/>
          <w:iCs/>
          <w:color w:val="000000"/>
          <w:szCs w:val="22"/>
        </w:rPr>
        <w:instrText xml:space="preserve"> ADDIN EN.CITE </w:instrText>
      </w:r>
      <w:r w:rsidR="003321BC">
        <w:rPr>
          <w:rFonts w:cs="Arial"/>
          <w:iCs/>
          <w:color w:val="000000"/>
          <w:szCs w:val="22"/>
        </w:rPr>
        <w:fldChar w:fldCharType="begin">
          <w:fldData xml:space="preserve">PEVuZE5vdGU+PENpdGU+PEF1dGhvcj5QYW5qYWJpPC9BdXRob3I+PFllYXI+MjAwNzwvWWVhcj48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</w:fldData>
        </w:fldChar>
      </w:r>
      <w:r w:rsidR="003321BC">
        <w:rPr>
          <w:rFonts w:cs="Arial"/>
          <w:iCs/>
          <w:color w:val="000000"/>
          <w:szCs w:val="22"/>
        </w:rPr>
        <w:instrText xml:space="preserve"> ADDIN EN.CITE.DATA </w:instrText>
      </w:r>
      <w:r w:rsidR="003321BC">
        <w:rPr>
          <w:rFonts w:cs="Arial"/>
          <w:iCs/>
          <w:color w:val="000000"/>
          <w:szCs w:val="22"/>
        </w:rPr>
      </w:r>
      <w:r w:rsidR="003321BC">
        <w:rPr>
          <w:rFonts w:cs="Arial"/>
          <w:iCs/>
          <w:color w:val="000000"/>
          <w:szCs w:val="22"/>
        </w:rPr>
        <w:fldChar w:fldCharType="end"/>
      </w:r>
      <w:r w:rsidRPr="00072B81">
        <w:rPr>
          <w:rFonts w:cs="Arial"/>
          <w:iCs/>
          <w:color w:val="000000"/>
          <w:szCs w:val="22"/>
        </w:rPr>
      </w:r>
      <w:r w:rsidRPr="00072B81">
        <w:rPr>
          <w:rFonts w:cs="Arial"/>
          <w:iCs/>
          <w:color w:val="000000"/>
          <w:szCs w:val="22"/>
        </w:rPr>
        <w:fldChar w:fldCharType="separate"/>
      </w:r>
      <w:r w:rsidR="003321BC">
        <w:rPr>
          <w:rFonts w:cs="Arial"/>
          <w:iCs/>
          <w:noProof/>
          <w:color w:val="000000"/>
          <w:szCs w:val="22"/>
        </w:rPr>
        <w:t>[</w:t>
      </w:r>
      <w:hyperlink w:anchor="_ENREF_6" w:tooltip="Verver, 2005 #152" w:history="1">
        <w:r w:rsidR="001A1F59" w:rsidRPr="0040275E">
          <w:rPr>
            <w:rFonts w:cs="Arial"/>
            <w:iCs/>
            <w:noProof/>
            <w:color w:val="0000FF"/>
            <w:szCs w:val="22"/>
          </w:rPr>
          <w:t>6</w:t>
        </w:r>
      </w:hyperlink>
      <w:r w:rsidR="003321BC">
        <w:rPr>
          <w:rFonts w:cs="Arial"/>
          <w:iCs/>
          <w:noProof/>
          <w:color w:val="000000"/>
          <w:szCs w:val="22"/>
        </w:rPr>
        <w:t xml:space="preserve">, </w:t>
      </w:r>
      <w:hyperlink w:anchor="_ENREF_8" w:tooltip="Panjabi, 2007 #151" w:history="1">
        <w:r w:rsidR="001A1F59" w:rsidRPr="0040275E">
          <w:rPr>
            <w:rFonts w:cs="Arial"/>
            <w:iCs/>
            <w:noProof/>
            <w:color w:val="0000FF"/>
            <w:szCs w:val="22"/>
          </w:rPr>
          <w:t>8</w:t>
        </w:r>
      </w:hyperlink>
      <w:r w:rsidR="003321BC">
        <w:rPr>
          <w:rFonts w:cs="Arial"/>
          <w:iCs/>
          <w:noProof/>
          <w:color w:val="000000"/>
          <w:szCs w:val="22"/>
        </w:rPr>
        <w:t>]</w:t>
      </w:r>
      <w:r w:rsidRPr="00072B81">
        <w:rPr>
          <w:rFonts w:cs="Arial"/>
          <w:iCs/>
          <w:color w:val="000000"/>
          <w:szCs w:val="22"/>
        </w:rPr>
        <w:fldChar w:fldCharType="end"/>
      </w:r>
      <w:r w:rsidRPr="00072B81">
        <w:rPr>
          <w:rFonts w:cs="Arial"/>
          <w:iCs/>
          <w:color w:val="000000"/>
          <w:szCs w:val="22"/>
        </w:rPr>
        <w:t xml:space="preserve">. Lower recurrence rates (2-3%) have been found in low TB burden countries, where transmission is least, but these rates are still many times higher than national background incidence </w:t>
      </w:r>
      <w:r w:rsidRPr="00072B81">
        <w:rPr>
          <w:rFonts w:cs="Arial"/>
          <w:iCs/>
          <w:color w:val="000000"/>
          <w:szCs w:val="22"/>
        </w:rPr>
        <w:fldChar w:fldCharType="begin"/>
      </w:r>
      <w:r w:rsidR="003321BC">
        <w:rPr>
          <w:rFonts w:cs="Arial"/>
          <w:iCs/>
          <w:color w:val="000000"/>
          <w:szCs w:val="22"/>
        </w:rPr>
        <w:instrText xml:space="preserve"> ADDIN EN.CITE &lt;EndNote&gt;&lt;Cite&gt;&lt;Author&gt;Panjabi&lt;/Author&gt;&lt;Year&gt;2007&lt;/Year&gt;&lt;RecNum&gt;151&lt;/RecNum&gt;&lt;DisplayText&gt;[8]&lt;/DisplayText&gt;&lt;record&gt;&lt;rec-number&gt;151&lt;/rec-number&gt;&lt;foreign-keys&gt;&lt;key app="EN" db-id="evfssswxaawzxqef5tqx5xasdv9ded0rp55x" timestamp="1400491678"&gt;151&lt;/key&gt;&lt;/foreign-keys&gt;&lt;ref-type name="Journal Article"&gt;17&lt;/ref-type&gt;&lt;contributors&gt;&lt;authors&gt;&lt;author&gt;Panjabi, R.&lt;/author&gt;&lt;author&gt;Comstock, G. W.&lt;/author&gt;&lt;author&gt;Golub, J. E.&lt;/author&gt;&lt;/authors&gt;&lt;/contributors&gt;&lt;auth-address&gt;Bloomberg School of Public Health, Johns Hopkins University, Baltimore, Maryland, USA. rajesh_panjabi@med.unc.edu&lt;/auth-address&gt;&lt;titles&gt;&lt;title&gt;Recurrent tuberculosis and its risk factors: adequately treated patients are still at high risk&lt;/title&gt;&lt;secondary-title&gt;Int J Tuberc Lung Dis&lt;/secondary-title&gt;&lt;alt-title&gt;The international journal of tuberculosis and lung disease : the official journal of the International Union against Tuberculosis and Lung Disease&lt;/alt-title&gt;&lt;/titles&gt;&lt;periodical&gt;&lt;full-title&gt;Int J Tuberc Lung Dis&lt;/full-title&gt;&lt;/periodical&gt;&lt;alt-periodical&gt;&lt;full-title&gt;Int J Tuberc Lung Dis&lt;/full-title&gt;&lt;abbr-1&gt;The international journal of tuberculosis and lung disease : the official journal of the International Union against Tuberculosis and Lung Disease&lt;/abbr-1&gt;&lt;/alt-periodical&gt;&lt;pages&gt;828-37&lt;/pages&gt;&lt;volume&gt;11&lt;/volume&gt;&lt;number&gt;8&lt;/number&gt;&lt;edition&gt;2007/08/21&lt;/edition&gt;&lt;dates&gt;&lt;year&gt;2007&lt;/year&gt;&lt;pub-dates&gt;&lt;date&gt;Aug&lt;/date&gt;&lt;/pub-dates&gt;&lt;/dates&gt;&lt;isbn&gt;1027-3719 (Print)&amp;#xD;1027-3719 (Linking)&lt;/isbn&gt;&lt;accession-num&gt;17705947&lt;/accession-num&gt;&lt;urls&gt;&lt;related-urls&gt;&lt;url&gt;http://www.ncbi.nlm.nih.gov/pubmed/17705947&lt;/url&gt;&lt;/related-urls&gt;&lt;/urls&gt;&lt;language&gt;eng&lt;/language&gt;&lt;/record&gt;&lt;/Cite&gt;&lt;/EndNote&gt;</w:instrText>
      </w:r>
      <w:r w:rsidRPr="00072B81">
        <w:rPr>
          <w:rFonts w:cs="Arial"/>
          <w:iCs/>
          <w:color w:val="000000"/>
          <w:szCs w:val="22"/>
        </w:rPr>
        <w:fldChar w:fldCharType="separate"/>
      </w:r>
      <w:r w:rsidR="003321BC">
        <w:rPr>
          <w:rFonts w:cs="Arial"/>
          <w:iCs/>
          <w:noProof/>
          <w:color w:val="000000"/>
          <w:szCs w:val="22"/>
        </w:rPr>
        <w:t>[</w:t>
      </w:r>
      <w:hyperlink w:anchor="_ENREF_8" w:tooltip="Panjabi, 2007 #151" w:history="1">
        <w:r w:rsidR="001A1F59" w:rsidRPr="0040275E">
          <w:rPr>
            <w:rFonts w:cs="Arial"/>
            <w:iCs/>
            <w:noProof/>
            <w:color w:val="0000FF"/>
            <w:szCs w:val="22"/>
          </w:rPr>
          <w:t>8</w:t>
        </w:r>
      </w:hyperlink>
      <w:r w:rsidR="003321BC">
        <w:rPr>
          <w:rFonts w:cs="Arial"/>
          <w:iCs/>
          <w:noProof/>
          <w:color w:val="000000"/>
          <w:szCs w:val="22"/>
        </w:rPr>
        <w:t>]</w:t>
      </w:r>
      <w:r w:rsidRPr="00072B81">
        <w:rPr>
          <w:rFonts w:cs="Arial"/>
          <w:iCs/>
          <w:color w:val="000000"/>
          <w:szCs w:val="22"/>
        </w:rPr>
        <w:fldChar w:fldCharType="end"/>
      </w:r>
      <w:r w:rsidRPr="00072B81">
        <w:rPr>
          <w:rFonts w:cs="Arial"/>
          <w:iCs/>
          <w:color w:val="000000"/>
          <w:szCs w:val="22"/>
        </w:rPr>
        <w:t xml:space="preserve">. For example, data from Cape Town for the 5-year period 1993-1998, when annual community TB incidence was 0.3%, showed cumulative 14% culture-confirmed recurrence, equivalent to an annual rate almost ten-fold greater than the community TB incidence </w:t>
      </w:r>
      <w:r w:rsidRPr="00072B81">
        <w:rPr>
          <w:rFonts w:cs="Arial"/>
          <w:iCs/>
          <w:color w:val="000000"/>
          <w:szCs w:val="22"/>
        </w:rPr>
        <w:fldChar w:fldCharType="begin">
          <w:fldData xml:space="preserve">PEVuZE5vdGU+PENpdGU+PEF1dGhvcj5WZXJ2ZXI8L0F1dGhvcj48WWVhcj4yMDA1PC9ZZWFyPjxS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</w:fldData>
        </w:fldChar>
      </w:r>
      <w:r w:rsidR="003321BC">
        <w:rPr>
          <w:rFonts w:cs="Arial"/>
          <w:iCs/>
          <w:color w:val="000000"/>
          <w:szCs w:val="22"/>
        </w:rPr>
        <w:instrText xml:space="preserve"> ADDIN EN.CITE </w:instrText>
      </w:r>
      <w:r w:rsidR="003321BC">
        <w:rPr>
          <w:rFonts w:cs="Arial"/>
          <w:iCs/>
          <w:color w:val="000000"/>
          <w:szCs w:val="22"/>
        </w:rPr>
        <w:fldChar w:fldCharType="begin">
          <w:fldData xml:space="preserve">PEVuZE5vdGU+PENpdGU+PEF1dGhvcj5WZXJ2ZXI8L0F1dGhvcj48WWVhcj4yMDA1PC9ZZWFyPjxS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</w:fldData>
        </w:fldChar>
      </w:r>
      <w:r w:rsidR="003321BC">
        <w:rPr>
          <w:rFonts w:cs="Arial"/>
          <w:iCs/>
          <w:color w:val="000000"/>
          <w:szCs w:val="22"/>
        </w:rPr>
        <w:instrText xml:space="preserve"> ADDIN EN.CITE.DATA </w:instrText>
      </w:r>
      <w:r w:rsidR="003321BC">
        <w:rPr>
          <w:rFonts w:cs="Arial"/>
          <w:iCs/>
          <w:color w:val="000000"/>
          <w:szCs w:val="22"/>
        </w:rPr>
      </w:r>
      <w:r w:rsidR="003321BC">
        <w:rPr>
          <w:rFonts w:cs="Arial"/>
          <w:iCs/>
          <w:color w:val="000000"/>
          <w:szCs w:val="22"/>
        </w:rPr>
        <w:fldChar w:fldCharType="end"/>
      </w:r>
      <w:r w:rsidRPr="00072B81">
        <w:rPr>
          <w:rFonts w:cs="Arial"/>
          <w:iCs/>
          <w:color w:val="000000"/>
          <w:szCs w:val="22"/>
        </w:rPr>
      </w:r>
      <w:r w:rsidRPr="00072B81">
        <w:rPr>
          <w:rFonts w:cs="Arial"/>
          <w:iCs/>
          <w:color w:val="000000"/>
          <w:szCs w:val="22"/>
        </w:rPr>
        <w:fldChar w:fldCharType="separate"/>
      </w:r>
      <w:r w:rsidR="003321BC">
        <w:rPr>
          <w:rFonts w:cs="Arial"/>
          <w:iCs/>
          <w:noProof/>
          <w:color w:val="000000"/>
          <w:szCs w:val="22"/>
        </w:rPr>
        <w:t>[</w:t>
      </w:r>
      <w:hyperlink w:anchor="_ENREF_6" w:tooltip="Verver, 2005 #152" w:history="1">
        <w:r w:rsidR="001A1F59" w:rsidRPr="0040275E">
          <w:rPr>
            <w:rFonts w:cs="Arial"/>
            <w:iCs/>
            <w:noProof/>
            <w:color w:val="0000FF"/>
            <w:szCs w:val="22"/>
          </w:rPr>
          <w:t>6</w:t>
        </w:r>
      </w:hyperlink>
      <w:r w:rsidR="003321BC">
        <w:rPr>
          <w:rFonts w:cs="Arial"/>
          <w:iCs/>
          <w:noProof/>
          <w:color w:val="000000"/>
          <w:szCs w:val="22"/>
        </w:rPr>
        <w:t>]</w:t>
      </w:r>
      <w:r w:rsidRPr="00072B81">
        <w:rPr>
          <w:rFonts w:cs="Arial"/>
          <w:iCs/>
          <w:color w:val="000000"/>
          <w:szCs w:val="22"/>
        </w:rPr>
        <w:fldChar w:fldCharType="end"/>
      </w:r>
      <w:r w:rsidRPr="00072B81">
        <w:rPr>
          <w:rFonts w:cs="Arial"/>
          <w:iCs/>
          <w:color w:val="000000"/>
          <w:szCs w:val="22"/>
        </w:rPr>
        <w:t xml:space="preserve">. Recurrent TB disease rates in high burden countries should be estimated for standard-of-care, directly observed treatment, short course (DOTS) regimens, in which optimal adherence has been assured under research conditions </w:t>
      </w:r>
      <w:r w:rsidRPr="00072B81">
        <w:rPr>
          <w:rFonts w:cs="Arial"/>
          <w:iCs/>
          <w:color w:val="000000"/>
          <w:szCs w:val="22"/>
        </w:rPr>
        <w:fldChar w:fldCharType="begin">
          <w:fldData xml:space="preserve">PEVuZE5vdGU+PENpdGU+PEF1dGhvcj5IZXNzZWxpbmc8L0F1dGhvcj48WWVhcj4yMDEwPC9ZZWFy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</w:fldData>
        </w:fldChar>
      </w:r>
      <w:r w:rsidR="003321BC">
        <w:rPr>
          <w:rFonts w:cs="Arial"/>
          <w:iCs/>
          <w:color w:val="000000"/>
          <w:szCs w:val="22"/>
        </w:rPr>
        <w:instrText xml:space="preserve"> ADDIN EN.CITE </w:instrText>
      </w:r>
      <w:r w:rsidR="003321BC">
        <w:rPr>
          <w:rFonts w:cs="Arial"/>
          <w:iCs/>
          <w:color w:val="000000"/>
          <w:szCs w:val="22"/>
        </w:rPr>
        <w:fldChar w:fldCharType="begin">
          <w:fldData xml:space="preserve">PEVuZE5vdGU+PENpdGU+PEF1dGhvcj5IZXNzZWxpbmc8L0F1dGhvcj48WWVhcj4yMDEwPC9ZZWFy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</w:fldData>
        </w:fldChar>
      </w:r>
      <w:r w:rsidR="003321BC">
        <w:rPr>
          <w:rFonts w:cs="Arial"/>
          <w:iCs/>
          <w:color w:val="000000"/>
          <w:szCs w:val="22"/>
        </w:rPr>
        <w:instrText xml:space="preserve"> ADDIN EN.CITE.DATA </w:instrText>
      </w:r>
      <w:r w:rsidR="003321BC">
        <w:rPr>
          <w:rFonts w:cs="Arial"/>
          <w:iCs/>
          <w:color w:val="000000"/>
          <w:szCs w:val="22"/>
        </w:rPr>
      </w:r>
      <w:r w:rsidR="003321BC">
        <w:rPr>
          <w:rFonts w:cs="Arial"/>
          <w:iCs/>
          <w:color w:val="000000"/>
          <w:szCs w:val="22"/>
        </w:rPr>
        <w:fldChar w:fldCharType="end"/>
      </w:r>
      <w:r w:rsidRPr="00072B81">
        <w:rPr>
          <w:rFonts w:cs="Arial"/>
          <w:iCs/>
          <w:color w:val="000000"/>
          <w:szCs w:val="22"/>
        </w:rPr>
      </w:r>
      <w:r w:rsidRPr="00072B81">
        <w:rPr>
          <w:rFonts w:cs="Arial"/>
          <w:iCs/>
          <w:color w:val="000000"/>
          <w:szCs w:val="22"/>
        </w:rPr>
        <w:fldChar w:fldCharType="separate"/>
      </w:r>
      <w:r w:rsidR="003321BC">
        <w:rPr>
          <w:rFonts w:cs="Arial"/>
          <w:iCs/>
          <w:noProof/>
          <w:color w:val="000000"/>
          <w:szCs w:val="22"/>
        </w:rPr>
        <w:t>[</w:t>
      </w:r>
      <w:hyperlink w:anchor="_ENREF_5" w:tooltip="Hesseling, 2010 #195" w:history="1">
        <w:r w:rsidR="001A1F59" w:rsidRPr="0040275E">
          <w:rPr>
            <w:rFonts w:cs="Arial"/>
            <w:iCs/>
            <w:noProof/>
            <w:color w:val="0000FF"/>
            <w:szCs w:val="22"/>
          </w:rPr>
          <w:t>5</w:t>
        </w:r>
      </w:hyperlink>
      <w:r w:rsidR="003321BC">
        <w:rPr>
          <w:rFonts w:cs="Arial"/>
          <w:iCs/>
          <w:noProof/>
          <w:color w:val="000000"/>
          <w:szCs w:val="22"/>
        </w:rPr>
        <w:t xml:space="preserve">, </w:t>
      </w:r>
      <w:hyperlink w:anchor="_ENREF_6" w:tooltip="Verver, 2005 #152" w:history="1">
        <w:r w:rsidR="001A1F59" w:rsidRPr="0040275E">
          <w:rPr>
            <w:rFonts w:cs="Arial"/>
            <w:iCs/>
            <w:noProof/>
            <w:color w:val="0000FF"/>
            <w:szCs w:val="22"/>
          </w:rPr>
          <w:t>6</w:t>
        </w:r>
      </w:hyperlink>
      <w:r w:rsidR="003321BC">
        <w:rPr>
          <w:rFonts w:cs="Arial"/>
          <w:iCs/>
          <w:noProof/>
          <w:color w:val="000000"/>
          <w:szCs w:val="22"/>
        </w:rPr>
        <w:t>]</w:t>
      </w:r>
      <w:r w:rsidRPr="00072B81">
        <w:rPr>
          <w:rFonts w:cs="Arial"/>
          <w:iCs/>
          <w:color w:val="000000"/>
          <w:szCs w:val="22"/>
        </w:rPr>
        <w:fldChar w:fldCharType="end"/>
      </w:r>
      <w:r w:rsidRPr="00072B81">
        <w:rPr>
          <w:rFonts w:cs="Arial"/>
          <w:iCs/>
          <w:color w:val="000000"/>
          <w:szCs w:val="22"/>
        </w:rPr>
        <w:t>. Twelve-month incidence of recurrent TB in the standard-of-care arm of a treatment shortening trial at our SATVI Worcester research site was 5.7%. Similarly, 2-year cumulative incidence of recurrent TB at the SUN research site in Cape Town was 10.4%. For comparison, annual incidence of new TB cases in Sou</w:t>
      </w:r>
      <w:r w:rsidR="00072B81">
        <w:rPr>
          <w:rFonts w:cs="Arial"/>
          <w:iCs/>
          <w:color w:val="000000"/>
          <w:szCs w:val="22"/>
        </w:rPr>
        <w:t>t</w:t>
      </w:r>
      <w:r w:rsidRPr="00072B81">
        <w:rPr>
          <w:rFonts w:cs="Arial"/>
          <w:iCs/>
          <w:color w:val="000000"/>
          <w:szCs w:val="22"/>
        </w:rPr>
        <w:t xml:space="preserve">h Africa is 0.98% </w:t>
      </w:r>
      <w:r w:rsidR="001A1F59">
        <w:rPr>
          <w:rFonts w:cs="Arial"/>
          <w:iCs/>
          <w:color w:val="000000"/>
          <w:szCs w:val="22"/>
        </w:rPr>
        <w:fldChar w:fldCharType="begin"/>
      </w:r>
      <w:r w:rsidR="001A1F59">
        <w:rPr>
          <w:rFonts w:cs="Arial"/>
          <w:iCs/>
          <w:color w:val="000000"/>
          <w:szCs w:val="22"/>
        </w:rPr>
        <w:instrText xml:space="preserve"> ADDIN EN.CITE &lt;EndNote&gt;&lt;Cite&gt;&lt;Author&gt;Organization&lt;/Author&gt;&lt;Year&gt;2013&lt;/Year&gt;&lt;RecNum&gt;13305&lt;/RecNum&gt;&lt;DisplayText&gt;[9]&lt;/DisplayText&gt;&lt;record&gt;&lt;rec-number&gt;13305&lt;/rec-number&gt;&lt;foreign-keys&gt;&lt;key app="EN" db-id="xwz9pswzer5s0dewarv5ve5fs9ee5vxs9zfp" timestamp="1401817881"&gt;13305&lt;/key&gt;&lt;/foreign-keys&gt;&lt;ref-type name="Report"&gt;27&lt;/ref-type&gt;&lt;contributors&gt;&lt;authors&gt;&lt;author&gt;World Health Organization&lt;/author&gt;&lt;/authors&gt;&lt;/contributors&gt;&lt;titles&gt;&lt;title&gt;Global tuberculosis report 2013&lt;/title&gt;&lt;/titles&gt;&lt;dates&gt;&lt;year&gt;2013&lt;/year&gt;&lt;/dates&gt;&lt;pub-location&gt;Geneva&lt;/pub-location&gt;&lt;urls&gt;&lt;/urls&gt;&lt;/record&gt;&lt;/Cite&gt;&lt;/EndNote&gt;</w:instrText>
      </w:r>
      <w:r w:rsidR="001A1F59">
        <w:rPr>
          <w:rFonts w:cs="Arial"/>
          <w:iCs/>
          <w:color w:val="000000"/>
          <w:szCs w:val="22"/>
        </w:rPr>
        <w:fldChar w:fldCharType="separate"/>
      </w:r>
      <w:r w:rsidR="001A1F59">
        <w:rPr>
          <w:rFonts w:cs="Arial"/>
          <w:iCs/>
          <w:noProof/>
          <w:color w:val="000000"/>
          <w:szCs w:val="22"/>
        </w:rPr>
        <w:t>[</w:t>
      </w:r>
      <w:hyperlink w:anchor="_ENREF_9" w:tooltip="Organization, 2013 #13305" w:history="1">
        <w:r w:rsidR="001A1F59" w:rsidRPr="0038687D">
          <w:rPr>
            <w:rFonts w:cs="Arial"/>
            <w:iCs/>
            <w:noProof/>
            <w:color w:val="0000FF"/>
            <w:szCs w:val="22"/>
          </w:rPr>
          <w:t>9</w:t>
        </w:r>
      </w:hyperlink>
      <w:r w:rsidR="001A1F59">
        <w:rPr>
          <w:rFonts w:cs="Arial"/>
          <w:iCs/>
          <w:noProof/>
          <w:color w:val="000000"/>
          <w:szCs w:val="22"/>
        </w:rPr>
        <w:t>]</w:t>
      </w:r>
      <w:r w:rsidR="001A1F59">
        <w:rPr>
          <w:rFonts w:cs="Arial"/>
          <w:iCs/>
          <w:color w:val="000000"/>
          <w:szCs w:val="22"/>
        </w:rPr>
        <w:fldChar w:fldCharType="end"/>
      </w:r>
      <w:r w:rsidRPr="00072B81">
        <w:rPr>
          <w:rFonts w:cs="Arial"/>
          <w:iCs/>
          <w:color w:val="000000"/>
          <w:szCs w:val="22"/>
        </w:rPr>
        <w:t xml:space="preserve">. </w:t>
      </w:r>
    </w:p>
    <w:p w14:paraId="68ACC36F" w14:textId="39A80551" w:rsidR="00AE5841" w:rsidRPr="00072B81" w:rsidRDefault="00D04279" w:rsidP="00072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80" w:after="180" w:line="276" w:lineRule="auto"/>
        <w:rPr>
          <w:rFonts w:cs="Arial"/>
          <w:color w:val="000000"/>
          <w:szCs w:val="22"/>
        </w:rPr>
      </w:pPr>
      <w:r w:rsidRPr="00072B81">
        <w:rPr>
          <w:rFonts w:cs="Arial"/>
          <w:iCs/>
          <w:color w:val="000000"/>
          <w:szCs w:val="22"/>
        </w:rPr>
        <w:t>The</w:t>
      </w:r>
      <w:r w:rsidR="00AE5841" w:rsidRPr="00072B81">
        <w:rPr>
          <w:rFonts w:cs="Arial"/>
          <w:iCs/>
          <w:color w:val="000000"/>
          <w:szCs w:val="22"/>
        </w:rPr>
        <w:t xml:space="preserve"> relatively high incidence rate of recurrent TB may be leveraged to carry out proof-of-principle efficacy trials.</w:t>
      </w:r>
      <w:r w:rsidR="00AE5841" w:rsidRPr="00072B81">
        <w:rPr>
          <w:rFonts w:cs="Arial"/>
          <w:color w:val="000000"/>
          <w:szCs w:val="22"/>
        </w:rPr>
        <w:t xml:space="preserve"> Large-scale Phase </w:t>
      </w:r>
      <w:r w:rsidR="00F42DB9">
        <w:rPr>
          <w:rFonts w:cs="Arial"/>
          <w:color w:val="000000"/>
          <w:szCs w:val="22"/>
        </w:rPr>
        <w:t>3</w:t>
      </w:r>
      <w:r w:rsidR="00F42DB9" w:rsidRPr="00072B81">
        <w:rPr>
          <w:rFonts w:cs="Arial"/>
          <w:color w:val="000000"/>
          <w:szCs w:val="22"/>
        </w:rPr>
        <w:t xml:space="preserve"> </w:t>
      </w:r>
      <w:r w:rsidR="00AE5841" w:rsidRPr="00072B81">
        <w:rPr>
          <w:rFonts w:cs="Arial"/>
          <w:color w:val="000000"/>
          <w:szCs w:val="22"/>
        </w:rPr>
        <w:t>trials will not be feasible or affordable for all the candidate TB vaccines in the development pipeline and TB case accrual, key to determination of vaccine effica</w:t>
      </w:r>
      <w:r w:rsidRPr="00072B81">
        <w:rPr>
          <w:rFonts w:cs="Arial"/>
          <w:color w:val="000000"/>
          <w:szCs w:val="22"/>
        </w:rPr>
        <w:t>cy, is the primary driver of trial</w:t>
      </w:r>
      <w:r w:rsidR="00AE5841" w:rsidRPr="00072B81">
        <w:rPr>
          <w:rFonts w:cs="Arial"/>
          <w:color w:val="000000"/>
          <w:szCs w:val="22"/>
        </w:rPr>
        <w:t xml:space="preserve"> sample size, duration, </w:t>
      </w:r>
      <w:r w:rsidRPr="00072B81">
        <w:rPr>
          <w:rFonts w:cs="Arial"/>
          <w:color w:val="000000"/>
          <w:szCs w:val="22"/>
        </w:rPr>
        <w:t>and cost</w:t>
      </w:r>
      <w:r w:rsidR="00AE5841" w:rsidRPr="00072B81">
        <w:rPr>
          <w:rFonts w:cs="Arial"/>
          <w:color w:val="000000"/>
          <w:szCs w:val="22"/>
        </w:rPr>
        <w:t xml:space="preserve">. </w:t>
      </w:r>
      <w:r w:rsidR="003E40DB" w:rsidRPr="00072B81">
        <w:rPr>
          <w:rFonts w:cs="Arial"/>
          <w:color w:val="000000"/>
          <w:szCs w:val="22"/>
        </w:rPr>
        <w:t>Th</w:t>
      </w:r>
      <w:r w:rsidR="003E40DB">
        <w:rPr>
          <w:rFonts w:cs="Arial"/>
          <w:color w:val="000000"/>
          <w:szCs w:val="22"/>
        </w:rPr>
        <w:t xml:space="preserve">is Phase 2a study is </w:t>
      </w:r>
      <w:r w:rsidR="00851C2A">
        <w:rPr>
          <w:rFonts w:cs="Arial"/>
          <w:color w:val="000000"/>
          <w:szCs w:val="22"/>
        </w:rPr>
        <w:t>the</w:t>
      </w:r>
      <w:r w:rsidR="003E40DB">
        <w:rPr>
          <w:rFonts w:cs="Arial"/>
          <w:color w:val="000000"/>
          <w:szCs w:val="22"/>
        </w:rPr>
        <w:t xml:space="preserve"> </w:t>
      </w:r>
      <w:r w:rsidR="00851C2A">
        <w:rPr>
          <w:rFonts w:cs="Arial"/>
          <w:color w:val="000000"/>
          <w:szCs w:val="22"/>
        </w:rPr>
        <w:t xml:space="preserve">immediate </w:t>
      </w:r>
      <w:r w:rsidR="003E40DB">
        <w:rPr>
          <w:rFonts w:cs="Arial"/>
          <w:color w:val="000000"/>
          <w:szCs w:val="22"/>
        </w:rPr>
        <w:t>precursor to a</w:t>
      </w:r>
      <w:r w:rsidR="00F42DB9">
        <w:rPr>
          <w:rFonts w:cs="Arial"/>
          <w:color w:val="000000"/>
          <w:szCs w:val="22"/>
        </w:rPr>
        <w:t xml:space="preserve"> </w:t>
      </w:r>
      <w:r w:rsidR="00851C2A">
        <w:rPr>
          <w:rFonts w:cs="Arial"/>
          <w:color w:val="000000"/>
          <w:szCs w:val="22"/>
        </w:rPr>
        <w:t>planned</w:t>
      </w:r>
      <w:r w:rsidR="00F42DB9">
        <w:rPr>
          <w:rFonts w:cs="Arial"/>
          <w:color w:val="000000"/>
          <w:szCs w:val="22"/>
        </w:rPr>
        <w:t xml:space="preserve"> </w:t>
      </w:r>
      <w:r w:rsidR="003E40DB" w:rsidRPr="00072B81">
        <w:rPr>
          <w:rFonts w:cs="Arial"/>
          <w:color w:val="000000"/>
          <w:szCs w:val="22"/>
        </w:rPr>
        <w:t xml:space="preserve">Phase </w:t>
      </w:r>
      <w:r w:rsidR="003E40DB">
        <w:rPr>
          <w:rFonts w:cs="Arial"/>
          <w:color w:val="000000"/>
          <w:szCs w:val="22"/>
        </w:rPr>
        <w:t>2</w:t>
      </w:r>
      <w:r w:rsidR="003E40DB" w:rsidRPr="00072B81">
        <w:rPr>
          <w:rFonts w:cs="Arial"/>
          <w:color w:val="000000"/>
          <w:szCs w:val="22"/>
        </w:rPr>
        <w:t>b</w:t>
      </w:r>
      <w:r w:rsidR="003E40DB">
        <w:rPr>
          <w:rFonts w:cs="Arial"/>
          <w:color w:val="000000"/>
          <w:szCs w:val="22"/>
        </w:rPr>
        <w:t xml:space="preserve"> trial that will</w:t>
      </w:r>
      <w:r w:rsidR="00AE5841" w:rsidRPr="00072B81">
        <w:rPr>
          <w:rFonts w:cs="Arial"/>
          <w:color w:val="000000"/>
          <w:szCs w:val="22"/>
        </w:rPr>
        <w:t xml:space="preserve"> maximize TB case accrual with optimal cost efficiency</w:t>
      </w:r>
      <w:r w:rsidR="00851C2A">
        <w:rPr>
          <w:rFonts w:cs="Arial"/>
          <w:color w:val="000000"/>
          <w:szCs w:val="22"/>
        </w:rPr>
        <w:t>,</w:t>
      </w:r>
      <w:r w:rsidR="00AE5841" w:rsidRPr="00072B81">
        <w:rPr>
          <w:rFonts w:cs="Arial"/>
          <w:color w:val="000000"/>
          <w:szCs w:val="22"/>
        </w:rPr>
        <w:t xml:space="preserve"> </w:t>
      </w:r>
      <w:r w:rsidR="00851C2A">
        <w:rPr>
          <w:rFonts w:cs="Arial"/>
          <w:color w:val="000000"/>
          <w:szCs w:val="22"/>
        </w:rPr>
        <w:t xml:space="preserve">to </w:t>
      </w:r>
      <w:r w:rsidR="00AE5841" w:rsidRPr="00072B81">
        <w:rPr>
          <w:rFonts w:cs="Arial"/>
          <w:color w:val="000000"/>
          <w:szCs w:val="22"/>
        </w:rPr>
        <w:t xml:space="preserve">facilitate evidence-based </w:t>
      </w:r>
      <w:r w:rsidR="00851C2A">
        <w:rPr>
          <w:rFonts w:cs="Arial"/>
          <w:color w:val="000000"/>
          <w:szCs w:val="22"/>
        </w:rPr>
        <w:t xml:space="preserve">progression of the </w:t>
      </w:r>
      <w:r w:rsidR="00AE5841" w:rsidRPr="00072B81">
        <w:rPr>
          <w:rFonts w:cs="Arial"/>
          <w:color w:val="000000"/>
          <w:szCs w:val="22"/>
        </w:rPr>
        <w:t xml:space="preserve">vaccine candidate </w:t>
      </w:r>
      <w:r w:rsidR="00851C2A">
        <w:rPr>
          <w:rFonts w:cs="Arial"/>
          <w:color w:val="000000"/>
          <w:szCs w:val="22"/>
        </w:rPr>
        <w:t>to</w:t>
      </w:r>
      <w:r w:rsidR="00AE5841" w:rsidRPr="00072B81">
        <w:rPr>
          <w:rFonts w:cs="Arial"/>
          <w:color w:val="000000"/>
          <w:szCs w:val="22"/>
        </w:rPr>
        <w:t xml:space="preserve"> Phase </w:t>
      </w:r>
      <w:r w:rsidR="00F42DB9">
        <w:rPr>
          <w:rFonts w:cs="Arial"/>
          <w:color w:val="000000"/>
          <w:szCs w:val="22"/>
        </w:rPr>
        <w:t>3</w:t>
      </w:r>
      <w:r w:rsidR="00F42DB9" w:rsidRPr="00072B81">
        <w:rPr>
          <w:rFonts w:cs="Arial"/>
          <w:color w:val="000000"/>
          <w:szCs w:val="22"/>
        </w:rPr>
        <w:t xml:space="preserve"> </w:t>
      </w:r>
      <w:r w:rsidR="00AE5841" w:rsidRPr="00072B81">
        <w:rPr>
          <w:rFonts w:cs="Arial"/>
          <w:color w:val="000000"/>
          <w:szCs w:val="22"/>
        </w:rPr>
        <w:t>efficacy trials</w:t>
      </w:r>
      <w:r w:rsidR="0086054F">
        <w:rPr>
          <w:rFonts w:cs="Arial"/>
          <w:color w:val="000000"/>
          <w:szCs w:val="22"/>
        </w:rPr>
        <w:t>.</w:t>
      </w:r>
    </w:p>
    <w:p w14:paraId="77159BB8" w14:textId="32DC9C69" w:rsidR="00DB073C" w:rsidRPr="00072B81" w:rsidRDefault="00DB073C" w:rsidP="00072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80" w:after="180" w:line="276" w:lineRule="auto"/>
        <w:rPr>
          <w:rFonts w:ascii="Times New Roman" w:hAnsi="Times New Roman"/>
          <w:szCs w:val="22"/>
        </w:rPr>
      </w:pPr>
      <w:r w:rsidRPr="00072B81">
        <w:rPr>
          <w:rFonts w:cs="Arial"/>
          <w:color w:val="000000"/>
          <w:szCs w:val="22"/>
        </w:rPr>
        <w:t>The tetravalent candidate TB vaccine antigen, ID93, is formulated in a synthetic</w:t>
      </w:r>
      <w:r w:rsidRPr="00072B81">
        <w:rPr>
          <w:rFonts w:ascii="Times New Roman" w:hAnsi="Times New Roman"/>
          <w:szCs w:val="22"/>
        </w:rPr>
        <w:t xml:space="preserve"> </w:t>
      </w:r>
      <w:r w:rsidRPr="00072B81">
        <w:rPr>
          <w:rFonts w:cs="Arial"/>
          <w:color w:val="000000"/>
          <w:szCs w:val="22"/>
        </w:rPr>
        <w:t>nano-emulsion adjuvant, GLA-SE. GLA is a synthetic compound similar to the major active</w:t>
      </w:r>
      <w:r w:rsidRPr="00072B81">
        <w:rPr>
          <w:rFonts w:ascii="Times New Roman" w:hAnsi="Times New Roman"/>
          <w:szCs w:val="22"/>
        </w:rPr>
        <w:t xml:space="preserve"> </w:t>
      </w:r>
      <w:r w:rsidRPr="00072B81">
        <w:rPr>
          <w:rFonts w:cs="Arial"/>
          <w:color w:val="000000"/>
          <w:szCs w:val="22"/>
        </w:rPr>
        <w:t>species of the naturally derived TLR4 agonist M</w:t>
      </w:r>
      <w:r w:rsidRPr="00E21053">
        <w:rPr>
          <w:rFonts w:cs="Arial"/>
          <w:color w:val="000000"/>
          <w:szCs w:val="22"/>
        </w:rPr>
        <w:t xml:space="preserve">PL </w:t>
      </w:r>
      <w:r w:rsidR="00163613">
        <w:rPr>
          <w:rFonts w:cs="Arial"/>
          <w:color w:val="000000"/>
          <w:szCs w:val="22"/>
        </w:rPr>
        <w:fldChar w:fldCharType="begin"/>
      </w:r>
      <w:r w:rsidR="001A1F59">
        <w:rPr>
          <w:rFonts w:cs="Arial"/>
          <w:color w:val="000000"/>
          <w:szCs w:val="22"/>
        </w:rPr>
        <w:instrText xml:space="preserve"> ADDIN EN.CITE &lt;EndNote&gt;&lt;Cite&gt;&lt;Author&gt;Coler&lt;/Author&gt;&lt;Year&gt;2011&lt;/Year&gt;&lt;RecNum&gt;13199&lt;/RecNum&gt;&lt;DisplayText&gt;[10]&lt;/DisplayText&gt;&lt;record&gt;&lt;rec-number&gt;13199&lt;/rec-number&gt;&lt;foreign-keys&gt;&lt;key app="EN" db-id="xwz9pswzer5s0dewarv5ve5fs9ee5vxs9zfp" timestamp="1396204750"&gt;13199&lt;/key&gt;&lt;/foreign-keys&gt;&lt;ref-type name="Journal Article"&gt;17&lt;/ref-type&gt;&lt;contributors&gt;&lt;authors&gt;&lt;author&gt;Coler, R. N.&lt;/author&gt;&lt;author&gt;Bertholet, S.&lt;/author&gt;&lt;author&gt;Moutaftsi, M.&lt;/author&gt;&lt;author&gt;Guderian, J. A.&lt;/author&gt;&lt;author&gt;Windish, H. P.&lt;/author&gt;&lt;author&gt;Baldwin, S. L.&lt;/author&gt;&lt;author&gt;Laughlin, E. M.&lt;/author&gt;&lt;author&gt;Duthie, M. S.&lt;/author&gt;&lt;author&gt;Fox, C. B.&lt;/author&gt;&lt;author&gt;Carter, D.&lt;/author&gt;&lt;author&gt;Friede, M.&lt;/author&gt;&lt;author&gt;Vedvick, T. S.&lt;/author&gt;&lt;author&gt;Reed, S. G.&lt;/author&gt;&lt;/authors&gt;&lt;/contributors&gt;&lt;auth-address&gt;Preclinical Biology, Infectious Disease Research Institute, Seattle, Washington, United States of America.&lt;/auth-address&gt;&lt;titles&gt;&lt;title&gt;Development and characterization of synthetic glucopyranosyl lipid adjuvant system as a vaccine adjuvant&lt;/title&gt;&lt;secondary-title&gt;PLoS One&lt;/secondary-title&gt;&lt;/titles&gt;&lt;periodical&gt;&lt;full-title&gt;PLoS One&lt;/full-title&gt;&lt;abbr-1&gt;PloS one&lt;/abbr-1&gt;&lt;/periodical&gt;&lt;pages&gt;e16333&lt;/pages&gt;&lt;volume&gt;6&lt;/volume&gt;&lt;number&gt;1&lt;/number&gt;&lt;edition&gt;2011/02/08&lt;/edition&gt;&lt;keywords&gt;&lt;keyword&gt;Adjuvants, Immunologic/*chemistry&lt;/keyword&gt;&lt;keyword&gt;Animals&lt;/keyword&gt;&lt;keyword&gt;Antigen Presentation&lt;/keyword&gt;&lt;keyword&gt;Cytokines/biosynthesis&lt;/keyword&gt;&lt;keyword&gt;Dendritic Cells/*drug effects/immunology&lt;/keyword&gt;&lt;keyword&gt;Humans&lt;/keyword&gt;&lt;keyword&gt;Immunity, Cellular&lt;/keyword&gt;&lt;keyword&gt;Lipid A/immunology/*therapeutic use&lt;/keyword&gt;&lt;keyword&gt;Mice&lt;/keyword&gt;&lt;keyword&gt;Th1 Cells&lt;/keyword&gt;&lt;/keywords&gt;&lt;dates&gt;&lt;year&gt;2011&lt;/year&gt;&lt;/dates&gt;&lt;isbn&gt;1932-6203 (Electronic)&amp;#xD;1932-6203 (Linking)&lt;/isbn&gt;&lt;accession-num&gt;21298114&lt;/accession-num&gt;&lt;urls&gt;&lt;related-urls&gt;&lt;url&gt;http://www.ncbi.nlm.nih.gov/pubmed/21298114&lt;/url&gt;&lt;/related-urls&gt;&lt;/urls&gt;&lt;custom2&gt;3027669&lt;/custom2&gt;&lt;electronic-resource-num&gt;10.1371/journal.pone.0016333&lt;/electronic-resource-num&gt;&lt;language&gt;eng&lt;/language&gt;&lt;/record&gt;&lt;/Cite&gt;&lt;/EndNote&gt;</w:instrText>
      </w:r>
      <w:r w:rsidR="00163613">
        <w:rPr>
          <w:rFonts w:cs="Arial"/>
          <w:color w:val="000000"/>
          <w:szCs w:val="22"/>
        </w:rPr>
        <w:fldChar w:fldCharType="separate"/>
      </w:r>
      <w:r w:rsidR="001A1F59">
        <w:rPr>
          <w:rFonts w:cs="Arial"/>
          <w:noProof/>
          <w:color w:val="000000"/>
          <w:szCs w:val="22"/>
        </w:rPr>
        <w:t>[</w:t>
      </w:r>
      <w:hyperlink w:anchor="_ENREF_10" w:tooltip="Coler, 2011 #13199" w:history="1">
        <w:r w:rsidR="001A1F59" w:rsidRPr="0038687D">
          <w:rPr>
            <w:rFonts w:cs="Arial"/>
            <w:noProof/>
            <w:color w:val="0000FF"/>
            <w:szCs w:val="22"/>
          </w:rPr>
          <w:t>10</w:t>
        </w:r>
      </w:hyperlink>
      <w:r w:rsidR="001A1F59">
        <w:rPr>
          <w:rFonts w:cs="Arial"/>
          <w:noProof/>
          <w:color w:val="000000"/>
          <w:szCs w:val="22"/>
        </w:rPr>
        <w:t>]</w:t>
      </w:r>
      <w:r w:rsidR="00163613">
        <w:rPr>
          <w:rFonts w:cs="Arial"/>
          <w:color w:val="000000"/>
          <w:szCs w:val="22"/>
        </w:rPr>
        <w:fldChar w:fldCharType="end"/>
      </w:r>
      <w:r w:rsidRPr="00E21053">
        <w:rPr>
          <w:rFonts w:cs="Arial"/>
          <w:color w:val="000000"/>
          <w:szCs w:val="22"/>
        </w:rPr>
        <w:t xml:space="preserve">. ID93 is a fusion of </w:t>
      </w:r>
      <w:r w:rsidR="00B01FE8" w:rsidRPr="00E21053">
        <w:rPr>
          <w:rFonts w:cs="Arial"/>
          <w:color w:val="000000"/>
          <w:szCs w:val="22"/>
        </w:rPr>
        <w:t>four</w:t>
      </w:r>
      <w:r w:rsidRPr="00E21053">
        <w:rPr>
          <w:rFonts w:cs="Arial"/>
          <w:color w:val="000000"/>
          <w:szCs w:val="22"/>
        </w:rPr>
        <w:t xml:space="preserve"> </w:t>
      </w:r>
      <w:r w:rsidR="00E90D64" w:rsidRPr="00E21053">
        <w:rPr>
          <w:rFonts w:cs="Arial"/>
          <w:color w:val="000000"/>
          <w:szCs w:val="22"/>
        </w:rPr>
        <w:t>Mtb</w:t>
      </w:r>
      <w:r w:rsidRPr="00E21053">
        <w:rPr>
          <w:rFonts w:cs="Arial"/>
          <w:color w:val="000000"/>
          <w:szCs w:val="22"/>
        </w:rPr>
        <w:t xml:space="preserve"> proteins associated with virulence</w:t>
      </w:r>
      <w:r w:rsidR="00B01FE8" w:rsidRPr="00E21053">
        <w:rPr>
          <w:rFonts w:cs="Arial"/>
          <w:color w:val="000000"/>
          <w:szCs w:val="22"/>
        </w:rPr>
        <w:t xml:space="preserve"> or latency:</w:t>
      </w:r>
      <w:r w:rsidRPr="00E21053">
        <w:rPr>
          <w:rFonts w:cs="Arial"/>
          <w:color w:val="000000"/>
          <w:szCs w:val="22"/>
        </w:rPr>
        <w:t xml:space="preserve"> R</w:t>
      </w:r>
      <w:r w:rsidR="00007815" w:rsidRPr="00E21053">
        <w:rPr>
          <w:rFonts w:cs="Arial"/>
          <w:color w:val="000000"/>
          <w:szCs w:val="22"/>
        </w:rPr>
        <w:t>v</w:t>
      </w:r>
      <w:r w:rsidRPr="00E21053">
        <w:rPr>
          <w:rFonts w:cs="Arial"/>
          <w:color w:val="000000"/>
          <w:szCs w:val="22"/>
        </w:rPr>
        <w:t>2608 (PE/PPE family), Rv3619 and</w:t>
      </w:r>
      <w:r w:rsidRPr="00E21053">
        <w:rPr>
          <w:rFonts w:ascii="Times New Roman" w:hAnsi="Times New Roman"/>
          <w:szCs w:val="22"/>
        </w:rPr>
        <w:t xml:space="preserve"> </w:t>
      </w:r>
      <w:r w:rsidRPr="00E21053">
        <w:rPr>
          <w:rFonts w:cs="Arial"/>
          <w:color w:val="000000"/>
          <w:szCs w:val="22"/>
        </w:rPr>
        <w:t>Rv3620 (both EsX family), and the hypoxia-associated protein Rv1813. Immunization with</w:t>
      </w:r>
      <w:r w:rsidRPr="00E21053">
        <w:rPr>
          <w:rFonts w:ascii="Times New Roman" w:hAnsi="Times New Roman"/>
          <w:szCs w:val="22"/>
        </w:rPr>
        <w:t xml:space="preserve"> </w:t>
      </w:r>
      <w:r w:rsidRPr="00E21053">
        <w:rPr>
          <w:rFonts w:cs="Arial"/>
          <w:color w:val="000000"/>
          <w:szCs w:val="22"/>
        </w:rPr>
        <w:t>ID93</w:t>
      </w:r>
      <w:r w:rsidR="00B01FE8" w:rsidRPr="00E21053">
        <w:rPr>
          <w:rFonts w:cs="Arial"/>
          <w:color w:val="000000"/>
          <w:szCs w:val="22"/>
        </w:rPr>
        <w:t xml:space="preserve"> + </w:t>
      </w:r>
      <w:r w:rsidRPr="00E21053">
        <w:rPr>
          <w:rFonts w:cs="Arial"/>
          <w:color w:val="000000"/>
          <w:szCs w:val="22"/>
        </w:rPr>
        <w:t>GLA-SE produces robust poly-functional Th1 responses in mice and is protective against</w:t>
      </w:r>
      <w:r w:rsidRPr="00E21053">
        <w:rPr>
          <w:rFonts w:ascii="Times New Roman" w:hAnsi="Times New Roman"/>
          <w:szCs w:val="22"/>
        </w:rPr>
        <w:t xml:space="preserve"> </w:t>
      </w:r>
      <w:r w:rsidRPr="00E21053">
        <w:rPr>
          <w:rFonts w:cs="Arial"/>
          <w:color w:val="000000"/>
          <w:szCs w:val="22"/>
        </w:rPr>
        <w:t xml:space="preserve">aerosolized </w:t>
      </w:r>
      <w:r w:rsidR="00E90D64" w:rsidRPr="00E21053">
        <w:rPr>
          <w:rFonts w:cs="Arial"/>
          <w:color w:val="000000"/>
          <w:szCs w:val="22"/>
        </w:rPr>
        <w:t>Mtb</w:t>
      </w:r>
      <w:r w:rsidR="00725327" w:rsidRPr="00E21053">
        <w:rPr>
          <w:rFonts w:cs="Arial"/>
          <w:i/>
          <w:color w:val="000000"/>
          <w:szCs w:val="22"/>
        </w:rPr>
        <w:t xml:space="preserve"> </w:t>
      </w:r>
      <w:r w:rsidRPr="00E21053">
        <w:rPr>
          <w:rFonts w:cs="Arial"/>
          <w:color w:val="000000"/>
          <w:szCs w:val="22"/>
        </w:rPr>
        <w:t xml:space="preserve">infection in mouse, guinea pig and non-human primate challenge models </w:t>
      </w:r>
      <w:r w:rsidR="00163613">
        <w:rPr>
          <w:rFonts w:cs="Arial"/>
          <w:color w:val="000000"/>
          <w:szCs w:val="22"/>
        </w:rPr>
        <w:fldChar w:fldCharType="begin">
          <w:fldData xml:space="preserve">PEVuZE5vdGU+PENpdGU+PEF1dGhvcj5CYWxkd2luPC9BdXRob3I+PFllYXI+MjAxMjwvWWVhcj48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</w:fldData>
        </w:fldChar>
      </w:r>
      <w:r w:rsidR="001A1F59">
        <w:rPr>
          <w:rFonts w:cs="Arial"/>
          <w:color w:val="000000"/>
          <w:szCs w:val="22"/>
        </w:rPr>
        <w:instrText xml:space="preserve"> ADDIN EN.CITE </w:instrText>
      </w:r>
      <w:r w:rsidR="001A1F59">
        <w:rPr>
          <w:rFonts w:cs="Arial"/>
          <w:color w:val="000000"/>
          <w:szCs w:val="22"/>
        </w:rPr>
        <w:fldChar w:fldCharType="begin">
          <w:fldData xml:space="preserve">PEVuZE5vdGU+PENpdGU+PEF1dGhvcj5CYWxkd2luPC9BdXRob3I+PFllYXI+MjAxMjwvWWVhcj48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</w:fldData>
        </w:fldChar>
      </w:r>
      <w:r w:rsidR="001A1F59">
        <w:rPr>
          <w:rFonts w:cs="Arial"/>
          <w:color w:val="000000"/>
          <w:szCs w:val="22"/>
        </w:rPr>
        <w:instrText xml:space="preserve"> ADDIN EN.CITE.DATA </w:instrText>
      </w:r>
      <w:r w:rsidR="001A1F59">
        <w:rPr>
          <w:rFonts w:cs="Arial"/>
          <w:color w:val="000000"/>
          <w:szCs w:val="22"/>
        </w:rPr>
      </w:r>
      <w:r w:rsidR="001A1F59">
        <w:rPr>
          <w:rFonts w:cs="Arial"/>
          <w:color w:val="000000"/>
          <w:szCs w:val="22"/>
        </w:rPr>
        <w:fldChar w:fldCharType="end"/>
      </w:r>
      <w:r w:rsidR="00163613">
        <w:rPr>
          <w:rFonts w:cs="Arial"/>
          <w:color w:val="000000"/>
          <w:szCs w:val="22"/>
        </w:rPr>
      </w:r>
      <w:r w:rsidR="00163613">
        <w:rPr>
          <w:rFonts w:cs="Arial"/>
          <w:color w:val="000000"/>
          <w:szCs w:val="22"/>
        </w:rPr>
        <w:fldChar w:fldCharType="separate"/>
      </w:r>
      <w:r w:rsidR="001A1F59">
        <w:rPr>
          <w:rFonts w:cs="Arial"/>
          <w:noProof/>
          <w:color w:val="000000"/>
          <w:szCs w:val="22"/>
        </w:rPr>
        <w:t>[</w:t>
      </w:r>
      <w:hyperlink w:anchor="_ENREF_11" w:tooltip="Baldwin, 2012 #13194" w:history="1">
        <w:r w:rsidR="001A1F59" w:rsidRPr="0038687D">
          <w:rPr>
            <w:rFonts w:cs="Arial"/>
            <w:noProof/>
            <w:color w:val="0000FF"/>
            <w:szCs w:val="22"/>
          </w:rPr>
          <w:t>11</w:t>
        </w:r>
      </w:hyperlink>
      <w:r w:rsidR="001A1F59">
        <w:rPr>
          <w:rFonts w:cs="Arial"/>
          <w:noProof/>
          <w:color w:val="000000"/>
          <w:szCs w:val="22"/>
        </w:rPr>
        <w:t xml:space="preserve">, </w:t>
      </w:r>
      <w:hyperlink w:anchor="_ENREF_12" w:tooltip="Bertholet, 2010 #13203" w:history="1">
        <w:r w:rsidR="001A1F59" w:rsidRPr="0038687D">
          <w:rPr>
            <w:rFonts w:cs="Arial"/>
            <w:noProof/>
            <w:color w:val="0000FF"/>
            <w:szCs w:val="22"/>
          </w:rPr>
          <w:t>12</w:t>
        </w:r>
      </w:hyperlink>
      <w:r w:rsidR="001A1F59">
        <w:rPr>
          <w:rFonts w:cs="Arial"/>
          <w:noProof/>
          <w:color w:val="000000"/>
          <w:szCs w:val="22"/>
        </w:rPr>
        <w:t>]</w:t>
      </w:r>
      <w:r w:rsidR="00163613">
        <w:rPr>
          <w:rFonts w:cs="Arial"/>
          <w:color w:val="000000"/>
          <w:szCs w:val="22"/>
        </w:rPr>
        <w:fldChar w:fldCharType="end"/>
      </w:r>
      <w:r w:rsidR="00163613">
        <w:rPr>
          <w:rFonts w:cs="Arial"/>
          <w:color w:val="000000"/>
          <w:szCs w:val="22"/>
        </w:rPr>
        <w:t>.</w:t>
      </w:r>
      <w:r w:rsidRPr="00E21053">
        <w:rPr>
          <w:rFonts w:ascii="Times New Roman" w:hAnsi="Times New Roman"/>
          <w:szCs w:val="22"/>
        </w:rPr>
        <w:t xml:space="preserve"> </w:t>
      </w:r>
      <w:r w:rsidRPr="00E21053">
        <w:rPr>
          <w:rFonts w:cs="Arial"/>
          <w:color w:val="000000"/>
          <w:szCs w:val="22"/>
        </w:rPr>
        <w:t>Importantly, ID93</w:t>
      </w:r>
      <w:r w:rsidR="00B01FE8" w:rsidRPr="00E21053">
        <w:rPr>
          <w:rFonts w:cs="Arial"/>
          <w:color w:val="000000"/>
          <w:szCs w:val="22"/>
        </w:rPr>
        <w:t xml:space="preserve"> + </w:t>
      </w:r>
      <w:r w:rsidRPr="00E21053">
        <w:rPr>
          <w:rFonts w:cs="Arial"/>
          <w:color w:val="000000"/>
          <w:szCs w:val="22"/>
        </w:rPr>
        <w:t>GLA-SE vaccination also protects against MDR-TB challenge and boosts the</w:t>
      </w:r>
      <w:r w:rsidRPr="00E21053">
        <w:rPr>
          <w:rFonts w:ascii="Times New Roman" w:hAnsi="Times New Roman"/>
          <w:szCs w:val="22"/>
        </w:rPr>
        <w:t xml:space="preserve"> </w:t>
      </w:r>
      <w:r w:rsidRPr="00E21053">
        <w:rPr>
          <w:rFonts w:cs="Arial"/>
          <w:color w:val="000000"/>
          <w:szCs w:val="22"/>
        </w:rPr>
        <w:t>protective efficacy of the BCG vaccine</w:t>
      </w:r>
      <w:r w:rsidR="00F83EFB">
        <w:rPr>
          <w:rFonts w:cs="Arial"/>
          <w:color w:val="000000"/>
          <w:szCs w:val="22"/>
        </w:rPr>
        <w:t xml:space="preserve"> </w:t>
      </w:r>
      <w:r w:rsidR="00163613">
        <w:rPr>
          <w:rFonts w:cs="Arial"/>
          <w:color w:val="000000"/>
          <w:szCs w:val="22"/>
        </w:rPr>
        <w:fldChar w:fldCharType="begin">
          <w:fldData xml:space="preserve">PEVuZE5vdGU+PENpdGU+PEF1dGhvcj5CZXJ0aG9sZXQ8L0F1dGhvcj48WWVhcj4yMDEwPC9ZZWFy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==
</w:fldData>
        </w:fldChar>
      </w:r>
      <w:r w:rsidR="001A1F59">
        <w:rPr>
          <w:rFonts w:cs="Arial"/>
          <w:color w:val="000000"/>
          <w:szCs w:val="22"/>
        </w:rPr>
        <w:instrText xml:space="preserve"> ADDIN EN.CITE </w:instrText>
      </w:r>
      <w:r w:rsidR="001A1F59">
        <w:rPr>
          <w:rFonts w:cs="Arial"/>
          <w:color w:val="000000"/>
          <w:szCs w:val="22"/>
        </w:rPr>
        <w:fldChar w:fldCharType="begin">
          <w:fldData xml:space="preserve">PEVuZE5vdGU+PENpdGU+PEF1dGhvcj5CZXJ0aG9sZXQ8L0F1dGhvcj48WWVhcj4yMDEwPC9ZZWFy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==
</w:fldData>
        </w:fldChar>
      </w:r>
      <w:r w:rsidR="001A1F59">
        <w:rPr>
          <w:rFonts w:cs="Arial"/>
          <w:color w:val="000000"/>
          <w:szCs w:val="22"/>
        </w:rPr>
        <w:instrText xml:space="preserve"> ADDIN EN.CITE.DATA </w:instrText>
      </w:r>
      <w:r w:rsidR="001A1F59">
        <w:rPr>
          <w:rFonts w:cs="Arial"/>
          <w:color w:val="000000"/>
          <w:szCs w:val="22"/>
        </w:rPr>
      </w:r>
      <w:r w:rsidR="001A1F59">
        <w:rPr>
          <w:rFonts w:cs="Arial"/>
          <w:color w:val="000000"/>
          <w:szCs w:val="22"/>
        </w:rPr>
        <w:fldChar w:fldCharType="end"/>
      </w:r>
      <w:r w:rsidR="00163613">
        <w:rPr>
          <w:rFonts w:cs="Arial"/>
          <w:color w:val="000000"/>
          <w:szCs w:val="22"/>
        </w:rPr>
      </w:r>
      <w:r w:rsidR="00163613">
        <w:rPr>
          <w:rFonts w:cs="Arial"/>
          <w:color w:val="000000"/>
          <w:szCs w:val="22"/>
        </w:rPr>
        <w:fldChar w:fldCharType="separate"/>
      </w:r>
      <w:r w:rsidR="001A1F59">
        <w:rPr>
          <w:rFonts w:cs="Arial"/>
          <w:noProof/>
          <w:color w:val="000000"/>
          <w:szCs w:val="22"/>
        </w:rPr>
        <w:t>[</w:t>
      </w:r>
      <w:hyperlink w:anchor="_ENREF_12" w:tooltip="Bertholet, 2010 #13203" w:history="1">
        <w:r w:rsidR="001A1F59" w:rsidRPr="0038687D">
          <w:rPr>
            <w:rFonts w:cs="Arial"/>
            <w:noProof/>
            <w:color w:val="0000FF"/>
            <w:szCs w:val="22"/>
          </w:rPr>
          <w:t>12</w:t>
        </w:r>
      </w:hyperlink>
      <w:r w:rsidR="001A1F59">
        <w:rPr>
          <w:rFonts w:cs="Arial"/>
          <w:noProof/>
          <w:color w:val="000000"/>
          <w:szCs w:val="22"/>
        </w:rPr>
        <w:t>]</w:t>
      </w:r>
      <w:r w:rsidR="00163613">
        <w:rPr>
          <w:rFonts w:cs="Arial"/>
          <w:color w:val="000000"/>
          <w:szCs w:val="22"/>
        </w:rPr>
        <w:fldChar w:fldCharType="end"/>
      </w:r>
      <w:r w:rsidR="00163613">
        <w:rPr>
          <w:rFonts w:cs="Arial"/>
          <w:color w:val="000000"/>
          <w:szCs w:val="22"/>
        </w:rPr>
        <w:t>.</w:t>
      </w:r>
    </w:p>
    <w:p w14:paraId="5A1252B8" w14:textId="78AAB4AD" w:rsidR="00DB073C" w:rsidRPr="00072B81" w:rsidRDefault="00F56529" w:rsidP="00072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80" w:after="180" w:line="276" w:lineRule="auto"/>
        <w:rPr>
          <w:rFonts w:cs="Arial"/>
          <w:color w:val="000000"/>
          <w:szCs w:val="22"/>
        </w:rPr>
      </w:pPr>
      <w:r w:rsidRPr="00072B81">
        <w:rPr>
          <w:rFonts w:cs="Arial"/>
          <w:color w:val="000000"/>
          <w:szCs w:val="22"/>
        </w:rPr>
        <w:t xml:space="preserve">This </w:t>
      </w:r>
      <w:r w:rsidR="00DB073C" w:rsidRPr="00072B81">
        <w:rPr>
          <w:rFonts w:cs="Arial"/>
          <w:color w:val="000000"/>
          <w:szCs w:val="22"/>
        </w:rPr>
        <w:t xml:space="preserve">Phase </w:t>
      </w:r>
      <w:r w:rsidR="003E40DB">
        <w:rPr>
          <w:rFonts w:cs="Arial"/>
          <w:color w:val="000000"/>
          <w:szCs w:val="22"/>
        </w:rPr>
        <w:t>2a</w:t>
      </w:r>
      <w:r w:rsidR="003E40DB" w:rsidRPr="00072B81">
        <w:rPr>
          <w:rFonts w:cs="Arial"/>
          <w:color w:val="000000"/>
          <w:szCs w:val="22"/>
        </w:rPr>
        <w:t xml:space="preserve"> </w:t>
      </w:r>
      <w:r w:rsidR="00DB073C" w:rsidRPr="00072B81">
        <w:rPr>
          <w:rFonts w:cs="Arial"/>
          <w:color w:val="000000"/>
          <w:szCs w:val="22"/>
        </w:rPr>
        <w:t xml:space="preserve">trial </w:t>
      </w:r>
      <w:r w:rsidRPr="00072B81">
        <w:rPr>
          <w:rFonts w:cs="Arial"/>
          <w:color w:val="000000"/>
          <w:szCs w:val="22"/>
        </w:rPr>
        <w:t>will test the safety and immunogenicity of</w:t>
      </w:r>
      <w:r w:rsidR="00DB073C" w:rsidRPr="00072B81">
        <w:rPr>
          <w:rFonts w:cs="Arial"/>
          <w:color w:val="000000"/>
          <w:szCs w:val="22"/>
        </w:rPr>
        <w:t xml:space="preserve"> the </w:t>
      </w:r>
      <w:r w:rsidR="00072B81" w:rsidRPr="00072B81">
        <w:rPr>
          <w:rFonts w:cs="Arial"/>
          <w:color w:val="000000"/>
          <w:szCs w:val="22"/>
        </w:rPr>
        <w:t>ID93 + GLA-SE</w:t>
      </w:r>
      <w:r w:rsidR="00DB073C" w:rsidRPr="00072B81">
        <w:rPr>
          <w:rFonts w:cs="Arial"/>
          <w:color w:val="000000"/>
          <w:szCs w:val="22"/>
        </w:rPr>
        <w:t xml:space="preserve"> TB vaccine,</w:t>
      </w:r>
      <w:r w:rsidR="0009685B" w:rsidRPr="00072B81">
        <w:rPr>
          <w:rFonts w:cs="Arial"/>
          <w:color w:val="000000"/>
          <w:szCs w:val="22"/>
        </w:rPr>
        <w:t xml:space="preserve"> </w:t>
      </w:r>
      <w:r w:rsidR="00DB073C" w:rsidRPr="00072B81">
        <w:rPr>
          <w:rFonts w:cs="Arial"/>
          <w:color w:val="000000"/>
          <w:szCs w:val="22"/>
        </w:rPr>
        <w:t>in HIV uninfected</w:t>
      </w:r>
      <w:r w:rsidR="006F072C">
        <w:rPr>
          <w:rFonts w:cs="Arial"/>
          <w:color w:val="000000"/>
          <w:szCs w:val="22"/>
        </w:rPr>
        <w:t>, previously BCG vaccinated,</w:t>
      </w:r>
      <w:r w:rsidR="00DB073C" w:rsidRPr="00072B81">
        <w:rPr>
          <w:rFonts w:cs="Arial"/>
          <w:color w:val="000000"/>
          <w:szCs w:val="22"/>
        </w:rPr>
        <w:t xml:space="preserve"> adult</w:t>
      </w:r>
      <w:r w:rsidR="0086054F">
        <w:rPr>
          <w:rFonts w:cs="Arial"/>
          <w:color w:val="000000"/>
          <w:szCs w:val="22"/>
        </w:rPr>
        <w:t xml:space="preserve"> TB patients</w:t>
      </w:r>
      <w:r w:rsidR="00DB073C" w:rsidRPr="00072B81">
        <w:rPr>
          <w:rFonts w:cs="Arial"/>
          <w:color w:val="000000"/>
          <w:szCs w:val="22"/>
        </w:rPr>
        <w:t xml:space="preserve"> who have successfully</w:t>
      </w:r>
      <w:r w:rsidR="0009685B" w:rsidRPr="00072B81">
        <w:rPr>
          <w:rFonts w:cs="Arial"/>
          <w:color w:val="000000"/>
          <w:szCs w:val="22"/>
        </w:rPr>
        <w:t xml:space="preserve"> </w:t>
      </w:r>
      <w:r w:rsidR="00DB073C" w:rsidRPr="00072B81">
        <w:rPr>
          <w:rFonts w:cs="Arial"/>
          <w:color w:val="000000"/>
          <w:szCs w:val="22"/>
        </w:rPr>
        <w:t>completed treatment</w:t>
      </w:r>
      <w:r w:rsidR="0086054F">
        <w:rPr>
          <w:rFonts w:cs="Arial"/>
          <w:color w:val="000000"/>
          <w:szCs w:val="22"/>
        </w:rPr>
        <w:t xml:space="preserve"> with bacteriologic confirmation of cure</w:t>
      </w:r>
      <w:r w:rsidR="00DB073C" w:rsidRPr="00072B81">
        <w:rPr>
          <w:rFonts w:cs="Arial"/>
          <w:color w:val="000000"/>
          <w:szCs w:val="22"/>
        </w:rPr>
        <w:t xml:space="preserve">. We hypothesize that </w:t>
      </w:r>
      <w:r w:rsidR="00072B81" w:rsidRPr="00072B81">
        <w:rPr>
          <w:rFonts w:cs="Arial"/>
          <w:color w:val="000000"/>
          <w:szCs w:val="22"/>
        </w:rPr>
        <w:t>ID93 + GLA-SE</w:t>
      </w:r>
      <w:r w:rsidR="00DB073C" w:rsidRPr="00072B81">
        <w:rPr>
          <w:rFonts w:cs="Arial"/>
          <w:color w:val="000000"/>
          <w:szCs w:val="22"/>
        </w:rPr>
        <w:t xml:space="preserve"> is safe and immunogenic in HIV uninfected</w:t>
      </w:r>
      <w:r w:rsidR="006F072C">
        <w:rPr>
          <w:rFonts w:cs="Arial"/>
          <w:color w:val="000000"/>
          <w:szCs w:val="22"/>
        </w:rPr>
        <w:t>,</w:t>
      </w:r>
      <w:r w:rsidR="00DB073C" w:rsidRPr="00072B81">
        <w:rPr>
          <w:rFonts w:cs="Arial"/>
          <w:color w:val="000000"/>
          <w:szCs w:val="22"/>
        </w:rPr>
        <w:t xml:space="preserve"> </w:t>
      </w:r>
      <w:r w:rsidR="006F072C">
        <w:rPr>
          <w:rFonts w:cs="Arial"/>
          <w:color w:val="000000"/>
          <w:szCs w:val="22"/>
        </w:rPr>
        <w:t>BCG vaccinated</w:t>
      </w:r>
      <w:r w:rsidR="006F072C" w:rsidRPr="00072B81">
        <w:rPr>
          <w:rFonts w:cs="Arial"/>
          <w:color w:val="000000"/>
          <w:szCs w:val="22"/>
        </w:rPr>
        <w:t xml:space="preserve"> </w:t>
      </w:r>
      <w:r w:rsidR="00DB073C" w:rsidRPr="00072B81">
        <w:rPr>
          <w:rFonts w:cs="Arial"/>
          <w:color w:val="000000"/>
          <w:szCs w:val="22"/>
        </w:rPr>
        <w:t>adults, after successful completion of treatment for pulmonary TB.</w:t>
      </w:r>
    </w:p>
    <w:p w14:paraId="3D644372" w14:textId="1FDE7890" w:rsidR="00772A62" w:rsidRPr="00072B81" w:rsidRDefault="0009685B" w:rsidP="00072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80" w:after="180" w:line="276" w:lineRule="auto"/>
        <w:rPr>
          <w:rFonts w:cs="Arial"/>
          <w:color w:val="000000"/>
          <w:szCs w:val="22"/>
        </w:rPr>
      </w:pPr>
      <w:r w:rsidRPr="00072B81">
        <w:rPr>
          <w:rFonts w:cs="Arial"/>
          <w:color w:val="000000"/>
          <w:szCs w:val="22"/>
        </w:rPr>
        <w:t>This</w:t>
      </w:r>
      <w:r w:rsidR="00D465C3" w:rsidRPr="00072B81">
        <w:rPr>
          <w:rFonts w:cs="Arial"/>
          <w:color w:val="000000"/>
          <w:szCs w:val="22"/>
        </w:rPr>
        <w:t xml:space="preserve"> study </w:t>
      </w:r>
      <w:r w:rsidRPr="00072B81">
        <w:rPr>
          <w:rFonts w:cs="Arial"/>
          <w:color w:val="000000"/>
          <w:szCs w:val="22"/>
        </w:rPr>
        <w:t>will advance</w:t>
      </w:r>
      <w:r w:rsidR="00D465C3" w:rsidRPr="00072B81">
        <w:rPr>
          <w:rFonts w:cs="Arial"/>
          <w:color w:val="000000"/>
          <w:szCs w:val="22"/>
        </w:rPr>
        <w:t xml:space="preserve"> the development of </w:t>
      </w:r>
      <w:r w:rsidR="00D465C3" w:rsidRPr="002C6058">
        <w:rPr>
          <w:rFonts w:cs="Arial"/>
          <w:color w:val="000000"/>
          <w:szCs w:val="22"/>
        </w:rPr>
        <w:t>a vaccine tha</w:t>
      </w:r>
      <w:r w:rsidRPr="002C6058">
        <w:rPr>
          <w:rFonts w:cs="Arial"/>
          <w:color w:val="000000"/>
          <w:szCs w:val="22"/>
        </w:rPr>
        <w:t>t</w:t>
      </w:r>
      <w:r w:rsidRPr="00072B81">
        <w:rPr>
          <w:rFonts w:cs="Arial"/>
          <w:color w:val="000000"/>
          <w:szCs w:val="22"/>
        </w:rPr>
        <w:t xml:space="preserve"> might</w:t>
      </w:r>
      <w:r w:rsidR="00D465C3" w:rsidRPr="00072B81">
        <w:rPr>
          <w:rFonts w:cs="Arial"/>
          <w:color w:val="000000"/>
          <w:szCs w:val="22"/>
        </w:rPr>
        <w:t xml:space="preserve"> </w:t>
      </w:r>
      <w:r w:rsidR="0063574B">
        <w:rPr>
          <w:rFonts w:cs="Arial"/>
          <w:color w:val="000000"/>
          <w:szCs w:val="22"/>
        </w:rPr>
        <w:t>be used ultimately for a pro</w:t>
      </w:r>
      <w:r w:rsidR="00813E6C">
        <w:rPr>
          <w:rFonts w:cs="Arial"/>
          <w:color w:val="000000"/>
          <w:szCs w:val="22"/>
        </w:rPr>
        <w:t>phylactic indication, to reduce the incidence of</w:t>
      </w:r>
      <w:r w:rsidR="0063574B">
        <w:rPr>
          <w:rFonts w:cs="Arial"/>
          <w:color w:val="000000"/>
          <w:szCs w:val="22"/>
        </w:rPr>
        <w:t xml:space="preserve"> recurrent </w:t>
      </w:r>
      <w:r w:rsidR="00813E6C">
        <w:rPr>
          <w:rFonts w:cs="Arial"/>
          <w:color w:val="000000"/>
          <w:szCs w:val="22"/>
        </w:rPr>
        <w:t xml:space="preserve">and </w:t>
      </w:r>
      <w:r w:rsidR="0063574B" w:rsidRPr="00072B81">
        <w:rPr>
          <w:rFonts w:cs="Arial"/>
          <w:color w:val="000000"/>
          <w:szCs w:val="22"/>
        </w:rPr>
        <w:t>drug-resistant TB</w:t>
      </w:r>
      <w:r w:rsidR="00813E6C">
        <w:rPr>
          <w:rFonts w:cs="Arial"/>
          <w:color w:val="000000"/>
          <w:szCs w:val="22"/>
        </w:rPr>
        <w:t xml:space="preserve"> disease</w:t>
      </w:r>
      <w:r w:rsidR="0063574B">
        <w:rPr>
          <w:rFonts w:cs="Arial"/>
          <w:color w:val="000000"/>
          <w:szCs w:val="22"/>
        </w:rPr>
        <w:t xml:space="preserve">, or for a therapeutic indication, </w:t>
      </w:r>
      <w:r w:rsidR="00D465C3" w:rsidRPr="00072B81">
        <w:rPr>
          <w:rFonts w:cs="Arial"/>
          <w:color w:val="000000"/>
          <w:szCs w:val="22"/>
        </w:rPr>
        <w:t>in</w:t>
      </w:r>
      <w:r w:rsidR="00481C61" w:rsidRPr="00072B81">
        <w:rPr>
          <w:rFonts w:cs="Arial"/>
          <w:color w:val="000000"/>
          <w:szCs w:val="22"/>
        </w:rPr>
        <w:t xml:space="preserve"> conjunction with chemotherapy</w:t>
      </w:r>
      <w:r w:rsidR="00D465C3" w:rsidRPr="00072B81">
        <w:rPr>
          <w:rFonts w:cs="Arial"/>
          <w:color w:val="000000"/>
          <w:szCs w:val="22"/>
        </w:rPr>
        <w:t xml:space="preserve"> to shorten treatment time</w:t>
      </w:r>
      <w:r w:rsidR="0063574B">
        <w:rPr>
          <w:rFonts w:cs="Arial"/>
          <w:color w:val="000000"/>
          <w:szCs w:val="22"/>
        </w:rPr>
        <w:t>.</w:t>
      </w:r>
    </w:p>
    <w:p w14:paraId="70F92D72" w14:textId="77777777" w:rsidR="00F43682" w:rsidRPr="0001588D" w:rsidRDefault="00F43682">
      <w:pPr>
        <w:pStyle w:val="Heading2"/>
      </w:pPr>
      <w:bookmarkStart w:id="92" w:name="_Toc389129944"/>
      <w:bookmarkStart w:id="93" w:name="_Toc440906245"/>
      <w:bookmarkStart w:id="94" w:name="_Toc42588962"/>
      <w:bookmarkStart w:id="95" w:name="_Toc53202803"/>
      <w:r w:rsidRPr="0001588D">
        <w:t>Potential Risks and Benefits</w:t>
      </w:r>
      <w:bookmarkEnd w:id="92"/>
      <w:bookmarkEnd w:id="93"/>
    </w:p>
    <w:p w14:paraId="5AFED8AA" w14:textId="77777777" w:rsidR="00F43682" w:rsidRPr="0001588D" w:rsidRDefault="00F43682" w:rsidP="009E0AB3">
      <w:pPr>
        <w:pStyle w:val="Heading3"/>
      </w:pPr>
      <w:bookmarkStart w:id="96" w:name="_Toc389129945"/>
      <w:bookmarkStart w:id="97" w:name="_Toc440906246"/>
      <w:r w:rsidRPr="0001588D">
        <w:t>Potential Risks</w:t>
      </w:r>
      <w:bookmarkEnd w:id="96"/>
      <w:bookmarkEnd w:id="97"/>
    </w:p>
    <w:p w14:paraId="68DBB5EF" w14:textId="24EDB617" w:rsidR="000A5C21" w:rsidRPr="00CB6205" w:rsidRDefault="000A5C21" w:rsidP="00E413AA">
      <w:pPr>
        <w:pStyle w:val="BodyText2"/>
        <w:spacing w:before="180" w:after="180" w:line="276" w:lineRule="auto"/>
        <w:ind w:left="0"/>
        <w:rPr>
          <w:rFonts w:cs="Arial"/>
          <w:color w:val="auto"/>
          <w:szCs w:val="22"/>
        </w:rPr>
      </w:pPr>
      <w:r w:rsidRPr="00CB6205">
        <w:rPr>
          <w:color w:val="auto"/>
          <w:szCs w:val="22"/>
        </w:rPr>
        <w:t xml:space="preserve">There are potential known and unknown risks associated with vaccination with </w:t>
      </w:r>
      <w:r w:rsidR="00072B81">
        <w:rPr>
          <w:rFonts w:cs="Arial"/>
          <w:color w:val="auto"/>
          <w:szCs w:val="22"/>
        </w:rPr>
        <w:t>ID93 + GLA-SE</w:t>
      </w:r>
      <w:r w:rsidRPr="00CB6205">
        <w:rPr>
          <w:rFonts w:cs="Arial"/>
          <w:color w:val="auto"/>
          <w:szCs w:val="22"/>
        </w:rPr>
        <w:t>.</w:t>
      </w:r>
      <w:r w:rsidR="000A31FB" w:rsidRPr="00CB6205">
        <w:rPr>
          <w:rFonts w:cs="Arial"/>
          <w:color w:val="auto"/>
          <w:szCs w:val="22"/>
        </w:rPr>
        <w:t xml:space="preserve"> </w:t>
      </w:r>
      <w:r w:rsidR="00072B81">
        <w:rPr>
          <w:rFonts w:cs="Arial"/>
          <w:color w:val="auto"/>
          <w:szCs w:val="22"/>
        </w:rPr>
        <w:t>ID93 + GLA-SE</w:t>
      </w:r>
      <w:r w:rsidR="000A31FB" w:rsidRPr="00CB6205">
        <w:rPr>
          <w:rFonts w:cs="Arial"/>
          <w:color w:val="auto"/>
          <w:szCs w:val="22"/>
        </w:rPr>
        <w:t xml:space="preserve"> vaccination in BCG naïve</w:t>
      </w:r>
      <w:r w:rsidR="00164A59">
        <w:rPr>
          <w:rFonts w:cs="Arial"/>
          <w:color w:val="auto"/>
          <w:szCs w:val="22"/>
        </w:rPr>
        <w:t>,</w:t>
      </w:r>
      <w:r w:rsidR="00AC32ED">
        <w:rPr>
          <w:rFonts w:cs="Arial"/>
          <w:color w:val="auto"/>
          <w:szCs w:val="22"/>
        </w:rPr>
        <w:t xml:space="preserve"> </w:t>
      </w:r>
      <w:r w:rsidR="00164A59" w:rsidRPr="00CB6C59">
        <w:rPr>
          <w:rFonts w:cs="Arial"/>
          <w:color w:val="auto"/>
          <w:szCs w:val="22"/>
        </w:rPr>
        <w:t xml:space="preserve">QuantiFERON®-TB Gold </w:t>
      </w:r>
      <w:r w:rsidR="00164A59">
        <w:rPr>
          <w:rFonts w:cs="Arial"/>
          <w:color w:val="auto"/>
          <w:szCs w:val="22"/>
        </w:rPr>
        <w:t>(QFT)</w:t>
      </w:r>
      <w:r w:rsidR="000A31FB" w:rsidRPr="00CB6205">
        <w:rPr>
          <w:rFonts w:cs="Arial"/>
          <w:color w:val="auto"/>
          <w:szCs w:val="22"/>
        </w:rPr>
        <w:t xml:space="preserve"> negative (i</w:t>
      </w:r>
      <w:r w:rsidR="00E90D64">
        <w:rPr>
          <w:rFonts w:cs="Arial"/>
          <w:color w:val="auto"/>
          <w:szCs w:val="22"/>
        </w:rPr>
        <w:t>.</w:t>
      </w:r>
      <w:r w:rsidR="000A31FB" w:rsidRPr="00CB6205">
        <w:rPr>
          <w:rFonts w:cs="Arial"/>
          <w:color w:val="auto"/>
          <w:szCs w:val="22"/>
        </w:rPr>
        <w:t>e.</w:t>
      </w:r>
      <w:r w:rsidR="00E90D64">
        <w:rPr>
          <w:rFonts w:cs="Arial"/>
          <w:color w:val="auto"/>
          <w:szCs w:val="22"/>
        </w:rPr>
        <w:t>,</w:t>
      </w:r>
      <w:r w:rsidR="000A31FB" w:rsidRPr="00CB6205">
        <w:rPr>
          <w:rFonts w:cs="Arial"/>
          <w:color w:val="auto"/>
          <w:szCs w:val="22"/>
        </w:rPr>
        <w:t xml:space="preserve"> </w:t>
      </w:r>
      <w:r w:rsidR="00164A59" w:rsidRPr="00007815">
        <w:rPr>
          <w:rFonts w:cs="Arial"/>
          <w:color w:val="auto"/>
          <w:szCs w:val="22"/>
        </w:rPr>
        <w:t>Mtb</w:t>
      </w:r>
      <w:r w:rsidR="000A31FB" w:rsidRPr="00CB6205">
        <w:rPr>
          <w:rFonts w:cs="Arial"/>
          <w:color w:val="auto"/>
          <w:szCs w:val="22"/>
        </w:rPr>
        <w:t xml:space="preserve"> uninfected) adults </w:t>
      </w:r>
      <w:r w:rsidR="003464D4">
        <w:rPr>
          <w:rFonts w:cs="Arial"/>
          <w:color w:val="auto"/>
          <w:szCs w:val="22"/>
        </w:rPr>
        <w:t>has shown an acceptable safety profile</w:t>
      </w:r>
      <w:r w:rsidR="00164A59">
        <w:rPr>
          <w:rFonts w:cs="Arial"/>
          <w:color w:val="auto"/>
          <w:szCs w:val="22"/>
        </w:rPr>
        <w:t>. N</w:t>
      </w:r>
      <w:r w:rsidR="00BD6DFE">
        <w:rPr>
          <w:rFonts w:cs="Arial"/>
          <w:color w:val="auto"/>
          <w:szCs w:val="22"/>
        </w:rPr>
        <w:t xml:space="preserve">o </w:t>
      </w:r>
      <w:r w:rsidR="00813E6C">
        <w:rPr>
          <w:rFonts w:cs="Arial"/>
          <w:color w:val="auto"/>
          <w:szCs w:val="22"/>
        </w:rPr>
        <w:t xml:space="preserve">significant </w:t>
      </w:r>
      <w:r w:rsidR="00BD6DFE">
        <w:rPr>
          <w:rFonts w:cs="Arial"/>
          <w:color w:val="auto"/>
          <w:szCs w:val="22"/>
        </w:rPr>
        <w:t>safety issues have been observed in BCG vaccinated</w:t>
      </w:r>
      <w:r w:rsidR="00164A59">
        <w:rPr>
          <w:rFonts w:cs="Arial"/>
          <w:color w:val="auto"/>
          <w:szCs w:val="22"/>
        </w:rPr>
        <w:t>,</w:t>
      </w:r>
      <w:r w:rsidR="00BD6DFE" w:rsidRPr="00BD6DFE">
        <w:rPr>
          <w:rFonts w:cs="Arial"/>
          <w:color w:val="auto"/>
          <w:szCs w:val="22"/>
        </w:rPr>
        <w:t xml:space="preserve"> </w:t>
      </w:r>
      <w:r w:rsidR="00BD6DFE" w:rsidRPr="00CB6205">
        <w:rPr>
          <w:rFonts w:cs="Arial"/>
          <w:color w:val="auto"/>
          <w:szCs w:val="22"/>
        </w:rPr>
        <w:t>Q</w:t>
      </w:r>
      <w:r w:rsidR="00164A59">
        <w:rPr>
          <w:rFonts w:cs="Arial"/>
          <w:color w:val="auto"/>
          <w:szCs w:val="22"/>
        </w:rPr>
        <w:t>FT</w:t>
      </w:r>
      <w:r w:rsidR="00BD6DFE">
        <w:rPr>
          <w:rFonts w:cs="Arial"/>
          <w:color w:val="auto"/>
          <w:szCs w:val="22"/>
        </w:rPr>
        <w:t xml:space="preserve"> negative </w:t>
      </w:r>
      <w:r w:rsidR="00164A59">
        <w:rPr>
          <w:rFonts w:cs="Arial"/>
          <w:color w:val="auto"/>
          <w:szCs w:val="22"/>
        </w:rPr>
        <w:t xml:space="preserve">and positive </w:t>
      </w:r>
      <w:r w:rsidR="00BD6DFE" w:rsidRPr="00CB6205">
        <w:rPr>
          <w:rFonts w:cs="Arial"/>
          <w:color w:val="auto"/>
          <w:szCs w:val="22"/>
        </w:rPr>
        <w:t>adults</w:t>
      </w:r>
      <w:r w:rsidR="00BD6DFE">
        <w:rPr>
          <w:rFonts w:cs="Arial"/>
          <w:color w:val="auto"/>
          <w:szCs w:val="22"/>
        </w:rPr>
        <w:t xml:space="preserve"> in an ongoing study in South Africa </w:t>
      </w:r>
      <w:r w:rsidR="00CB6205" w:rsidRPr="00CB6205">
        <w:rPr>
          <w:rFonts w:cs="Arial"/>
          <w:color w:val="auto"/>
          <w:szCs w:val="22"/>
        </w:rPr>
        <w:t>[</w:t>
      </w:r>
      <w:r w:rsidR="00146395">
        <w:rPr>
          <w:rFonts w:cs="Arial"/>
          <w:color w:val="auto"/>
          <w:szCs w:val="22"/>
        </w:rPr>
        <w:t xml:space="preserve">see </w:t>
      </w:r>
      <w:r w:rsidR="00725327">
        <w:rPr>
          <w:rFonts w:cs="Arial"/>
          <w:color w:val="auto"/>
          <w:szCs w:val="22"/>
        </w:rPr>
        <w:t>S</w:t>
      </w:r>
      <w:r w:rsidR="00F0692D">
        <w:rPr>
          <w:rFonts w:cs="Arial"/>
          <w:color w:val="auto"/>
          <w:szCs w:val="22"/>
        </w:rPr>
        <w:t xml:space="preserve">ection </w:t>
      </w:r>
      <w:r w:rsidR="00276ADA" w:rsidRPr="00276ADA">
        <w:rPr>
          <w:rFonts w:cs="Arial"/>
          <w:color w:val="0000FF"/>
          <w:szCs w:val="22"/>
        </w:rPr>
        <w:fldChar w:fldCharType="begin"/>
      </w:r>
      <w:r w:rsidR="00276ADA" w:rsidRPr="00276ADA">
        <w:rPr>
          <w:rFonts w:cs="Arial"/>
          <w:color w:val="0000FF"/>
          <w:szCs w:val="22"/>
        </w:rPr>
        <w:instrText xml:space="preserve"> REF _Ref389469541 \r \h </w:instrText>
      </w:r>
      <w:r w:rsidR="00276ADA" w:rsidRPr="00276ADA">
        <w:rPr>
          <w:rFonts w:cs="Arial"/>
          <w:color w:val="0000FF"/>
          <w:szCs w:val="22"/>
        </w:rPr>
      </w:r>
      <w:r w:rsidR="00276ADA" w:rsidRPr="00276ADA">
        <w:rPr>
          <w:rFonts w:cs="Arial"/>
          <w:color w:val="0000FF"/>
          <w:szCs w:val="22"/>
        </w:rPr>
        <w:fldChar w:fldCharType="separate"/>
      </w:r>
      <w:r w:rsidR="00024E24">
        <w:rPr>
          <w:rFonts w:cs="Arial"/>
          <w:color w:val="0000FF"/>
          <w:szCs w:val="22"/>
        </w:rPr>
        <w:t>2.1.2</w:t>
      </w:r>
      <w:r w:rsidR="00276ADA" w:rsidRPr="00276ADA">
        <w:rPr>
          <w:rFonts w:cs="Arial"/>
          <w:color w:val="0000FF"/>
          <w:szCs w:val="22"/>
        </w:rPr>
        <w:fldChar w:fldCharType="end"/>
      </w:r>
      <w:r w:rsidR="00F0692D">
        <w:rPr>
          <w:rFonts w:cs="Arial"/>
          <w:color w:val="auto"/>
          <w:szCs w:val="22"/>
        </w:rPr>
        <w:t xml:space="preserve"> above </w:t>
      </w:r>
      <w:r w:rsidR="00146395">
        <w:rPr>
          <w:rFonts w:cs="Arial"/>
          <w:color w:val="auto"/>
          <w:szCs w:val="22"/>
        </w:rPr>
        <w:t xml:space="preserve">for </w:t>
      </w:r>
      <w:r w:rsidR="00CB6205" w:rsidRPr="00CB6205">
        <w:rPr>
          <w:rFonts w:cs="Arial"/>
          <w:color w:val="auto"/>
          <w:szCs w:val="22"/>
        </w:rPr>
        <w:t xml:space="preserve">safety data from </w:t>
      </w:r>
      <w:r w:rsidR="00146395">
        <w:rPr>
          <w:rFonts w:cs="Arial"/>
          <w:color w:val="auto"/>
          <w:szCs w:val="22"/>
        </w:rPr>
        <w:t>the IDRI-TBVPX-</w:t>
      </w:r>
      <w:r w:rsidR="00CB6205" w:rsidRPr="00601E11">
        <w:rPr>
          <w:rFonts w:cs="Arial"/>
          <w:color w:val="auto"/>
          <w:szCs w:val="22"/>
        </w:rPr>
        <w:t>113</w:t>
      </w:r>
      <w:r w:rsidR="00AC32ED">
        <w:rPr>
          <w:rFonts w:cs="Arial"/>
          <w:color w:val="auto"/>
          <w:szCs w:val="22"/>
        </w:rPr>
        <w:t xml:space="preserve"> and </w:t>
      </w:r>
      <w:r w:rsidR="00146395">
        <w:rPr>
          <w:rFonts w:cs="Arial"/>
          <w:color w:val="auto"/>
          <w:szCs w:val="22"/>
        </w:rPr>
        <w:t>IDRI-TBVPX-</w:t>
      </w:r>
      <w:r w:rsidR="00AC32ED">
        <w:rPr>
          <w:rFonts w:cs="Arial"/>
          <w:color w:val="auto"/>
          <w:szCs w:val="22"/>
        </w:rPr>
        <w:t xml:space="preserve">114 </w:t>
      </w:r>
      <w:r w:rsidR="00164A59">
        <w:rPr>
          <w:rFonts w:cs="Arial"/>
          <w:color w:val="auto"/>
          <w:szCs w:val="22"/>
        </w:rPr>
        <w:t>studies</w:t>
      </w:r>
      <w:r w:rsidR="00F0692D">
        <w:rPr>
          <w:rFonts w:cs="Arial"/>
          <w:color w:val="auto"/>
          <w:szCs w:val="22"/>
        </w:rPr>
        <w:t xml:space="preserve"> and the Investigator</w:t>
      </w:r>
      <w:r w:rsidR="00164A59">
        <w:rPr>
          <w:rFonts w:cs="Arial"/>
          <w:color w:val="auto"/>
          <w:szCs w:val="22"/>
        </w:rPr>
        <w:t>’s</w:t>
      </w:r>
      <w:r w:rsidR="00F0692D">
        <w:rPr>
          <w:rFonts w:cs="Arial"/>
          <w:color w:val="auto"/>
          <w:szCs w:val="22"/>
        </w:rPr>
        <w:t xml:space="preserve"> Brochure for complete details</w:t>
      </w:r>
      <w:r w:rsidR="00CB6205" w:rsidRPr="00CB6205">
        <w:rPr>
          <w:rFonts w:cs="Arial"/>
          <w:color w:val="auto"/>
          <w:szCs w:val="22"/>
        </w:rPr>
        <w:t>].</w:t>
      </w:r>
    </w:p>
    <w:p w14:paraId="5450880A" w14:textId="3FF80CDB" w:rsidR="00164A59" w:rsidRPr="00CB6205" w:rsidRDefault="00164A59" w:rsidP="00E413AA">
      <w:pPr>
        <w:pStyle w:val="BodyText2"/>
        <w:spacing w:before="180" w:after="180" w:line="276" w:lineRule="auto"/>
        <w:ind w:left="0"/>
        <w:rPr>
          <w:rFonts w:cs="Arial"/>
          <w:color w:val="auto"/>
          <w:szCs w:val="22"/>
        </w:rPr>
      </w:pPr>
      <w:r w:rsidRPr="00CB6C59">
        <w:rPr>
          <w:rFonts w:cs="Arial"/>
          <w:color w:val="auto"/>
          <w:szCs w:val="22"/>
        </w:rPr>
        <w:t xml:space="preserve">Known risks from these studies include mild to moderate local reactogenicity including injection site pain and induration, and systemic effects such as headache, fatigue, and myalgia. </w:t>
      </w:r>
      <w:r w:rsidRPr="00CB6C59">
        <w:rPr>
          <w:rFonts w:cs="Arial"/>
          <w:szCs w:val="22"/>
        </w:rPr>
        <w:t xml:space="preserve">Possible adverse events include general reactions to vaccines or severe allergic </w:t>
      </w:r>
      <w:r w:rsidRPr="00CB6C59">
        <w:rPr>
          <w:rFonts w:cs="Arial"/>
          <w:color w:val="auto"/>
          <w:szCs w:val="22"/>
        </w:rPr>
        <w:t>reactions that may be unpredictable.</w:t>
      </w:r>
    </w:p>
    <w:p w14:paraId="7562466F" w14:textId="4C210283" w:rsidR="000A31FB" w:rsidRPr="00712A3B" w:rsidRDefault="000A31FB" w:rsidP="00E413AA">
      <w:pPr>
        <w:pStyle w:val="BodyText2"/>
        <w:spacing w:before="180" w:after="180" w:line="276" w:lineRule="auto"/>
        <w:ind w:left="0"/>
        <w:rPr>
          <w:rFonts w:cs="Arial"/>
          <w:color w:val="auto"/>
          <w:szCs w:val="22"/>
        </w:rPr>
      </w:pPr>
      <w:r w:rsidRPr="00CB6205">
        <w:rPr>
          <w:rFonts w:cs="Arial"/>
          <w:color w:val="auto"/>
          <w:szCs w:val="22"/>
        </w:rPr>
        <w:t xml:space="preserve">The risks associated </w:t>
      </w:r>
      <w:r w:rsidRPr="00CB6205">
        <w:rPr>
          <w:color w:val="auto"/>
          <w:szCs w:val="22"/>
        </w:rPr>
        <w:t xml:space="preserve">with </w:t>
      </w:r>
      <w:r w:rsidR="00072B81">
        <w:rPr>
          <w:rFonts w:cs="Arial"/>
          <w:color w:val="auto"/>
          <w:szCs w:val="22"/>
        </w:rPr>
        <w:t>ID93 + GLA-SE</w:t>
      </w:r>
      <w:r w:rsidRPr="00CB6205">
        <w:rPr>
          <w:rFonts w:cs="Arial"/>
          <w:color w:val="auto"/>
          <w:szCs w:val="22"/>
        </w:rPr>
        <w:t xml:space="preserve"> vaccination of persons with active or previous </w:t>
      </w:r>
      <w:r w:rsidRPr="00712A3B">
        <w:rPr>
          <w:rFonts w:cs="Arial"/>
          <w:color w:val="auto"/>
          <w:szCs w:val="22"/>
        </w:rPr>
        <w:t xml:space="preserve">TB disease are not known. This </w:t>
      </w:r>
      <w:r w:rsidR="00146531">
        <w:rPr>
          <w:rFonts w:cs="Arial"/>
          <w:color w:val="auto"/>
          <w:szCs w:val="22"/>
        </w:rPr>
        <w:t xml:space="preserve">Phase 2a </w:t>
      </w:r>
      <w:r w:rsidRPr="00712A3B">
        <w:rPr>
          <w:rFonts w:cs="Arial"/>
          <w:color w:val="auto"/>
          <w:szCs w:val="22"/>
        </w:rPr>
        <w:t xml:space="preserve">study will evaluate the safety profile of </w:t>
      </w:r>
      <w:r w:rsidR="00072B81">
        <w:rPr>
          <w:rFonts w:cs="Arial"/>
          <w:color w:val="auto"/>
          <w:szCs w:val="22"/>
        </w:rPr>
        <w:t>ID93 + GLA-SE</w:t>
      </w:r>
      <w:r w:rsidRPr="00712A3B">
        <w:rPr>
          <w:rFonts w:cs="Arial"/>
          <w:color w:val="auto"/>
          <w:szCs w:val="22"/>
        </w:rPr>
        <w:t xml:space="preserve"> vaccination in </w:t>
      </w:r>
      <w:r w:rsidR="00A651DC" w:rsidRPr="00712A3B">
        <w:rPr>
          <w:color w:val="auto"/>
          <w:szCs w:val="22"/>
        </w:rPr>
        <w:t xml:space="preserve">BCG vaccinated, HIV uninfected, South African </w:t>
      </w:r>
      <w:r w:rsidRPr="00712A3B">
        <w:rPr>
          <w:rFonts w:cs="Arial"/>
          <w:color w:val="auto"/>
          <w:szCs w:val="22"/>
        </w:rPr>
        <w:t xml:space="preserve">adult TB patients upon </w:t>
      </w:r>
      <w:r w:rsidR="00A651DC" w:rsidRPr="00712A3B">
        <w:rPr>
          <w:rFonts w:cs="Arial"/>
          <w:color w:val="auto"/>
          <w:szCs w:val="22"/>
        </w:rPr>
        <w:t xml:space="preserve">successful </w:t>
      </w:r>
      <w:r w:rsidRPr="00712A3B">
        <w:rPr>
          <w:rFonts w:cs="Arial"/>
          <w:color w:val="auto"/>
          <w:szCs w:val="22"/>
        </w:rPr>
        <w:t xml:space="preserve">completion of treatment </w:t>
      </w:r>
      <w:r w:rsidR="00A651DC" w:rsidRPr="00712A3B">
        <w:rPr>
          <w:rFonts w:cs="Arial"/>
          <w:color w:val="auto"/>
          <w:szCs w:val="22"/>
        </w:rPr>
        <w:t>and cure.</w:t>
      </w:r>
    </w:p>
    <w:p w14:paraId="76CE60B4" w14:textId="74B62A1F" w:rsidR="00D40D86" w:rsidRDefault="00BB1578" w:rsidP="00E413AA">
      <w:pPr>
        <w:pStyle w:val="BodyText2"/>
        <w:spacing w:before="180" w:after="180" w:line="276" w:lineRule="auto"/>
        <w:ind w:left="0"/>
        <w:rPr>
          <w:rFonts w:cs="Arial"/>
          <w:color w:val="auto"/>
          <w:szCs w:val="22"/>
        </w:rPr>
      </w:pPr>
      <w:r>
        <w:rPr>
          <w:rFonts w:cs="Arial"/>
          <w:color w:val="auto"/>
          <w:szCs w:val="22"/>
        </w:rPr>
        <w:t>Theoretical r</w:t>
      </w:r>
      <w:r w:rsidR="00D40D86" w:rsidRPr="00712A3B">
        <w:rPr>
          <w:rFonts w:cs="Arial"/>
          <w:color w:val="auto"/>
          <w:szCs w:val="22"/>
        </w:rPr>
        <w:t xml:space="preserve">isks of </w:t>
      </w:r>
      <w:r w:rsidR="00072B81">
        <w:rPr>
          <w:rFonts w:cs="Arial"/>
          <w:color w:val="auto"/>
          <w:szCs w:val="22"/>
        </w:rPr>
        <w:t>ID93 + GLA-SE</w:t>
      </w:r>
      <w:r w:rsidR="00D40D86" w:rsidRPr="00712A3B">
        <w:rPr>
          <w:rFonts w:cs="Arial"/>
          <w:color w:val="auto"/>
          <w:szCs w:val="22"/>
        </w:rPr>
        <w:t xml:space="preserve"> vaccination of persons with previous TB disease </w:t>
      </w:r>
      <w:r w:rsidR="00712A3B">
        <w:rPr>
          <w:rFonts w:cs="Arial"/>
          <w:color w:val="auto"/>
          <w:szCs w:val="22"/>
        </w:rPr>
        <w:t xml:space="preserve">may </w:t>
      </w:r>
      <w:r w:rsidR="00D40D86" w:rsidRPr="00712A3B">
        <w:rPr>
          <w:rFonts w:cs="Arial"/>
          <w:color w:val="auto"/>
          <w:szCs w:val="22"/>
        </w:rPr>
        <w:t>include</w:t>
      </w:r>
      <w:r w:rsidR="00712A3B">
        <w:rPr>
          <w:rFonts w:cs="Arial"/>
          <w:color w:val="auto"/>
          <w:szCs w:val="22"/>
        </w:rPr>
        <w:t xml:space="preserve"> exacerbation of local reactogenicity, compared to persons without previous TB disease</w:t>
      </w:r>
      <w:r>
        <w:rPr>
          <w:rFonts w:cs="Arial"/>
          <w:color w:val="auto"/>
          <w:szCs w:val="22"/>
        </w:rPr>
        <w:t>, and the Koch reaction</w:t>
      </w:r>
      <w:r w:rsidR="00712A3B">
        <w:rPr>
          <w:rFonts w:cs="Arial"/>
          <w:color w:val="auto"/>
          <w:szCs w:val="22"/>
        </w:rPr>
        <w:t xml:space="preserve">. </w:t>
      </w:r>
      <w:r>
        <w:rPr>
          <w:rFonts w:cs="Arial"/>
          <w:color w:val="auto"/>
          <w:szCs w:val="22"/>
        </w:rPr>
        <w:t xml:space="preserve">The Koch reaction </w:t>
      </w:r>
      <w:r w:rsidR="00712A3B">
        <w:rPr>
          <w:rFonts w:cs="Arial"/>
          <w:color w:val="auto"/>
          <w:szCs w:val="22"/>
        </w:rPr>
        <w:t xml:space="preserve">is </w:t>
      </w:r>
      <w:r w:rsidR="0060598F">
        <w:rPr>
          <w:rFonts w:cs="Arial"/>
          <w:color w:val="auto"/>
          <w:szCs w:val="22"/>
        </w:rPr>
        <w:t xml:space="preserve">a </w:t>
      </w:r>
      <w:r>
        <w:rPr>
          <w:rFonts w:cs="Arial"/>
          <w:color w:val="auto"/>
          <w:szCs w:val="22"/>
        </w:rPr>
        <w:t xml:space="preserve">severe cell-mediated </w:t>
      </w:r>
      <w:r w:rsidR="00D40D86" w:rsidRPr="00712A3B">
        <w:rPr>
          <w:rFonts w:cs="Arial"/>
          <w:color w:val="auto"/>
          <w:szCs w:val="22"/>
        </w:rPr>
        <w:t xml:space="preserve">hypersensitivity response </w:t>
      </w:r>
      <w:r w:rsidR="00D40D86" w:rsidRPr="0060598F">
        <w:rPr>
          <w:rFonts w:cs="Arial"/>
          <w:color w:val="auto"/>
          <w:szCs w:val="22"/>
        </w:rPr>
        <w:t xml:space="preserve">to </w:t>
      </w:r>
      <w:r w:rsidR="0060598F">
        <w:rPr>
          <w:rFonts w:cs="Arial"/>
          <w:color w:val="auto"/>
          <w:szCs w:val="22"/>
        </w:rPr>
        <w:t xml:space="preserve">administration of </w:t>
      </w:r>
      <w:r w:rsidR="0060598F" w:rsidRPr="00007815">
        <w:rPr>
          <w:rFonts w:cs="Arial"/>
          <w:color w:val="auto"/>
          <w:szCs w:val="22"/>
        </w:rPr>
        <w:t>M</w:t>
      </w:r>
      <w:r w:rsidR="00164A59" w:rsidRPr="00007815">
        <w:rPr>
          <w:rFonts w:cs="Arial"/>
          <w:color w:val="auto"/>
          <w:szCs w:val="22"/>
        </w:rPr>
        <w:t>tb</w:t>
      </w:r>
      <w:r w:rsidR="00D40D86" w:rsidRPr="0060598F">
        <w:rPr>
          <w:rFonts w:cs="Arial"/>
          <w:color w:val="auto"/>
          <w:szCs w:val="22"/>
        </w:rPr>
        <w:t xml:space="preserve"> antigens</w:t>
      </w:r>
      <w:r w:rsidR="00D40D86" w:rsidRPr="00712A3B">
        <w:rPr>
          <w:rFonts w:cs="Arial"/>
          <w:color w:val="auto"/>
          <w:szCs w:val="22"/>
        </w:rPr>
        <w:t xml:space="preserve"> </w:t>
      </w:r>
      <w:r w:rsidR="0060598F">
        <w:rPr>
          <w:rFonts w:cs="Arial"/>
          <w:color w:val="auto"/>
          <w:szCs w:val="22"/>
        </w:rPr>
        <w:t xml:space="preserve">characterized by </w:t>
      </w:r>
      <w:r>
        <w:rPr>
          <w:rFonts w:cs="Arial"/>
          <w:color w:val="auto"/>
          <w:szCs w:val="22"/>
        </w:rPr>
        <w:t xml:space="preserve">tissue </w:t>
      </w:r>
      <w:r w:rsidR="0060598F">
        <w:rPr>
          <w:rFonts w:cs="Arial"/>
          <w:color w:val="auto"/>
          <w:szCs w:val="22"/>
        </w:rPr>
        <w:t>necrosis at t</w:t>
      </w:r>
      <w:r>
        <w:rPr>
          <w:rFonts w:cs="Arial"/>
          <w:color w:val="auto"/>
          <w:szCs w:val="22"/>
        </w:rPr>
        <w:t>he injection</w:t>
      </w:r>
      <w:r w:rsidR="0060598F">
        <w:rPr>
          <w:rFonts w:cs="Arial"/>
          <w:color w:val="auto"/>
          <w:szCs w:val="22"/>
        </w:rPr>
        <w:t xml:space="preserve"> site. Th</w:t>
      </w:r>
      <w:r>
        <w:rPr>
          <w:rFonts w:cs="Arial"/>
          <w:color w:val="auto"/>
          <w:szCs w:val="22"/>
        </w:rPr>
        <w:t>e</w:t>
      </w:r>
      <w:r w:rsidR="0060598F">
        <w:rPr>
          <w:rFonts w:cs="Arial"/>
          <w:color w:val="auto"/>
          <w:szCs w:val="22"/>
        </w:rPr>
        <w:t xml:space="preserve"> phenomenon was described by Robert Koch following administration of old tuberculin to TB patients, but has not been observed in any subjects, including persons with latent </w:t>
      </w:r>
      <w:r w:rsidR="0060598F" w:rsidRPr="00007815">
        <w:rPr>
          <w:rFonts w:cs="Arial"/>
          <w:color w:val="auto"/>
          <w:szCs w:val="22"/>
        </w:rPr>
        <w:t>M</w:t>
      </w:r>
      <w:r w:rsidR="00164A59" w:rsidRPr="00007815">
        <w:rPr>
          <w:rFonts w:cs="Arial"/>
          <w:color w:val="auto"/>
          <w:szCs w:val="22"/>
        </w:rPr>
        <w:t>tb</w:t>
      </w:r>
      <w:r w:rsidR="0060598F">
        <w:rPr>
          <w:rFonts w:cs="Arial"/>
          <w:color w:val="auto"/>
          <w:szCs w:val="22"/>
        </w:rPr>
        <w:t xml:space="preserve"> infection and prior TB disease, who have participated in clinical trials of 6 different TB vaccines at our research sites.</w:t>
      </w:r>
      <w:r>
        <w:rPr>
          <w:rFonts w:cs="Arial"/>
          <w:color w:val="auto"/>
          <w:szCs w:val="22"/>
        </w:rPr>
        <w:t xml:space="preserve"> However, </w:t>
      </w:r>
      <w:r w:rsidR="0057158F">
        <w:rPr>
          <w:rFonts w:cs="Arial"/>
          <w:color w:val="auto"/>
          <w:szCs w:val="22"/>
        </w:rPr>
        <w:t>i</w:t>
      </w:r>
      <w:r>
        <w:rPr>
          <w:rFonts w:cs="Arial"/>
          <w:color w:val="auto"/>
          <w:szCs w:val="22"/>
        </w:rPr>
        <w:t>n order to minimize these</w:t>
      </w:r>
      <w:r w:rsidR="0057158F">
        <w:rPr>
          <w:rFonts w:cs="Arial"/>
          <w:color w:val="auto"/>
          <w:szCs w:val="22"/>
        </w:rPr>
        <w:t xml:space="preserve"> theoretical risks, subjects will undergo stringent safety monitoring</w:t>
      </w:r>
      <w:r w:rsidR="00146531">
        <w:rPr>
          <w:rFonts w:cs="Arial"/>
          <w:color w:val="auto"/>
          <w:szCs w:val="22"/>
        </w:rPr>
        <w:t>;</w:t>
      </w:r>
      <w:r w:rsidR="0057158F">
        <w:rPr>
          <w:rFonts w:cs="Arial"/>
          <w:color w:val="auto"/>
          <w:szCs w:val="22"/>
        </w:rPr>
        <w:t xml:space="preserve"> will be subject to limits on the </w:t>
      </w:r>
      <w:r w:rsidR="009005D7">
        <w:rPr>
          <w:rFonts w:cs="Arial"/>
          <w:color w:val="auto"/>
          <w:szCs w:val="22"/>
        </w:rPr>
        <w:t xml:space="preserve">rate </w:t>
      </w:r>
      <w:r w:rsidR="0057158F">
        <w:rPr>
          <w:rFonts w:cs="Arial"/>
          <w:color w:val="auto"/>
          <w:szCs w:val="22"/>
        </w:rPr>
        <w:t>of randomization</w:t>
      </w:r>
      <w:r w:rsidR="00146531">
        <w:rPr>
          <w:rFonts w:cs="Arial"/>
          <w:color w:val="auto"/>
          <w:szCs w:val="22"/>
        </w:rPr>
        <w:t>;</w:t>
      </w:r>
      <w:r w:rsidR="0057158F">
        <w:rPr>
          <w:rFonts w:cs="Arial"/>
          <w:color w:val="auto"/>
          <w:szCs w:val="22"/>
        </w:rPr>
        <w:t xml:space="preserve"> and will be subject to rules governing the demonstration of safety in prior dose levels before </w:t>
      </w:r>
      <w:r w:rsidR="00DE03AA">
        <w:rPr>
          <w:rFonts w:cs="Arial"/>
          <w:color w:val="auto"/>
          <w:szCs w:val="22"/>
        </w:rPr>
        <w:t xml:space="preserve">written </w:t>
      </w:r>
      <w:r w:rsidR="00B13BFB">
        <w:rPr>
          <w:rFonts w:cs="Arial"/>
          <w:color w:val="auto"/>
          <w:szCs w:val="22"/>
        </w:rPr>
        <w:t xml:space="preserve">authorization to </w:t>
      </w:r>
      <w:r w:rsidR="0057158F">
        <w:rPr>
          <w:rFonts w:cs="Arial"/>
          <w:color w:val="auto"/>
          <w:szCs w:val="22"/>
        </w:rPr>
        <w:t xml:space="preserve">proceed </w:t>
      </w:r>
      <w:r w:rsidR="00DE03AA">
        <w:rPr>
          <w:rFonts w:cs="Arial"/>
          <w:color w:val="auto"/>
          <w:szCs w:val="22"/>
        </w:rPr>
        <w:t xml:space="preserve">with </w:t>
      </w:r>
      <w:r w:rsidR="00B13BFB">
        <w:rPr>
          <w:rFonts w:cs="Arial"/>
          <w:color w:val="auto"/>
          <w:szCs w:val="22"/>
        </w:rPr>
        <w:t xml:space="preserve">randomization and </w:t>
      </w:r>
      <w:r w:rsidR="0057158F">
        <w:rPr>
          <w:rFonts w:cs="Arial"/>
          <w:color w:val="auto"/>
          <w:szCs w:val="22"/>
        </w:rPr>
        <w:t xml:space="preserve">administration of study injections </w:t>
      </w:r>
      <w:r w:rsidR="00DE03AA">
        <w:rPr>
          <w:rFonts w:cs="Arial"/>
          <w:color w:val="auto"/>
          <w:szCs w:val="22"/>
        </w:rPr>
        <w:t xml:space="preserve">in </w:t>
      </w:r>
      <w:r w:rsidR="0057158F">
        <w:rPr>
          <w:rFonts w:cs="Arial"/>
          <w:color w:val="auto"/>
          <w:szCs w:val="22"/>
        </w:rPr>
        <w:t>subsequent</w:t>
      </w:r>
      <w:r w:rsidR="00DE03AA">
        <w:rPr>
          <w:rFonts w:cs="Arial"/>
          <w:color w:val="auto"/>
          <w:szCs w:val="22"/>
        </w:rPr>
        <w:t xml:space="preserve"> higher dosing</w:t>
      </w:r>
      <w:r w:rsidR="0057158F">
        <w:rPr>
          <w:rFonts w:cs="Arial"/>
          <w:color w:val="auto"/>
          <w:szCs w:val="22"/>
        </w:rPr>
        <w:t xml:space="preserve"> </w:t>
      </w:r>
      <w:r w:rsidR="00DE03AA">
        <w:rPr>
          <w:rFonts w:cs="Arial"/>
          <w:color w:val="auto"/>
          <w:szCs w:val="22"/>
        </w:rPr>
        <w:t>c</w:t>
      </w:r>
      <w:r w:rsidR="0057158F">
        <w:rPr>
          <w:rFonts w:cs="Arial"/>
          <w:color w:val="auto"/>
          <w:szCs w:val="22"/>
        </w:rPr>
        <w:t>ohorts</w:t>
      </w:r>
      <w:r w:rsidR="00DE03AA">
        <w:rPr>
          <w:rFonts w:cs="Arial"/>
          <w:color w:val="auto"/>
          <w:szCs w:val="22"/>
        </w:rPr>
        <w:t xml:space="preserve"> is given</w:t>
      </w:r>
      <w:r w:rsidR="0057158F">
        <w:rPr>
          <w:rFonts w:cs="Arial"/>
          <w:color w:val="auto"/>
          <w:szCs w:val="22"/>
        </w:rPr>
        <w:t>.</w:t>
      </w:r>
      <w:r w:rsidR="00B13BFB">
        <w:rPr>
          <w:rFonts w:cs="Arial"/>
          <w:color w:val="auto"/>
          <w:szCs w:val="22"/>
        </w:rPr>
        <w:t xml:space="preserve"> </w:t>
      </w:r>
    </w:p>
    <w:p w14:paraId="15E2181E" w14:textId="69329575" w:rsidR="002C3511" w:rsidRDefault="002C3511" w:rsidP="00E413AA">
      <w:pPr>
        <w:pStyle w:val="BodyText2"/>
        <w:spacing w:before="180" w:after="180" w:line="276" w:lineRule="auto"/>
        <w:ind w:left="0"/>
        <w:rPr>
          <w:rFonts w:cs="Arial"/>
          <w:color w:val="auto"/>
          <w:szCs w:val="22"/>
        </w:rPr>
      </w:pPr>
      <w:r>
        <w:rPr>
          <w:rFonts w:cs="Arial"/>
          <w:color w:val="auto"/>
          <w:szCs w:val="22"/>
        </w:rPr>
        <w:t xml:space="preserve">Other </w:t>
      </w:r>
      <w:r w:rsidRPr="00D73378">
        <w:rPr>
          <w:rFonts w:cs="Arial"/>
          <w:color w:val="auto"/>
          <w:szCs w:val="22"/>
        </w:rPr>
        <w:t>known risks of participation include mild discomfort associated with phlebotomy. The volume of blood sampling is not deemed clinically significant in this adult population at the end of successful TB treatment, and in whom bacteriologic cure has been demonstrated.</w:t>
      </w:r>
    </w:p>
    <w:p w14:paraId="16C15FE5" w14:textId="3069A942" w:rsidR="00AA6C51" w:rsidRPr="00D73378" w:rsidRDefault="00AA6C51" w:rsidP="00E413AA">
      <w:pPr>
        <w:pStyle w:val="BodyText2"/>
        <w:spacing w:before="180" w:after="180" w:line="276" w:lineRule="auto"/>
        <w:ind w:left="0"/>
        <w:rPr>
          <w:rFonts w:cs="Arial"/>
          <w:color w:val="auto"/>
          <w:szCs w:val="22"/>
        </w:rPr>
      </w:pPr>
      <w:r>
        <w:rPr>
          <w:rFonts w:cs="Arial"/>
          <w:color w:val="auto"/>
          <w:szCs w:val="22"/>
        </w:rPr>
        <w:t>HIV testing will be performed with appropriate pre- and post-test counseling, optimal measures to protect confidentiality, and referral to health services for medical care including access to antiretroviral treatment.</w:t>
      </w:r>
    </w:p>
    <w:p w14:paraId="3FE38490" w14:textId="77777777" w:rsidR="00F43682" w:rsidRPr="00D73378" w:rsidRDefault="00F43682" w:rsidP="009E0AB3">
      <w:pPr>
        <w:pStyle w:val="Heading3"/>
      </w:pPr>
      <w:bookmarkStart w:id="98" w:name="_Toc389129946"/>
      <w:bookmarkStart w:id="99" w:name="_Toc440906247"/>
      <w:r w:rsidRPr="00D73378">
        <w:t>Known Potential Benefits</w:t>
      </w:r>
      <w:bookmarkEnd w:id="94"/>
      <w:bookmarkEnd w:id="95"/>
      <w:bookmarkEnd w:id="98"/>
      <w:bookmarkEnd w:id="99"/>
    </w:p>
    <w:p w14:paraId="79A17529" w14:textId="111117A0" w:rsidR="00D73378" w:rsidRDefault="0001588D" w:rsidP="00E413AA">
      <w:pPr>
        <w:pStyle w:val="BodyText2"/>
        <w:spacing w:before="180" w:after="180" w:line="276" w:lineRule="auto"/>
        <w:ind w:left="0"/>
      </w:pPr>
      <w:r w:rsidRPr="00D73378">
        <w:rPr>
          <w:color w:val="auto"/>
        </w:rPr>
        <w:t>Although not a study intervention, support of patient adherence to TB chemotherapy will be a consideration</w:t>
      </w:r>
      <w:r>
        <w:t xml:space="preserve"> </w:t>
      </w:r>
      <w:r w:rsidR="00F74A70">
        <w:t>when identifying potential patients for study enrollment</w:t>
      </w:r>
      <w:r>
        <w:t xml:space="preserve">. Optimal adherence would be expected to reduce rates of treatment failure and relapse. </w:t>
      </w:r>
      <w:r w:rsidR="00F74A70">
        <w:t xml:space="preserve">During the study screening phase (last two months of standard TB treatment) </w:t>
      </w:r>
      <w:r>
        <w:t xml:space="preserve">staff may detect side effects of TB chemotherapy, allowing </w:t>
      </w:r>
      <w:r w:rsidR="00F74A70">
        <w:t xml:space="preserve">for </w:t>
      </w:r>
      <w:r>
        <w:t>effective intervention and referral.</w:t>
      </w:r>
      <w:r w:rsidR="00F025EF">
        <w:t xml:space="preserve"> </w:t>
      </w:r>
    </w:p>
    <w:p w14:paraId="1071DB88" w14:textId="7DB70B18" w:rsidR="00271941" w:rsidRDefault="00F025EF" w:rsidP="00E413AA">
      <w:pPr>
        <w:pStyle w:val="BodyText2"/>
        <w:spacing w:before="180" w:after="180" w:line="276" w:lineRule="auto"/>
        <w:ind w:left="0"/>
      </w:pPr>
      <w:r>
        <w:t xml:space="preserve">Study staff will perform study-specific sputum sampling during </w:t>
      </w:r>
      <w:r w:rsidR="00F74A70">
        <w:t xml:space="preserve">the last two months of TB </w:t>
      </w:r>
      <w:r>
        <w:t xml:space="preserve">treatment, </w:t>
      </w:r>
      <w:r w:rsidR="00D73378">
        <w:t xml:space="preserve">including drug susceptibility testing, </w:t>
      </w:r>
      <w:r>
        <w:t xml:space="preserve">the results of which will be shared with health services to </w:t>
      </w:r>
      <w:r w:rsidR="00D73378">
        <w:t xml:space="preserve">improve patient care. Further, since subjects will be screened for </w:t>
      </w:r>
      <w:r w:rsidR="00220635">
        <w:t xml:space="preserve">symptoms of </w:t>
      </w:r>
      <w:r w:rsidR="00D73378">
        <w:t xml:space="preserve">recurrent TB disease at regular intervals after the end of treatment, participation will allow early diagnosis and </w:t>
      </w:r>
      <w:r w:rsidR="00B30D41">
        <w:t xml:space="preserve">referral for </w:t>
      </w:r>
      <w:r w:rsidR="00D73378">
        <w:t>treatment of recurrent TB disease</w:t>
      </w:r>
      <w:r w:rsidR="00220635">
        <w:t>.</w:t>
      </w:r>
      <w:r w:rsidR="00B30D41" w:rsidRPr="00B30D41">
        <w:rPr>
          <w:rFonts w:eastAsia="SimSun"/>
          <w:iCs/>
          <w:szCs w:val="24"/>
          <w:lang w:eastAsia="zh-CN"/>
        </w:rPr>
        <w:t xml:space="preserve"> </w:t>
      </w:r>
    </w:p>
    <w:p w14:paraId="375ECB05" w14:textId="59DE5A9F" w:rsidR="00AA6C51" w:rsidRDefault="00AA6C51" w:rsidP="00E413AA">
      <w:pPr>
        <w:pStyle w:val="BodyText2"/>
        <w:spacing w:before="180" w:after="180" w:line="276" w:lineRule="auto"/>
        <w:ind w:left="0"/>
      </w:pPr>
      <w:r>
        <w:t>Additional screening tests, including testing for HIV infection</w:t>
      </w:r>
      <w:r w:rsidR="000027D6">
        <w:t xml:space="preserve">, </w:t>
      </w:r>
      <w:r>
        <w:t>and other previously undiagnosed medical conditions, such as diabetes mellitus, will allow early detection and referral for appropriate medical care.</w:t>
      </w:r>
    </w:p>
    <w:p w14:paraId="42477B8D" w14:textId="0F1D375F" w:rsidR="00FC2510" w:rsidRDefault="00FC2510" w:rsidP="009E0AB3">
      <w:pPr>
        <w:pStyle w:val="Heading3"/>
      </w:pPr>
      <w:bookmarkStart w:id="100" w:name="_Toc389129947"/>
      <w:bookmarkStart w:id="101" w:name="_Toc440906248"/>
      <w:r>
        <w:t>Route of Admin</w:t>
      </w:r>
      <w:r w:rsidR="00164A59">
        <w:t>is</w:t>
      </w:r>
      <w:r>
        <w:t>tration, Dose, and Dose Regimen</w:t>
      </w:r>
      <w:bookmarkEnd w:id="100"/>
      <w:bookmarkEnd w:id="101"/>
      <w:r>
        <w:t xml:space="preserve"> </w:t>
      </w:r>
    </w:p>
    <w:p w14:paraId="7996A0C9" w14:textId="4B12B313" w:rsidR="00FC2510" w:rsidRPr="00FC2510" w:rsidRDefault="00FC2510" w:rsidP="00906CD6">
      <w:pPr>
        <w:pStyle w:val="BodyText2"/>
        <w:ind w:left="0"/>
      </w:pPr>
      <w:r w:rsidRPr="00FC2510">
        <w:t>The route of administration (intramuscular), dose (2</w:t>
      </w:r>
      <w:r>
        <w:t xml:space="preserve"> or 1</w:t>
      </w:r>
      <w:r w:rsidRPr="00FC2510">
        <w:t xml:space="preserve">0 µg </w:t>
      </w:r>
      <w:r>
        <w:t>ID9</w:t>
      </w:r>
      <w:r w:rsidRPr="00FC2510">
        <w:t xml:space="preserve">3 + 2 or 5 µg GLA-SE), </w:t>
      </w:r>
      <w:r w:rsidR="005251AA">
        <w:t xml:space="preserve">and </w:t>
      </w:r>
      <w:r w:rsidRPr="00C62470">
        <w:t>dose regimen (one injection on each of Days 0 and 56</w:t>
      </w:r>
      <w:r w:rsidR="00106D1B">
        <w:t xml:space="preserve"> or on each of Days 0, 28 and 56</w:t>
      </w:r>
      <w:r w:rsidRPr="00C62470">
        <w:t>)</w:t>
      </w:r>
      <w:r w:rsidRPr="00FC2510">
        <w:t xml:space="preserve"> for the </w:t>
      </w:r>
      <w:r>
        <w:t>ID9</w:t>
      </w:r>
      <w:r w:rsidRPr="00FC2510">
        <w:t xml:space="preserve">3 + GLA-SE vaccine to be used in this clinical trial have been selected based on pre-clinical </w:t>
      </w:r>
      <w:r w:rsidR="004D6A80">
        <w:t xml:space="preserve">and clinical </w:t>
      </w:r>
      <w:r w:rsidRPr="00FC2510">
        <w:t>studies in order to optimize the safety, immunogenicity, and potential efficacy of the vaccine.</w:t>
      </w:r>
    </w:p>
    <w:p w14:paraId="28E3B0B5" w14:textId="77777777" w:rsidR="00F43682" w:rsidRDefault="00F43682">
      <w:pPr>
        <w:pStyle w:val="Heading1"/>
      </w:pPr>
      <w:bookmarkStart w:id="102" w:name="_Toc42588964"/>
      <w:bookmarkStart w:id="103" w:name="_Toc53202805"/>
      <w:bookmarkStart w:id="104" w:name="_Ref102891403"/>
      <w:bookmarkStart w:id="105" w:name="_Toc389129948"/>
      <w:bookmarkStart w:id="106" w:name="_Toc440906249"/>
      <w:r>
        <w:t>Objectives</w:t>
      </w:r>
      <w:bookmarkEnd w:id="102"/>
      <w:bookmarkEnd w:id="103"/>
      <w:bookmarkEnd w:id="104"/>
      <w:bookmarkEnd w:id="105"/>
      <w:bookmarkEnd w:id="106"/>
    </w:p>
    <w:p w14:paraId="41FECA0C" w14:textId="77777777" w:rsidR="00F43682" w:rsidRDefault="00F43682">
      <w:pPr>
        <w:pStyle w:val="Heading2"/>
      </w:pPr>
      <w:bookmarkStart w:id="107" w:name="_Toc389129949"/>
      <w:bookmarkStart w:id="108" w:name="_Toc440906250"/>
      <w:r>
        <w:t>Study Objectives</w:t>
      </w:r>
      <w:bookmarkEnd w:id="107"/>
      <w:bookmarkEnd w:id="108"/>
    </w:p>
    <w:p w14:paraId="4972B77E" w14:textId="35B763DE" w:rsidR="000E1270" w:rsidRPr="00EB42E9" w:rsidRDefault="000E1270" w:rsidP="000E1270">
      <w:pPr>
        <w:spacing w:before="180" w:after="180" w:line="276" w:lineRule="auto"/>
      </w:pPr>
      <w:r w:rsidRPr="00EB42E9">
        <w:t>The purpose of this study is to evaluate the safety</w:t>
      </w:r>
      <w:r w:rsidR="00F74A70">
        <w:t xml:space="preserve"> and </w:t>
      </w:r>
      <w:r w:rsidRPr="00EB42E9">
        <w:t xml:space="preserve">immunogenicity of ID93 + GLA-SE vaccine when administered to HIV uninfected adult </w:t>
      </w:r>
      <w:r>
        <w:t xml:space="preserve">pulmonary </w:t>
      </w:r>
      <w:r w:rsidRPr="00EB42E9">
        <w:t xml:space="preserve">TB patients in two doses </w:t>
      </w:r>
      <w:r w:rsidR="005E6C23">
        <w:t>56</w:t>
      </w:r>
      <w:r w:rsidRPr="00EB42E9">
        <w:t xml:space="preserve"> days apart following successful comp</w:t>
      </w:r>
      <w:r>
        <w:t>letion of TB treatment with confirmed bacteriologic cure</w:t>
      </w:r>
      <w:r w:rsidR="008D2C2C">
        <w:t xml:space="preserve">, </w:t>
      </w:r>
      <w:r w:rsidR="00F42DB9">
        <w:t xml:space="preserve">in preparation for a future </w:t>
      </w:r>
      <w:r w:rsidR="00AC32ED">
        <w:t xml:space="preserve">collaborative </w:t>
      </w:r>
      <w:r w:rsidR="00F42DB9">
        <w:t>Phase 2b prevention of TB recurrence trial in the same population</w:t>
      </w:r>
      <w:r>
        <w:t>.</w:t>
      </w:r>
    </w:p>
    <w:p w14:paraId="0ECE0B67" w14:textId="77777777" w:rsidR="000E1270" w:rsidRPr="00EB42E9" w:rsidRDefault="000E1270" w:rsidP="000E1270">
      <w:pPr>
        <w:spacing w:before="180" w:after="180" w:line="276" w:lineRule="auto"/>
        <w:rPr>
          <w:b/>
        </w:rPr>
      </w:pPr>
      <w:r w:rsidRPr="00EB42E9">
        <w:rPr>
          <w:b/>
        </w:rPr>
        <w:t xml:space="preserve">Primary Objectives: </w:t>
      </w:r>
    </w:p>
    <w:p w14:paraId="119828A4" w14:textId="1A6ADD7A" w:rsidR="000E1270" w:rsidRPr="00EB42E9" w:rsidRDefault="000E1270" w:rsidP="00C648A1">
      <w:pPr>
        <w:numPr>
          <w:ilvl w:val="0"/>
          <w:numId w:val="3"/>
        </w:numPr>
        <w:spacing w:before="180" w:after="180" w:line="276" w:lineRule="auto"/>
      </w:pPr>
      <w:r w:rsidRPr="00EB42E9">
        <w:t>To evaluate the safety of ID93 + GLA-SE</w:t>
      </w:r>
      <w:r w:rsidR="00E54D43" w:rsidRPr="00E54D43">
        <w:t xml:space="preserve"> </w:t>
      </w:r>
      <w:r w:rsidR="00E54D43">
        <w:t>at three increasing dose levels</w:t>
      </w:r>
      <w:r w:rsidRPr="00EB42E9">
        <w:t xml:space="preserve">, compared to saline placebo, following intramuscular administration on </w:t>
      </w:r>
      <w:r w:rsidR="00FC3F3A">
        <w:t xml:space="preserve">either </w:t>
      </w:r>
      <w:r w:rsidRPr="00EB42E9">
        <w:t xml:space="preserve">Days 0 and </w:t>
      </w:r>
      <w:r w:rsidR="005E6C23">
        <w:t>56</w:t>
      </w:r>
      <w:r w:rsidR="00FC3F3A">
        <w:t xml:space="preserve"> or Days 0, 28 and 56</w:t>
      </w:r>
      <w:r w:rsidRPr="00EB42E9">
        <w:t>.</w:t>
      </w:r>
    </w:p>
    <w:p w14:paraId="155BD43A" w14:textId="1EC5C438" w:rsidR="000E1270" w:rsidRDefault="000E1270" w:rsidP="00C648A1">
      <w:pPr>
        <w:numPr>
          <w:ilvl w:val="0"/>
          <w:numId w:val="3"/>
        </w:numPr>
        <w:spacing w:before="180" w:after="180" w:line="276" w:lineRule="auto"/>
      </w:pPr>
      <w:r w:rsidRPr="00F56529">
        <w:t xml:space="preserve">To assess the immunogenicity of ID93 + GLA-SE </w:t>
      </w:r>
      <w:r w:rsidR="00E54D43">
        <w:t xml:space="preserve">at three increasing dose levels </w:t>
      </w:r>
      <w:r w:rsidR="00E54D43" w:rsidRPr="00EB42E9">
        <w:t xml:space="preserve">following intramuscular administration on Days 0 and </w:t>
      </w:r>
      <w:r w:rsidR="00E54D43">
        <w:t>56</w:t>
      </w:r>
      <w:r w:rsidR="00FC3F3A">
        <w:t xml:space="preserve"> or Days 0, 28 and 56</w:t>
      </w:r>
      <w:r w:rsidR="00E54D43" w:rsidRPr="00522676">
        <w:t>,</w:t>
      </w:r>
      <w:r w:rsidR="00E54D43" w:rsidRPr="00F56529">
        <w:t xml:space="preserve"> </w:t>
      </w:r>
      <w:r w:rsidRPr="00F56529">
        <w:t>by evaluating IgG antibody and T-cell responses to ID93</w:t>
      </w:r>
      <w:r w:rsidR="00E413AA">
        <w:t xml:space="preserve"> </w:t>
      </w:r>
      <w:r w:rsidRPr="00F56529">
        <w:t>+ GLA-SE at specified time points.</w:t>
      </w:r>
    </w:p>
    <w:p w14:paraId="5D33FF52" w14:textId="2D77C10C" w:rsidR="000E1270" w:rsidRPr="00EB42E9" w:rsidRDefault="000E1270" w:rsidP="000E1270">
      <w:pPr>
        <w:spacing w:before="180" w:after="180" w:line="276" w:lineRule="auto"/>
        <w:rPr>
          <w:b/>
        </w:rPr>
      </w:pPr>
      <w:r w:rsidRPr="00EB42E9">
        <w:rPr>
          <w:b/>
        </w:rPr>
        <w:t xml:space="preserve">Secondary Objective: </w:t>
      </w:r>
    </w:p>
    <w:p w14:paraId="56635BC3" w14:textId="438D72CF" w:rsidR="008D2C2C" w:rsidRPr="00F56529" w:rsidRDefault="000E1270" w:rsidP="008D2C2C">
      <w:pPr>
        <w:numPr>
          <w:ilvl w:val="0"/>
          <w:numId w:val="3"/>
        </w:numPr>
        <w:spacing w:before="180" w:after="180" w:line="276" w:lineRule="auto"/>
      </w:pPr>
      <w:r w:rsidRPr="00F56529">
        <w:t>To assess whether gene expression signatures can predict IgG antibody and T-cell responses to ID93 + GLA-SE, following successful treatment</w:t>
      </w:r>
      <w:r>
        <w:t xml:space="preserve"> of TB (identify correlates of </w:t>
      </w:r>
      <w:r w:rsidRPr="00F56529">
        <w:t>immunogenicity for ID93 + GLA-SE)</w:t>
      </w:r>
      <w:r w:rsidR="00C555D7">
        <w:t>.</w:t>
      </w:r>
    </w:p>
    <w:p w14:paraId="4E5B6E11" w14:textId="3CED1D01" w:rsidR="00F43682" w:rsidRDefault="00F43682">
      <w:pPr>
        <w:pStyle w:val="Heading2"/>
      </w:pPr>
      <w:bookmarkStart w:id="109" w:name="_Ref102891533"/>
      <w:bookmarkStart w:id="110" w:name="_Ref102891556"/>
      <w:bookmarkStart w:id="111" w:name="_Toc389129950"/>
      <w:bookmarkStart w:id="112" w:name="_Toc440906251"/>
      <w:r>
        <w:t>Study Outcome Measures</w:t>
      </w:r>
      <w:bookmarkEnd w:id="109"/>
      <w:bookmarkEnd w:id="110"/>
      <w:bookmarkEnd w:id="111"/>
      <w:bookmarkEnd w:id="112"/>
      <w:r w:rsidR="000E1270">
        <w:t xml:space="preserve"> </w:t>
      </w:r>
    </w:p>
    <w:p w14:paraId="52F49C3C" w14:textId="078642EB" w:rsidR="00563898" w:rsidRDefault="0099263C" w:rsidP="00DD2050">
      <w:pPr>
        <w:pStyle w:val="BodyText"/>
        <w:rPr>
          <w:iCs/>
        </w:rPr>
      </w:pPr>
      <w:r>
        <w:rPr>
          <w:iCs/>
        </w:rPr>
        <w:t>Assessment of s</w:t>
      </w:r>
      <w:r w:rsidR="000027D6">
        <w:rPr>
          <w:iCs/>
        </w:rPr>
        <w:t xml:space="preserve">afety will </w:t>
      </w:r>
      <w:r>
        <w:rPr>
          <w:iCs/>
        </w:rPr>
        <w:t xml:space="preserve">include </w:t>
      </w:r>
      <w:r w:rsidR="000027D6">
        <w:rPr>
          <w:iCs/>
        </w:rPr>
        <w:t>clinical laboratory</w:t>
      </w:r>
      <w:r>
        <w:rPr>
          <w:iCs/>
        </w:rPr>
        <w:t xml:space="preserve"> tests, vital signs</w:t>
      </w:r>
      <w:r w:rsidR="003F0938">
        <w:rPr>
          <w:iCs/>
        </w:rPr>
        <w:t>,</w:t>
      </w:r>
      <w:r>
        <w:rPr>
          <w:iCs/>
        </w:rPr>
        <w:t xml:space="preserve"> and physical exam findings.</w:t>
      </w:r>
    </w:p>
    <w:p w14:paraId="6E735FEC" w14:textId="1E37452F" w:rsidR="00234945" w:rsidRPr="00234945" w:rsidRDefault="008E1B03" w:rsidP="00234945">
      <w:pPr>
        <w:pStyle w:val="BodyText"/>
        <w:rPr>
          <w:iCs/>
        </w:rPr>
      </w:pPr>
      <w:r>
        <w:rPr>
          <w:iCs/>
        </w:rPr>
        <w:t xml:space="preserve">Although not statistically powered to detect </w:t>
      </w:r>
      <w:r w:rsidR="00164A59">
        <w:rPr>
          <w:iCs/>
        </w:rPr>
        <w:t xml:space="preserve">prevention of </w:t>
      </w:r>
      <w:r>
        <w:rPr>
          <w:iCs/>
        </w:rPr>
        <w:t>recurrent cases, patients will be followed and evaluated throughout the course of the study for recurrence of TB disease</w:t>
      </w:r>
      <w:r w:rsidR="00B958F2">
        <w:rPr>
          <w:iCs/>
        </w:rPr>
        <w:t xml:space="preserve"> as a safety endpoint</w:t>
      </w:r>
      <w:r>
        <w:rPr>
          <w:iCs/>
        </w:rPr>
        <w:t>.</w:t>
      </w:r>
      <w:r w:rsidR="00725327">
        <w:rPr>
          <w:iCs/>
        </w:rPr>
        <w:t xml:space="preserve"> </w:t>
      </w:r>
    </w:p>
    <w:p w14:paraId="3EE99914" w14:textId="5F7D735B" w:rsidR="00F43682" w:rsidRDefault="00F43682" w:rsidP="009E0AB3">
      <w:pPr>
        <w:pStyle w:val="Heading3"/>
      </w:pPr>
      <w:bookmarkStart w:id="113" w:name="_Toc389129951"/>
      <w:bookmarkStart w:id="114" w:name="_Toc440906252"/>
      <w:r>
        <w:t>Primary Outcome Measures</w:t>
      </w:r>
      <w:bookmarkEnd w:id="113"/>
      <w:bookmarkEnd w:id="114"/>
      <w:r w:rsidR="000E1270">
        <w:t xml:space="preserve"> </w:t>
      </w:r>
    </w:p>
    <w:p w14:paraId="65B87918" w14:textId="77777777" w:rsidR="00CD23FD" w:rsidRPr="00CD23FD" w:rsidRDefault="00CD23FD" w:rsidP="009E0AB3">
      <w:pPr>
        <w:pStyle w:val="Heading4"/>
      </w:pPr>
      <w:r w:rsidRPr="00CD23FD">
        <w:t>Safety Outcomes</w:t>
      </w:r>
    </w:p>
    <w:p w14:paraId="2B60873B" w14:textId="684DE645" w:rsidR="001066CF" w:rsidRDefault="001066CF" w:rsidP="00CD23FD">
      <w:pPr>
        <w:pStyle w:val="BodyText"/>
        <w:rPr>
          <w:b/>
          <w:bCs/>
          <w:iCs/>
        </w:rPr>
      </w:pPr>
      <w:r w:rsidRPr="001066CF">
        <w:rPr>
          <w:bCs/>
          <w:iCs/>
        </w:rPr>
        <w:t xml:space="preserve">Safety outcomes will include solicited adverse events within 7 days and unsolicited adverse events within 28 days after each </w:t>
      </w:r>
      <w:r w:rsidR="002C59ED">
        <w:rPr>
          <w:bCs/>
          <w:iCs/>
        </w:rPr>
        <w:t>study injection</w:t>
      </w:r>
      <w:r w:rsidRPr="001066CF">
        <w:rPr>
          <w:bCs/>
          <w:iCs/>
        </w:rPr>
        <w:t xml:space="preserve">; and serious adverse events after the first </w:t>
      </w:r>
      <w:r w:rsidR="002C59ED">
        <w:rPr>
          <w:bCs/>
          <w:iCs/>
        </w:rPr>
        <w:t>study injection</w:t>
      </w:r>
      <w:r w:rsidRPr="001066CF">
        <w:rPr>
          <w:bCs/>
          <w:iCs/>
        </w:rPr>
        <w:t xml:space="preserve"> until end of study follow-up. </w:t>
      </w:r>
    </w:p>
    <w:p w14:paraId="37B224EE" w14:textId="77777777" w:rsidR="00CD23FD" w:rsidRPr="00CD23FD" w:rsidRDefault="00CD23FD" w:rsidP="009E0AB3">
      <w:pPr>
        <w:pStyle w:val="Heading4"/>
      </w:pPr>
      <w:r w:rsidRPr="00CD23FD">
        <w:t xml:space="preserve">Clinical Assessments and Laboratory Tests </w:t>
      </w:r>
    </w:p>
    <w:p w14:paraId="483FA27D" w14:textId="501D8E9F" w:rsidR="00CD23FD" w:rsidRPr="00CD23FD" w:rsidRDefault="00CD23FD" w:rsidP="00CD23FD">
      <w:pPr>
        <w:pStyle w:val="BodyText"/>
        <w:rPr>
          <w:iCs/>
        </w:rPr>
      </w:pPr>
      <w:r w:rsidRPr="00CD23FD">
        <w:rPr>
          <w:iCs/>
        </w:rPr>
        <w:t>Clinical assessments and laboratory tests are summarized in</w:t>
      </w:r>
      <w:r w:rsidR="005815AE">
        <w:rPr>
          <w:iCs/>
        </w:rPr>
        <w:t xml:space="preserve"> </w:t>
      </w:r>
      <w:r w:rsidR="005E13C1" w:rsidRPr="0040275E">
        <w:rPr>
          <w:iCs/>
          <w:color w:val="0000FF"/>
        </w:rPr>
        <w:fldChar w:fldCharType="begin"/>
      </w:r>
      <w:r w:rsidR="005E13C1" w:rsidRPr="0040275E">
        <w:rPr>
          <w:iCs/>
          <w:color w:val="0000FF"/>
        </w:rPr>
        <w:instrText xml:space="preserve"> REF  _Ref377990419 \h  \* MERGEFORMAT </w:instrText>
      </w:r>
      <w:r w:rsidR="005E13C1" w:rsidRPr="0040275E">
        <w:rPr>
          <w:iCs/>
          <w:color w:val="0000FF"/>
        </w:rPr>
      </w:r>
      <w:r w:rsidR="005E13C1" w:rsidRPr="0040275E">
        <w:rPr>
          <w:iCs/>
          <w:color w:val="0000FF"/>
        </w:rPr>
        <w:fldChar w:fldCharType="separate"/>
      </w:r>
      <w:r w:rsidR="00024E24" w:rsidRPr="00024E24">
        <w:rPr>
          <w:color w:val="0000FF"/>
          <w:szCs w:val="24"/>
        </w:rPr>
        <w:t xml:space="preserve">Appendix </w:t>
      </w:r>
      <w:r w:rsidR="00024E24" w:rsidRPr="00024E24">
        <w:rPr>
          <w:caps/>
          <w:noProof/>
          <w:color w:val="0000FF"/>
          <w:szCs w:val="24"/>
        </w:rPr>
        <w:t>1</w:t>
      </w:r>
      <w:r w:rsidR="005E13C1" w:rsidRPr="0040275E">
        <w:rPr>
          <w:iCs/>
          <w:color w:val="0000FF"/>
        </w:rPr>
        <w:fldChar w:fldCharType="end"/>
      </w:r>
      <w:r w:rsidRPr="00CD23FD">
        <w:rPr>
          <w:iCs/>
        </w:rPr>
        <w:t xml:space="preserve">. </w:t>
      </w:r>
      <w:r w:rsidRPr="0099263C">
        <w:rPr>
          <w:iCs/>
        </w:rPr>
        <w:t xml:space="preserve">Any abnormal laboratory values, abnormal vital signs, or </w:t>
      </w:r>
      <w:r w:rsidR="00C37083">
        <w:rPr>
          <w:iCs/>
        </w:rPr>
        <w:t xml:space="preserve">abnormal </w:t>
      </w:r>
      <w:r w:rsidRPr="0099263C">
        <w:rPr>
          <w:iCs/>
        </w:rPr>
        <w:t>physical examination findings will be documented by the Investigator as adverse events. The safety assessments will be based on reported adverse events, changes in laboratory values, and changes in vital signs. The severity and relationship to treatment will be recorded for all adverse events. Adverse events will be coded for summary and analysis using standardized preferred terms and system organ class.</w:t>
      </w:r>
    </w:p>
    <w:p w14:paraId="0BC811FE" w14:textId="44C1ECDD" w:rsidR="00137731" w:rsidRPr="006D6A54" w:rsidRDefault="00137731" w:rsidP="009E0AB3">
      <w:pPr>
        <w:pStyle w:val="Heading4"/>
      </w:pPr>
      <w:r w:rsidRPr="006D6A54">
        <w:t>Immunology Outcomes</w:t>
      </w:r>
    </w:p>
    <w:p w14:paraId="5924AF3A" w14:textId="53A99183" w:rsidR="00C62470" w:rsidRDefault="00C62470" w:rsidP="00C62470">
      <w:pPr>
        <w:pStyle w:val="BodyText"/>
      </w:pPr>
      <w:r>
        <w:t>Antigen</w:t>
      </w:r>
      <w:r w:rsidR="00846605">
        <w:t>-</w:t>
      </w:r>
      <w:r>
        <w:t xml:space="preserve">specific </w:t>
      </w:r>
      <w:r w:rsidRPr="003B54E3">
        <w:t xml:space="preserve">IgG and </w:t>
      </w:r>
      <w:r>
        <w:t xml:space="preserve">PBMC </w:t>
      </w:r>
      <w:r w:rsidRPr="003B54E3">
        <w:t xml:space="preserve">T-cell responses will be assessed for subjects at Days 0, 14, 28, </w:t>
      </w:r>
      <w:r w:rsidR="005D1E90">
        <w:t xml:space="preserve">42, </w:t>
      </w:r>
      <w:r w:rsidRPr="003B54E3">
        <w:t>56, 70, 84</w:t>
      </w:r>
      <w:r>
        <w:t>,</w:t>
      </w:r>
      <w:r w:rsidRPr="003B54E3">
        <w:t xml:space="preserve"> and </w:t>
      </w:r>
      <w:r>
        <w:t>224</w:t>
      </w:r>
      <w:r w:rsidRPr="003B54E3">
        <w:t>.</w:t>
      </w:r>
    </w:p>
    <w:p w14:paraId="2FAB174B" w14:textId="77777777" w:rsidR="00C62470" w:rsidRPr="00137731" w:rsidRDefault="00C62470" w:rsidP="00C62470">
      <w:pPr>
        <w:pStyle w:val="BodyText"/>
        <w:rPr>
          <w:iCs/>
        </w:rPr>
      </w:pPr>
      <w:r w:rsidRPr="00CB6C59">
        <w:rPr>
          <w:iCs/>
        </w:rPr>
        <w:t>Immune sera will be analyzed for the presence of antigen-specific IgG antibodies by enzyme-linked immunosorbent assay (ELISA) techniques. Responses will be summarized using geometric mean titers and associated 95% CIs by treatment regimen and by baseline QFT status, at all available time points.</w:t>
      </w:r>
    </w:p>
    <w:p w14:paraId="03674A57" w14:textId="322D335B" w:rsidR="00137731" w:rsidRDefault="00137731" w:rsidP="00137731">
      <w:pPr>
        <w:pStyle w:val="BodyText"/>
        <w:rPr>
          <w:iCs/>
        </w:rPr>
      </w:pPr>
      <w:r w:rsidRPr="00137731">
        <w:rPr>
          <w:iCs/>
        </w:rPr>
        <w:t xml:space="preserve">Immunology analyses will </w:t>
      </w:r>
      <w:r w:rsidR="00C62470">
        <w:rPr>
          <w:iCs/>
        </w:rPr>
        <w:t xml:space="preserve">also </w:t>
      </w:r>
      <w:r w:rsidRPr="00137731">
        <w:rPr>
          <w:iCs/>
        </w:rPr>
        <w:t>involve assessment of the immune response to the vaccine by measurement of the frequency of CD4+ and CD8+ T</w:t>
      </w:r>
      <w:r w:rsidR="00546B91">
        <w:rPr>
          <w:iCs/>
        </w:rPr>
        <w:t>-</w:t>
      </w:r>
      <w:r w:rsidRPr="00137731">
        <w:rPr>
          <w:iCs/>
        </w:rPr>
        <w:t xml:space="preserve">cells that produce any of selected cytokines following stimulation with </w:t>
      </w:r>
      <w:r w:rsidR="00C62470">
        <w:rPr>
          <w:iCs/>
        </w:rPr>
        <w:t xml:space="preserve">whole </w:t>
      </w:r>
      <w:r w:rsidR="00BE72B9">
        <w:rPr>
          <w:iCs/>
        </w:rPr>
        <w:t xml:space="preserve">ID93 protein and </w:t>
      </w:r>
      <w:r w:rsidRPr="00137731">
        <w:rPr>
          <w:iCs/>
        </w:rPr>
        <w:t xml:space="preserve">peptide pools derived from and representing the entire amino acid sequences of the </w:t>
      </w:r>
      <w:r w:rsidR="00C62470">
        <w:rPr>
          <w:iCs/>
        </w:rPr>
        <w:t>ID93 component</w:t>
      </w:r>
      <w:r w:rsidR="00C62470" w:rsidRPr="00137731">
        <w:rPr>
          <w:iCs/>
        </w:rPr>
        <w:t xml:space="preserve"> </w:t>
      </w:r>
      <w:r w:rsidRPr="00137731">
        <w:rPr>
          <w:iCs/>
        </w:rPr>
        <w:t>antigens Rv2608, Rv3619, Rv3620, and Rv1813.</w:t>
      </w:r>
      <w:r w:rsidR="00725327">
        <w:rPr>
          <w:iCs/>
        </w:rPr>
        <w:t xml:space="preserve"> </w:t>
      </w:r>
      <w:r w:rsidRPr="005F0F23">
        <w:rPr>
          <w:iCs/>
        </w:rPr>
        <w:t>Response will be measured using PBMCs by flow cytometry in the intracellular cytokine staining (ICS) assay</w:t>
      </w:r>
      <w:r w:rsidRPr="0091200C">
        <w:rPr>
          <w:iCs/>
        </w:rPr>
        <w:t xml:space="preserve">, and will be presented using median DMSO-subtracted cytokine responses and </w:t>
      </w:r>
      <w:r w:rsidRPr="00C7124B">
        <w:rPr>
          <w:iCs/>
        </w:rPr>
        <w:t>associated</w:t>
      </w:r>
      <w:r w:rsidRPr="00137731">
        <w:rPr>
          <w:iCs/>
        </w:rPr>
        <w:t xml:space="preserve"> 95% CIs by treatment regimen.</w:t>
      </w:r>
      <w:r w:rsidR="00725327">
        <w:rPr>
          <w:iCs/>
        </w:rPr>
        <w:t xml:space="preserve"> </w:t>
      </w:r>
    </w:p>
    <w:p w14:paraId="4DCB4372" w14:textId="77777777" w:rsidR="00F43682" w:rsidRDefault="00F43682" w:rsidP="009E0AB3">
      <w:pPr>
        <w:pStyle w:val="Heading3"/>
      </w:pPr>
      <w:bookmarkStart w:id="115" w:name="_Toc389817624"/>
      <w:bookmarkStart w:id="116" w:name="_Toc389129952"/>
      <w:bookmarkStart w:id="117" w:name="_Toc440906253"/>
      <w:bookmarkEnd w:id="115"/>
      <w:r>
        <w:t>Secondary Outcome Measures</w:t>
      </w:r>
      <w:bookmarkEnd w:id="116"/>
      <w:bookmarkEnd w:id="117"/>
    </w:p>
    <w:p w14:paraId="4BE98C2B" w14:textId="46D15A8F" w:rsidR="00137731" w:rsidRPr="00137731" w:rsidRDefault="00137731" w:rsidP="009E0AB3">
      <w:pPr>
        <w:pStyle w:val="Heading4"/>
      </w:pPr>
      <w:r w:rsidRPr="00137731">
        <w:t>Secondary Immunology Outcomes</w:t>
      </w:r>
    </w:p>
    <w:p w14:paraId="07A5EB9D" w14:textId="600F3245" w:rsidR="00C62470" w:rsidRDefault="00846605" w:rsidP="00C62470">
      <w:pPr>
        <w:pStyle w:val="BodyText"/>
      </w:pPr>
      <w:r>
        <w:t xml:space="preserve">Exploratory analysis of </w:t>
      </w:r>
      <w:r w:rsidR="00C62470" w:rsidRPr="00CB6C59">
        <w:t xml:space="preserve">T-cell responses </w:t>
      </w:r>
      <w:r w:rsidR="00C62470">
        <w:t xml:space="preserve">measured in whole blood </w:t>
      </w:r>
      <w:r>
        <w:t xml:space="preserve">will be </w:t>
      </w:r>
      <w:r w:rsidR="00C62470" w:rsidRPr="00CB6C59">
        <w:t xml:space="preserve">assessed for subjects at Days 0, 14, 28, </w:t>
      </w:r>
      <w:r w:rsidR="005D1E90">
        <w:t xml:space="preserve">42, </w:t>
      </w:r>
      <w:r w:rsidR="00C62470" w:rsidRPr="00CB6C59">
        <w:t xml:space="preserve">56, 70, 84, and 224. </w:t>
      </w:r>
    </w:p>
    <w:p w14:paraId="02777CB0" w14:textId="166FB5DA" w:rsidR="00E54D43" w:rsidRPr="00137731" w:rsidRDefault="00C62470" w:rsidP="00137731">
      <w:pPr>
        <w:pStyle w:val="BodyText"/>
        <w:rPr>
          <w:iCs/>
        </w:rPr>
      </w:pPr>
      <w:r w:rsidRPr="00CB6C59">
        <w:rPr>
          <w:iCs/>
        </w:rPr>
        <w:t>In addition, samples will be collected and stored for future exploratory analyses of gene signatures and RNA-Seq to determine biological correlates of protective response induced through vaccination that may prevent recurrent TB disease.</w:t>
      </w:r>
      <w:r>
        <w:rPr>
          <w:iCs/>
        </w:rPr>
        <w:t xml:space="preserve"> A small sample of whole blood will also be collected and used to quantitate whole blood cellular subsets. This data will be used to deconvolute transcriptomic signatures obtained from whole blood.</w:t>
      </w:r>
      <w:r w:rsidR="00725327">
        <w:rPr>
          <w:iCs/>
        </w:rPr>
        <w:t xml:space="preserve"> </w:t>
      </w:r>
    </w:p>
    <w:p w14:paraId="06965346" w14:textId="77777777" w:rsidR="00F43682" w:rsidRDefault="00F43682">
      <w:pPr>
        <w:pStyle w:val="Heading1"/>
      </w:pPr>
      <w:bookmarkStart w:id="118" w:name="_Toc42588965"/>
      <w:bookmarkStart w:id="119" w:name="_Toc53202806"/>
      <w:bookmarkStart w:id="120" w:name="_Toc389129953"/>
      <w:bookmarkStart w:id="121" w:name="_Toc440906254"/>
      <w:r>
        <w:t>Study Design</w:t>
      </w:r>
      <w:bookmarkEnd w:id="118"/>
      <w:bookmarkEnd w:id="119"/>
      <w:bookmarkEnd w:id="120"/>
      <w:bookmarkEnd w:id="121"/>
    </w:p>
    <w:p w14:paraId="7E71339F" w14:textId="1C963948" w:rsidR="00B23393" w:rsidRPr="00B23393" w:rsidRDefault="00857778" w:rsidP="00906CD6">
      <w:pPr>
        <w:pStyle w:val="BodyText"/>
        <w:spacing w:before="120" w:after="120"/>
      </w:pPr>
      <w:r w:rsidRPr="00857778">
        <w:t>A</w:t>
      </w:r>
      <w:r w:rsidRPr="00857778">
        <w:rPr>
          <w:bCs/>
        </w:rPr>
        <w:t xml:space="preserve"> Phase 2</w:t>
      </w:r>
      <w:r w:rsidR="00907E86">
        <w:rPr>
          <w:bCs/>
        </w:rPr>
        <w:t>a</w:t>
      </w:r>
      <w:r w:rsidRPr="00857778">
        <w:rPr>
          <w:bCs/>
        </w:rPr>
        <w:t>, randomized, double-blind, placebo controlled clinical trial to evaluate the safety</w:t>
      </w:r>
      <w:r w:rsidR="00907E86">
        <w:rPr>
          <w:bCs/>
        </w:rPr>
        <w:t xml:space="preserve"> and</w:t>
      </w:r>
      <w:r w:rsidR="00907E86" w:rsidRPr="00857778">
        <w:rPr>
          <w:bCs/>
        </w:rPr>
        <w:t xml:space="preserve"> </w:t>
      </w:r>
      <w:r w:rsidRPr="00857778">
        <w:rPr>
          <w:bCs/>
        </w:rPr>
        <w:t xml:space="preserve">immunogenicity of the ID93 + GLA-SE vaccine </w:t>
      </w:r>
      <w:r w:rsidRPr="00857778">
        <w:t xml:space="preserve">following </w:t>
      </w:r>
      <w:r w:rsidRPr="00857778">
        <w:rPr>
          <w:bCs/>
        </w:rPr>
        <w:t xml:space="preserve">intramuscular administration on Days 0 and </w:t>
      </w:r>
      <w:r w:rsidR="005E6C23">
        <w:rPr>
          <w:bCs/>
        </w:rPr>
        <w:t>56</w:t>
      </w:r>
      <w:r w:rsidRPr="00857778">
        <w:rPr>
          <w:bCs/>
        </w:rPr>
        <w:t xml:space="preserve"> </w:t>
      </w:r>
      <w:r w:rsidR="00625505">
        <w:t xml:space="preserve">or Days 0, 28 and 56 </w:t>
      </w:r>
      <w:r w:rsidRPr="00857778">
        <w:rPr>
          <w:bCs/>
        </w:rPr>
        <w:t>in HIV uninfected</w:t>
      </w:r>
      <w:r w:rsidR="00FC2E3F">
        <w:rPr>
          <w:bCs/>
        </w:rPr>
        <w:t>, previously BCG vaccinated</w:t>
      </w:r>
      <w:r w:rsidRPr="00857778">
        <w:rPr>
          <w:bCs/>
        </w:rPr>
        <w:t xml:space="preserve"> adults, following successful completion of standard treatment </w:t>
      </w:r>
      <w:r w:rsidR="008D4AA5">
        <w:rPr>
          <w:bCs/>
        </w:rPr>
        <w:t xml:space="preserve">and cure </w:t>
      </w:r>
      <w:r w:rsidRPr="00857778">
        <w:rPr>
          <w:bCs/>
        </w:rPr>
        <w:t>for</w:t>
      </w:r>
      <w:r w:rsidRPr="00857778">
        <w:t xml:space="preserve"> </w:t>
      </w:r>
      <w:r w:rsidRPr="00007815">
        <w:t>M</w:t>
      </w:r>
      <w:r w:rsidR="00CF550E" w:rsidRPr="00007815">
        <w:t>tb</w:t>
      </w:r>
      <w:r w:rsidRPr="00857778">
        <w:t xml:space="preserve"> culture-confirmed, drug-susceptible pulmonary TB.</w:t>
      </w:r>
      <w:r w:rsidR="00FC2E3F">
        <w:rPr>
          <w:bCs/>
        </w:rPr>
        <w:t xml:space="preserve"> </w:t>
      </w:r>
      <w:r w:rsidR="00907E86">
        <w:rPr>
          <w:bCs/>
        </w:rPr>
        <w:t>A</w:t>
      </w:r>
      <w:r w:rsidR="00B23393" w:rsidRPr="00857778">
        <w:rPr>
          <w:bCs/>
        </w:rPr>
        <w:t xml:space="preserve"> total of 60 subjects </w:t>
      </w:r>
      <w:r w:rsidR="00907E86">
        <w:rPr>
          <w:bCs/>
        </w:rPr>
        <w:t xml:space="preserve">will be </w:t>
      </w:r>
      <w:r w:rsidR="00B23393" w:rsidRPr="00857778">
        <w:rPr>
          <w:bCs/>
        </w:rPr>
        <w:t>randomized and i</w:t>
      </w:r>
      <w:r w:rsidR="001B148A">
        <w:rPr>
          <w:bCs/>
        </w:rPr>
        <w:t>njected</w:t>
      </w:r>
      <w:r w:rsidR="00FC2E3F">
        <w:rPr>
          <w:bCs/>
        </w:rPr>
        <w:t>.</w:t>
      </w:r>
    </w:p>
    <w:p w14:paraId="49EC0226" w14:textId="78F1EDD0" w:rsidR="00B23393" w:rsidRDefault="00B23393" w:rsidP="00CF550E">
      <w:pPr>
        <w:pStyle w:val="Heading2"/>
      </w:pPr>
      <w:bookmarkStart w:id="122" w:name="_Toc389129954"/>
      <w:bookmarkStart w:id="123" w:name="_Toc440906255"/>
      <w:r>
        <w:t>Study Phases</w:t>
      </w:r>
      <w:bookmarkEnd w:id="122"/>
      <w:bookmarkEnd w:id="123"/>
    </w:p>
    <w:p w14:paraId="7613646B" w14:textId="580740F8" w:rsidR="00562264" w:rsidRDefault="009945B4" w:rsidP="00857778">
      <w:pPr>
        <w:pStyle w:val="BodyText"/>
        <w:rPr>
          <w:bCs/>
        </w:rPr>
      </w:pPr>
      <w:r>
        <w:rPr>
          <w:bCs/>
          <w:i/>
        </w:rPr>
        <w:t xml:space="preserve">Screening </w:t>
      </w:r>
      <w:r w:rsidR="00857778" w:rsidRPr="00B23393">
        <w:rPr>
          <w:bCs/>
          <w:i/>
        </w:rPr>
        <w:t>Phase:</w:t>
      </w:r>
      <w:r w:rsidR="00B23393" w:rsidRPr="003F0938">
        <w:rPr>
          <w:bCs/>
        </w:rPr>
        <w:t xml:space="preserve"> </w:t>
      </w:r>
      <w:r w:rsidR="00275558" w:rsidRPr="00275558">
        <w:rPr>
          <w:bCs/>
        </w:rPr>
        <w:t>TB patients with MTB liquid culture (MGIT system</w:t>
      </w:r>
      <w:r w:rsidR="00CF550E">
        <w:rPr>
          <w:bCs/>
        </w:rPr>
        <w:t xml:space="preserve">, </w:t>
      </w:r>
      <w:r w:rsidR="00CF550E" w:rsidRPr="00CB6C59">
        <w:rPr>
          <w:bCs/>
        </w:rPr>
        <w:t>Becton-Dickinson, USA</w:t>
      </w:r>
      <w:r w:rsidR="00275558" w:rsidRPr="00275558">
        <w:rPr>
          <w:bCs/>
        </w:rPr>
        <w:t xml:space="preserve">) or Xpert MTB/RIF </w:t>
      </w:r>
      <w:r w:rsidR="00CF550E" w:rsidRPr="00CB6C59">
        <w:rPr>
          <w:bCs/>
        </w:rPr>
        <w:t>(Cepheid, USA)</w:t>
      </w:r>
      <w:r w:rsidR="00CF550E">
        <w:rPr>
          <w:bCs/>
        </w:rPr>
        <w:t xml:space="preserve"> </w:t>
      </w:r>
      <w:r w:rsidR="00275558" w:rsidRPr="00275558">
        <w:rPr>
          <w:bCs/>
        </w:rPr>
        <w:t xml:space="preserve">confirmed pulmonary TB will be recruited from local TB health facilities </w:t>
      </w:r>
      <w:r>
        <w:rPr>
          <w:bCs/>
        </w:rPr>
        <w:t xml:space="preserve">approximately </w:t>
      </w:r>
      <w:r w:rsidR="00562264">
        <w:rPr>
          <w:bCs/>
        </w:rPr>
        <w:t>4</w:t>
      </w:r>
      <w:r>
        <w:rPr>
          <w:bCs/>
        </w:rPr>
        <w:t xml:space="preserve"> </w:t>
      </w:r>
      <w:r w:rsidR="00907E86">
        <w:rPr>
          <w:bCs/>
        </w:rPr>
        <w:t>month</w:t>
      </w:r>
      <w:r>
        <w:rPr>
          <w:bCs/>
        </w:rPr>
        <w:t>s</w:t>
      </w:r>
      <w:r w:rsidR="00907E86">
        <w:rPr>
          <w:bCs/>
        </w:rPr>
        <w:t xml:space="preserve"> after</w:t>
      </w:r>
      <w:r w:rsidR="00275558" w:rsidRPr="00275558">
        <w:rPr>
          <w:bCs/>
        </w:rPr>
        <w:t xml:space="preserve"> starting </w:t>
      </w:r>
      <w:r w:rsidR="00E23A7B">
        <w:rPr>
          <w:bCs/>
        </w:rPr>
        <w:t xml:space="preserve">a </w:t>
      </w:r>
      <w:r w:rsidR="00275558" w:rsidRPr="00275558">
        <w:rPr>
          <w:bCs/>
        </w:rPr>
        <w:t xml:space="preserve">standard </w:t>
      </w:r>
      <w:r w:rsidR="00E23A7B">
        <w:rPr>
          <w:bCs/>
        </w:rPr>
        <w:t xml:space="preserve">course of </w:t>
      </w:r>
      <w:r w:rsidR="00275558" w:rsidRPr="00275558">
        <w:rPr>
          <w:bCs/>
        </w:rPr>
        <w:t xml:space="preserve">TB treatment. </w:t>
      </w:r>
      <w:r w:rsidR="00E20D9C">
        <w:rPr>
          <w:bCs/>
        </w:rPr>
        <w:t>Adequate</w:t>
      </w:r>
      <w:r w:rsidR="00857778" w:rsidRPr="00857778">
        <w:rPr>
          <w:bCs/>
        </w:rPr>
        <w:t xml:space="preserve"> TB treatment adherence</w:t>
      </w:r>
      <w:r w:rsidR="00391C52">
        <w:rPr>
          <w:bCs/>
        </w:rPr>
        <w:t xml:space="preserve"> </w:t>
      </w:r>
      <w:r w:rsidR="00907E86">
        <w:rPr>
          <w:bCs/>
        </w:rPr>
        <w:t xml:space="preserve">must be demonstrated </w:t>
      </w:r>
      <w:r w:rsidR="00562264">
        <w:rPr>
          <w:bCs/>
        </w:rPr>
        <w:t xml:space="preserve">by regular attendance </w:t>
      </w:r>
      <w:r w:rsidR="00560E3A">
        <w:rPr>
          <w:bCs/>
        </w:rPr>
        <w:t xml:space="preserve">and completion of treatment </w:t>
      </w:r>
      <w:r w:rsidR="00907E86">
        <w:rPr>
          <w:bCs/>
        </w:rPr>
        <w:t>at the local clinic</w:t>
      </w:r>
      <w:r w:rsidR="00857778" w:rsidRPr="00857778">
        <w:rPr>
          <w:bCs/>
        </w:rPr>
        <w:t xml:space="preserve">. </w:t>
      </w:r>
      <w:r w:rsidR="00391C52">
        <w:rPr>
          <w:bCs/>
        </w:rPr>
        <w:t xml:space="preserve">Adequate adherence is defined as </w:t>
      </w:r>
      <w:r w:rsidR="00391C52" w:rsidRPr="00241EB5">
        <w:rPr>
          <w:bCs/>
        </w:rPr>
        <w:t xml:space="preserve">having completed </w:t>
      </w:r>
      <w:r w:rsidR="00391C52" w:rsidRPr="00213CE1">
        <w:t>24 weeks (-1/+4 weeks)</w:t>
      </w:r>
      <w:r w:rsidR="00391C52">
        <w:t xml:space="preserve"> of </w:t>
      </w:r>
      <w:r w:rsidR="00391C52" w:rsidRPr="00241EB5">
        <w:rPr>
          <w:bCs/>
        </w:rPr>
        <w:t xml:space="preserve">TB treatment </w:t>
      </w:r>
      <w:r w:rsidR="00391C52" w:rsidRPr="00241EB5">
        <w:rPr>
          <w:bCs/>
          <w:iCs/>
        </w:rPr>
        <w:t>from the start date of treatment</w:t>
      </w:r>
      <w:r w:rsidR="00391C52">
        <w:rPr>
          <w:bCs/>
          <w:iCs/>
        </w:rPr>
        <w:t>.</w:t>
      </w:r>
      <w:r w:rsidR="00391C52" w:rsidRPr="00857778">
        <w:rPr>
          <w:bCs/>
        </w:rPr>
        <w:t xml:space="preserve"> </w:t>
      </w:r>
      <w:r w:rsidR="00857778" w:rsidRPr="00857778">
        <w:rPr>
          <w:bCs/>
        </w:rPr>
        <w:t xml:space="preserve">Response to TB treatment and sputum bacteriologic </w:t>
      </w:r>
      <w:r w:rsidR="003E365B">
        <w:rPr>
          <w:bCs/>
        </w:rPr>
        <w:t xml:space="preserve">culture </w:t>
      </w:r>
      <w:r w:rsidR="00857778" w:rsidRPr="00857778">
        <w:rPr>
          <w:bCs/>
        </w:rPr>
        <w:t xml:space="preserve">conversion will be assessed on two successive occasions </w:t>
      </w:r>
      <w:r w:rsidR="00907E86">
        <w:rPr>
          <w:bCs/>
        </w:rPr>
        <w:t xml:space="preserve">at </w:t>
      </w:r>
      <w:r w:rsidR="00857778" w:rsidRPr="00857778">
        <w:rPr>
          <w:bCs/>
        </w:rPr>
        <w:t xml:space="preserve">least </w:t>
      </w:r>
      <w:r w:rsidR="00C70CEE">
        <w:rPr>
          <w:bCs/>
        </w:rPr>
        <w:t>14</w:t>
      </w:r>
      <w:r w:rsidR="00C70CEE" w:rsidRPr="00857778">
        <w:rPr>
          <w:bCs/>
        </w:rPr>
        <w:t xml:space="preserve"> </w:t>
      </w:r>
      <w:r w:rsidR="00857778" w:rsidRPr="00857778">
        <w:rPr>
          <w:bCs/>
        </w:rPr>
        <w:t xml:space="preserve">days apart, </w:t>
      </w:r>
      <w:r w:rsidR="00562264">
        <w:rPr>
          <w:bCs/>
        </w:rPr>
        <w:t>at approximately 4 and 5 months after starting treatment</w:t>
      </w:r>
      <w:r w:rsidR="003E365B">
        <w:rPr>
          <w:bCs/>
        </w:rPr>
        <w:t xml:space="preserve">. </w:t>
      </w:r>
    </w:p>
    <w:p w14:paraId="5C28BBAD" w14:textId="2AFE4635" w:rsidR="00857778" w:rsidRPr="00AC28D6" w:rsidRDefault="003E365B" w:rsidP="00857778">
      <w:pPr>
        <w:pStyle w:val="BodyText"/>
        <w:rPr>
          <w:b/>
          <w:bCs/>
        </w:rPr>
      </w:pPr>
      <w:r>
        <w:rPr>
          <w:bCs/>
        </w:rPr>
        <w:t>A</w:t>
      </w:r>
      <w:r w:rsidR="00857778" w:rsidRPr="00857778">
        <w:rPr>
          <w:bCs/>
        </w:rPr>
        <w:t xml:space="preserve"> TB symptom questionnaire will be administered by study staff </w:t>
      </w:r>
      <w:r w:rsidR="004C59BD">
        <w:rPr>
          <w:bCs/>
        </w:rPr>
        <w:t>as part of study screening</w:t>
      </w:r>
      <w:r w:rsidR="00612DB9">
        <w:rPr>
          <w:bCs/>
        </w:rPr>
        <w:t xml:space="preserve">, </w:t>
      </w:r>
      <w:r w:rsidR="00857778" w:rsidRPr="00857778">
        <w:rPr>
          <w:bCs/>
        </w:rPr>
        <w:t xml:space="preserve">and </w:t>
      </w:r>
      <w:r w:rsidR="004C59BD">
        <w:rPr>
          <w:bCs/>
        </w:rPr>
        <w:t xml:space="preserve">two consecutive </w:t>
      </w:r>
      <w:r w:rsidR="00857778" w:rsidRPr="00857778">
        <w:rPr>
          <w:bCs/>
        </w:rPr>
        <w:t>sputum sample</w:t>
      </w:r>
      <w:r w:rsidR="00514B2D">
        <w:rPr>
          <w:bCs/>
        </w:rPr>
        <w:t>s</w:t>
      </w:r>
      <w:r w:rsidR="00857778" w:rsidRPr="00857778">
        <w:rPr>
          <w:bCs/>
        </w:rPr>
        <w:t xml:space="preserve"> will </w:t>
      </w:r>
      <w:r w:rsidR="00857778" w:rsidRPr="00D8287D">
        <w:rPr>
          <w:bCs/>
        </w:rPr>
        <w:t xml:space="preserve">be collected for </w:t>
      </w:r>
      <w:r w:rsidRPr="00D8287D">
        <w:rPr>
          <w:bCs/>
        </w:rPr>
        <w:t xml:space="preserve">Xpert MTB/RIF and </w:t>
      </w:r>
      <w:r w:rsidR="00857778" w:rsidRPr="00D8287D">
        <w:rPr>
          <w:bCs/>
        </w:rPr>
        <w:t>MTB liquid culture</w:t>
      </w:r>
      <w:r w:rsidRPr="00D8287D">
        <w:rPr>
          <w:bCs/>
        </w:rPr>
        <w:t xml:space="preserve">. </w:t>
      </w:r>
      <w:r w:rsidRPr="00AC28D6">
        <w:rPr>
          <w:bCs/>
        </w:rPr>
        <w:t xml:space="preserve">Since a </w:t>
      </w:r>
      <w:r w:rsidR="005C2051" w:rsidRPr="00AC28D6">
        <w:rPr>
          <w:bCs/>
        </w:rPr>
        <w:t xml:space="preserve">false </w:t>
      </w:r>
      <w:r w:rsidRPr="00AC28D6">
        <w:rPr>
          <w:bCs/>
        </w:rPr>
        <w:t>positive Xpert MTB/</w:t>
      </w:r>
      <w:r w:rsidR="00612DB9" w:rsidRPr="00AC28D6">
        <w:rPr>
          <w:bCs/>
        </w:rPr>
        <w:t xml:space="preserve">RIF </w:t>
      </w:r>
      <w:r w:rsidRPr="00AC28D6">
        <w:rPr>
          <w:bCs/>
        </w:rPr>
        <w:t xml:space="preserve">may occur </w:t>
      </w:r>
      <w:r w:rsidR="005C2051" w:rsidRPr="00AC28D6">
        <w:rPr>
          <w:bCs/>
        </w:rPr>
        <w:t xml:space="preserve">during treatment </w:t>
      </w:r>
      <w:r w:rsidRPr="00AC28D6">
        <w:rPr>
          <w:bCs/>
        </w:rPr>
        <w:t>due to the p</w:t>
      </w:r>
      <w:r w:rsidR="005C2051" w:rsidRPr="00AC28D6">
        <w:rPr>
          <w:bCs/>
        </w:rPr>
        <w:t xml:space="preserve">resence of non-viable, killed </w:t>
      </w:r>
      <w:r w:rsidRPr="00AC28D6">
        <w:rPr>
          <w:bCs/>
        </w:rPr>
        <w:t xml:space="preserve">bacilli, MGIT culture will </w:t>
      </w:r>
      <w:r w:rsidR="001D0926" w:rsidRPr="00AC28D6">
        <w:rPr>
          <w:bCs/>
        </w:rPr>
        <w:t xml:space="preserve">also </w:t>
      </w:r>
      <w:r w:rsidRPr="00AC28D6">
        <w:rPr>
          <w:bCs/>
        </w:rPr>
        <w:t>be performed</w:t>
      </w:r>
      <w:r w:rsidR="005C2051" w:rsidRPr="00AC28D6">
        <w:rPr>
          <w:bCs/>
        </w:rPr>
        <w:t xml:space="preserve"> </w:t>
      </w:r>
      <w:r w:rsidR="00AC28D6">
        <w:rPr>
          <w:bCs/>
        </w:rPr>
        <w:t>on sputum samples collected at the 1</w:t>
      </w:r>
      <w:r w:rsidR="00AC28D6" w:rsidRPr="000B7056">
        <w:rPr>
          <w:bCs/>
          <w:vertAlign w:val="superscript"/>
        </w:rPr>
        <w:t>st</w:t>
      </w:r>
      <w:r w:rsidR="00AC28D6">
        <w:rPr>
          <w:bCs/>
        </w:rPr>
        <w:t xml:space="preserve"> screening visit (approximately the end of </w:t>
      </w:r>
      <w:r w:rsidR="0007275E" w:rsidRPr="00AC28D6">
        <w:rPr>
          <w:bCs/>
        </w:rPr>
        <w:t xml:space="preserve">month </w:t>
      </w:r>
      <w:r w:rsidR="00562264" w:rsidRPr="00AC28D6">
        <w:rPr>
          <w:bCs/>
        </w:rPr>
        <w:t>4</w:t>
      </w:r>
      <w:r w:rsidR="00AC28D6">
        <w:rPr>
          <w:bCs/>
        </w:rPr>
        <w:t>)</w:t>
      </w:r>
      <w:r w:rsidR="001D0926" w:rsidRPr="00AC28D6">
        <w:rPr>
          <w:bCs/>
        </w:rPr>
        <w:t>,</w:t>
      </w:r>
      <w:r w:rsidR="0007275E" w:rsidRPr="00AC28D6">
        <w:rPr>
          <w:bCs/>
        </w:rPr>
        <w:t xml:space="preserve"> </w:t>
      </w:r>
      <w:r w:rsidR="00AC28D6">
        <w:rPr>
          <w:bCs/>
        </w:rPr>
        <w:t>2</w:t>
      </w:r>
      <w:r w:rsidR="00AC28D6" w:rsidRPr="000B7056">
        <w:rPr>
          <w:bCs/>
          <w:vertAlign w:val="superscript"/>
        </w:rPr>
        <w:t>nd</w:t>
      </w:r>
      <w:r w:rsidR="00AC28D6">
        <w:rPr>
          <w:bCs/>
        </w:rPr>
        <w:t xml:space="preserve"> screening visit (</w:t>
      </w:r>
      <w:r w:rsidR="00F00D86">
        <w:rPr>
          <w:bCs/>
        </w:rPr>
        <w:t>14 to 28 days after 1</w:t>
      </w:r>
      <w:r w:rsidR="00F00D86" w:rsidRPr="000B7056">
        <w:rPr>
          <w:bCs/>
          <w:vertAlign w:val="superscript"/>
        </w:rPr>
        <w:t>st</w:t>
      </w:r>
      <w:r w:rsidR="00F00D86">
        <w:rPr>
          <w:bCs/>
        </w:rPr>
        <w:t xml:space="preserve"> screen</w:t>
      </w:r>
      <w:r w:rsidR="000F3BCD">
        <w:rPr>
          <w:bCs/>
        </w:rPr>
        <w:t>ing</w:t>
      </w:r>
      <w:r w:rsidR="00AC28D6">
        <w:rPr>
          <w:bCs/>
        </w:rPr>
        <w:t>)</w:t>
      </w:r>
      <w:r w:rsidR="005002D9" w:rsidRPr="00AC28D6">
        <w:rPr>
          <w:bCs/>
        </w:rPr>
        <w:t xml:space="preserve"> </w:t>
      </w:r>
      <w:r w:rsidR="001D0926" w:rsidRPr="00AC28D6">
        <w:rPr>
          <w:bCs/>
        </w:rPr>
        <w:t xml:space="preserve">and </w:t>
      </w:r>
      <w:r w:rsidR="00D968FF" w:rsidRPr="000B7056">
        <w:rPr>
          <w:bCs/>
          <w:szCs w:val="22"/>
        </w:rPr>
        <w:t>3</w:t>
      </w:r>
      <w:r w:rsidR="00D968FF" w:rsidRPr="000B7056">
        <w:rPr>
          <w:bCs/>
          <w:szCs w:val="22"/>
          <w:vertAlign w:val="superscript"/>
        </w:rPr>
        <w:t>rd</w:t>
      </w:r>
      <w:r w:rsidR="00D968FF" w:rsidRPr="000B7056">
        <w:rPr>
          <w:bCs/>
          <w:szCs w:val="22"/>
        </w:rPr>
        <w:t xml:space="preserve"> screening visit </w:t>
      </w:r>
      <w:r w:rsidR="00A245A0">
        <w:rPr>
          <w:bCs/>
          <w:szCs w:val="22"/>
        </w:rPr>
        <w:t>at</w:t>
      </w:r>
      <w:r w:rsidR="00D968FF" w:rsidRPr="000B7056">
        <w:rPr>
          <w:bCs/>
          <w:szCs w:val="22"/>
        </w:rPr>
        <w:t xml:space="preserve"> the end of TB treatmen</w:t>
      </w:r>
      <w:r w:rsidR="00D968FF" w:rsidRPr="005069E8">
        <w:rPr>
          <w:bCs/>
          <w:szCs w:val="22"/>
        </w:rPr>
        <w:t>t</w:t>
      </w:r>
      <w:r w:rsidR="0007275E" w:rsidRPr="00AC28D6">
        <w:rPr>
          <w:bCs/>
        </w:rPr>
        <w:t xml:space="preserve">. </w:t>
      </w:r>
      <w:r w:rsidR="00857778" w:rsidRPr="00AC28D6">
        <w:rPr>
          <w:bCs/>
        </w:rPr>
        <w:t xml:space="preserve">Subjects with new or worsening symptoms </w:t>
      </w:r>
      <w:r w:rsidR="004343AB" w:rsidRPr="00AC28D6">
        <w:rPr>
          <w:bCs/>
        </w:rPr>
        <w:t xml:space="preserve">judged </w:t>
      </w:r>
      <w:r w:rsidR="00093584" w:rsidRPr="00AC28D6">
        <w:rPr>
          <w:bCs/>
        </w:rPr>
        <w:t>consistent with TB treatment failure will be excluded.</w:t>
      </w:r>
    </w:p>
    <w:p w14:paraId="3308D690" w14:textId="6D69DC7F" w:rsidR="004343AB" w:rsidRDefault="002E0296" w:rsidP="00857778">
      <w:pPr>
        <w:pStyle w:val="BodyText"/>
        <w:rPr>
          <w:bCs/>
        </w:rPr>
      </w:pPr>
      <w:r w:rsidRPr="00AC28D6">
        <w:rPr>
          <w:bCs/>
        </w:rPr>
        <w:t>B</w:t>
      </w:r>
      <w:r w:rsidR="00857778" w:rsidRPr="00AC28D6">
        <w:rPr>
          <w:bCs/>
        </w:rPr>
        <w:t xml:space="preserve">acteriologic confirmation of cure by negative </w:t>
      </w:r>
      <w:r w:rsidR="0087054A" w:rsidRPr="00AC28D6">
        <w:rPr>
          <w:bCs/>
        </w:rPr>
        <w:t>Xpert MTB/RIF</w:t>
      </w:r>
      <w:r w:rsidR="00E47BD3" w:rsidRPr="00AC28D6">
        <w:rPr>
          <w:bCs/>
        </w:rPr>
        <w:t>,</w:t>
      </w:r>
      <w:r w:rsidR="0087054A" w:rsidRPr="00AC28D6">
        <w:rPr>
          <w:bCs/>
        </w:rPr>
        <w:t xml:space="preserve"> </w:t>
      </w:r>
      <w:r w:rsidR="003E365B" w:rsidRPr="00AC28D6">
        <w:rPr>
          <w:bCs/>
        </w:rPr>
        <w:t xml:space="preserve">or </w:t>
      </w:r>
      <w:r w:rsidR="00E47BD3" w:rsidRPr="00AC28D6">
        <w:rPr>
          <w:bCs/>
        </w:rPr>
        <w:t>if</w:t>
      </w:r>
      <w:r w:rsidR="00E47BD3" w:rsidRPr="00D8287D">
        <w:rPr>
          <w:bCs/>
        </w:rPr>
        <w:t xml:space="preserve"> Xpert MTB/RIF positive, </w:t>
      </w:r>
      <w:r w:rsidR="00857778" w:rsidRPr="00D8287D">
        <w:rPr>
          <w:bCs/>
        </w:rPr>
        <w:t xml:space="preserve">MTB liquid culture on two successive occasions at least </w:t>
      </w:r>
      <w:r w:rsidR="00AC28D6">
        <w:rPr>
          <w:bCs/>
        </w:rPr>
        <w:t>14</w:t>
      </w:r>
      <w:r w:rsidR="00AC28D6" w:rsidRPr="00D8287D">
        <w:rPr>
          <w:bCs/>
        </w:rPr>
        <w:t xml:space="preserve"> </w:t>
      </w:r>
      <w:r w:rsidR="00857778" w:rsidRPr="00D8287D">
        <w:rPr>
          <w:bCs/>
        </w:rPr>
        <w:t>days apart,</w:t>
      </w:r>
      <w:r w:rsidR="0021094B">
        <w:rPr>
          <w:bCs/>
        </w:rPr>
        <w:t xml:space="preserve"> </w:t>
      </w:r>
      <w:r w:rsidR="000E2CD3">
        <w:rPr>
          <w:bCs/>
        </w:rPr>
        <w:t xml:space="preserve">at approximately </w:t>
      </w:r>
      <w:r w:rsidR="00AC28D6">
        <w:rPr>
          <w:bCs/>
        </w:rPr>
        <w:t xml:space="preserve">the end of </w:t>
      </w:r>
      <w:r w:rsidR="000E2CD3">
        <w:rPr>
          <w:bCs/>
        </w:rPr>
        <w:t xml:space="preserve">4 </w:t>
      </w:r>
      <w:r w:rsidR="00AC28D6">
        <w:rPr>
          <w:bCs/>
        </w:rPr>
        <w:t xml:space="preserve">months </w:t>
      </w:r>
      <w:r w:rsidR="00776000">
        <w:rPr>
          <w:bCs/>
        </w:rPr>
        <w:t>after starting</w:t>
      </w:r>
      <w:r w:rsidR="00AC28D6">
        <w:rPr>
          <w:bCs/>
        </w:rPr>
        <w:t xml:space="preserve"> TB treatment (16 weeks +/-1 week) </w:t>
      </w:r>
      <w:r w:rsidR="000E2CD3">
        <w:rPr>
          <w:bCs/>
        </w:rPr>
        <w:t xml:space="preserve">and </w:t>
      </w:r>
      <w:r w:rsidR="00F00D86">
        <w:rPr>
          <w:bCs/>
        </w:rPr>
        <w:t>14 to 28 days</w:t>
      </w:r>
      <w:r w:rsidR="00AC28D6">
        <w:rPr>
          <w:bCs/>
        </w:rPr>
        <w:t xml:space="preserve"> </w:t>
      </w:r>
      <w:r w:rsidR="00776000">
        <w:rPr>
          <w:bCs/>
        </w:rPr>
        <w:t>later</w:t>
      </w:r>
      <w:r w:rsidR="000E2CD3">
        <w:rPr>
          <w:bCs/>
        </w:rPr>
        <w:t xml:space="preserve">, </w:t>
      </w:r>
      <w:r>
        <w:rPr>
          <w:bCs/>
        </w:rPr>
        <w:t xml:space="preserve">will be required for </w:t>
      </w:r>
      <w:r w:rsidR="00857778" w:rsidRPr="00D8287D">
        <w:rPr>
          <w:bCs/>
        </w:rPr>
        <w:t xml:space="preserve">eligible subjects </w:t>
      </w:r>
      <w:r>
        <w:rPr>
          <w:bCs/>
        </w:rPr>
        <w:t>to</w:t>
      </w:r>
      <w:r w:rsidR="00857778" w:rsidRPr="00D8287D">
        <w:rPr>
          <w:bCs/>
        </w:rPr>
        <w:t xml:space="preserve"> be randomized to receive </w:t>
      </w:r>
      <w:r w:rsidR="0034434E">
        <w:rPr>
          <w:bCs/>
        </w:rPr>
        <w:t xml:space="preserve">the first </w:t>
      </w:r>
      <w:r w:rsidR="00A47EEF">
        <w:rPr>
          <w:bCs/>
        </w:rPr>
        <w:t xml:space="preserve">study </w:t>
      </w:r>
      <w:r w:rsidR="002C59ED">
        <w:rPr>
          <w:bCs/>
        </w:rPr>
        <w:t>injection</w:t>
      </w:r>
      <w:r w:rsidR="00A47EEF">
        <w:rPr>
          <w:bCs/>
        </w:rPr>
        <w:t xml:space="preserve"> with </w:t>
      </w:r>
      <w:r w:rsidR="00857778" w:rsidRPr="00D8287D">
        <w:rPr>
          <w:bCs/>
        </w:rPr>
        <w:t xml:space="preserve">either </w:t>
      </w:r>
      <w:r w:rsidR="00CF550E">
        <w:t>ID93 + GLA-SE vaccine</w:t>
      </w:r>
      <w:r w:rsidR="00857778" w:rsidRPr="00D8287D">
        <w:t xml:space="preserve"> or </w:t>
      </w:r>
      <w:r w:rsidR="00857778" w:rsidRPr="00D8287D">
        <w:rPr>
          <w:bCs/>
        </w:rPr>
        <w:t>saline placebo</w:t>
      </w:r>
      <w:r w:rsidR="00857778" w:rsidRPr="00D8287D">
        <w:t>.</w:t>
      </w:r>
      <w:r w:rsidR="00857778" w:rsidRPr="00857778">
        <w:t xml:space="preserve"> </w:t>
      </w:r>
      <w:r w:rsidR="00521AEB">
        <w:t xml:space="preserve">All subjects must </w:t>
      </w:r>
      <w:r w:rsidR="006B049F">
        <w:t>also</w:t>
      </w:r>
      <w:r w:rsidR="00521AEB">
        <w:t xml:space="preserve"> complete t</w:t>
      </w:r>
      <w:r w:rsidR="00521AEB" w:rsidRPr="00521AEB">
        <w:rPr>
          <w:bCs/>
        </w:rPr>
        <w:t>he full course of scheduled TB treatment as per the prevailing current South African National Tuberculosis Management Guidelines (2009 Guideline: 2 months isoniazid, rifampicin, pyrazinamide, and ethambutol [intensive phase], followed by 4 mon</w:t>
      </w:r>
      <w:r w:rsidR="006B049F">
        <w:rPr>
          <w:bCs/>
        </w:rPr>
        <w:t>ths isoniazid and rifampicin)</w:t>
      </w:r>
      <w:r w:rsidR="004343AB">
        <w:rPr>
          <w:bCs/>
        </w:rPr>
        <w:t>.</w:t>
      </w:r>
    </w:p>
    <w:p w14:paraId="21B4C4AD" w14:textId="5C9DA819" w:rsidR="00857778" w:rsidRPr="00857778" w:rsidRDefault="004343AB" w:rsidP="00857778">
      <w:pPr>
        <w:pStyle w:val="BodyText"/>
      </w:pPr>
      <w:r w:rsidRPr="000B7056">
        <w:rPr>
          <w:bCs/>
        </w:rPr>
        <w:t xml:space="preserve">Subjects must receive </w:t>
      </w:r>
      <w:r w:rsidR="002C59ED" w:rsidRPr="000B7056">
        <w:rPr>
          <w:bCs/>
        </w:rPr>
        <w:t xml:space="preserve">their first </w:t>
      </w:r>
      <w:r w:rsidRPr="000B7056">
        <w:rPr>
          <w:bCs/>
        </w:rPr>
        <w:t xml:space="preserve">study </w:t>
      </w:r>
      <w:r w:rsidR="002C59ED" w:rsidRPr="000B7056">
        <w:rPr>
          <w:bCs/>
        </w:rPr>
        <w:t>injection</w:t>
      </w:r>
      <w:r w:rsidRPr="000B7056">
        <w:rPr>
          <w:bCs/>
        </w:rPr>
        <w:t xml:space="preserve"> within 28 days after the</w:t>
      </w:r>
      <w:r w:rsidR="00AC28D6">
        <w:rPr>
          <w:bCs/>
        </w:rPr>
        <w:t>ir</w:t>
      </w:r>
      <w:r w:rsidRPr="000B7056">
        <w:rPr>
          <w:bCs/>
        </w:rPr>
        <w:t xml:space="preserve"> last day of TB treatment.</w:t>
      </w:r>
      <w:r w:rsidRPr="00AC28D6">
        <w:rPr>
          <w:bCs/>
        </w:rPr>
        <w:t xml:space="preserve"> </w:t>
      </w:r>
      <w:r w:rsidR="006B049F" w:rsidRPr="00AC28D6">
        <w:rPr>
          <w:bCs/>
        </w:rPr>
        <w:t>A</w:t>
      </w:r>
      <w:r w:rsidR="00521AEB" w:rsidRPr="00AC28D6">
        <w:rPr>
          <w:bCs/>
        </w:rPr>
        <w:t xml:space="preserve">n end of treatment sputum sample will be collected </w:t>
      </w:r>
      <w:r w:rsidR="00FF322D" w:rsidRPr="00AC28D6">
        <w:rPr>
          <w:bCs/>
        </w:rPr>
        <w:t xml:space="preserve">at </w:t>
      </w:r>
      <w:r w:rsidR="00412F9F">
        <w:rPr>
          <w:bCs/>
        </w:rPr>
        <w:t xml:space="preserve">either </w:t>
      </w:r>
      <w:r w:rsidR="00FF322D" w:rsidRPr="00AC28D6">
        <w:rPr>
          <w:bCs/>
        </w:rPr>
        <w:t>the 3</w:t>
      </w:r>
      <w:r w:rsidR="00FF322D" w:rsidRPr="000B7056">
        <w:rPr>
          <w:bCs/>
          <w:vertAlign w:val="superscript"/>
        </w:rPr>
        <w:t>rd</w:t>
      </w:r>
      <w:r w:rsidR="00FF322D" w:rsidRPr="00AC28D6">
        <w:rPr>
          <w:bCs/>
        </w:rPr>
        <w:t xml:space="preserve"> screening visit</w:t>
      </w:r>
      <w:r w:rsidR="00412F9F">
        <w:rPr>
          <w:bCs/>
        </w:rPr>
        <w:t xml:space="preserve">, or on Day 0 prior to administration of study injection, </w:t>
      </w:r>
      <w:r w:rsidR="00521AEB" w:rsidRPr="00AC28D6">
        <w:rPr>
          <w:bCs/>
        </w:rPr>
        <w:t xml:space="preserve">for </w:t>
      </w:r>
      <w:r w:rsidR="001D0926" w:rsidRPr="00AC28D6">
        <w:rPr>
          <w:bCs/>
        </w:rPr>
        <w:t xml:space="preserve">both Xpert MTB/RIF and MGIT </w:t>
      </w:r>
      <w:r w:rsidR="00521AEB" w:rsidRPr="00AC28D6">
        <w:rPr>
          <w:bCs/>
        </w:rPr>
        <w:t>MTB liquid culture.</w:t>
      </w:r>
      <w:r w:rsidR="005F1662" w:rsidRPr="00412F9F">
        <w:rPr>
          <w:bCs/>
        </w:rPr>
        <w:t xml:space="preserve"> Development of a positive MTB liquid culture at</w:t>
      </w:r>
      <w:r w:rsidR="000B09F8">
        <w:rPr>
          <w:bCs/>
        </w:rPr>
        <w:t xml:space="preserve"> </w:t>
      </w:r>
      <w:r w:rsidR="005F1662" w:rsidRPr="00412F9F">
        <w:rPr>
          <w:bCs/>
        </w:rPr>
        <w:t>end of treatment</w:t>
      </w:r>
      <w:r w:rsidRPr="00412F9F">
        <w:rPr>
          <w:bCs/>
        </w:rPr>
        <w:t>, despite</w:t>
      </w:r>
      <w:r>
        <w:rPr>
          <w:bCs/>
        </w:rPr>
        <w:t xml:space="preserve"> two prior negative cultures,</w:t>
      </w:r>
      <w:r w:rsidR="005F1662">
        <w:rPr>
          <w:bCs/>
        </w:rPr>
        <w:t xml:space="preserve"> will constitute a late exclusion criterion and such subjects will be excluded from receiving further study </w:t>
      </w:r>
      <w:r w:rsidR="002C59ED">
        <w:rPr>
          <w:bCs/>
        </w:rPr>
        <w:t>injection</w:t>
      </w:r>
      <w:r w:rsidR="005F1662">
        <w:rPr>
          <w:bCs/>
        </w:rPr>
        <w:t>s</w:t>
      </w:r>
      <w:r w:rsidR="00187FCE">
        <w:rPr>
          <w:bCs/>
        </w:rPr>
        <w:t xml:space="preserve"> but remain in follow-up for safety evaluation</w:t>
      </w:r>
      <w:r w:rsidR="001C0A9F">
        <w:rPr>
          <w:bCs/>
        </w:rPr>
        <w:t xml:space="preserve"> through Day 168</w:t>
      </w:r>
      <w:r w:rsidR="005F1662">
        <w:rPr>
          <w:bCs/>
        </w:rPr>
        <w:t>.</w:t>
      </w:r>
    </w:p>
    <w:p w14:paraId="324450C0" w14:textId="141F84C9" w:rsidR="009945B4" w:rsidRDefault="00EF4B55" w:rsidP="00857778">
      <w:pPr>
        <w:pStyle w:val="BodyText"/>
        <w:rPr>
          <w:bCs/>
        </w:rPr>
      </w:pPr>
      <w:r>
        <w:rPr>
          <w:i/>
        </w:rPr>
        <w:t>Study Inject</w:t>
      </w:r>
      <w:r w:rsidRPr="00B23393">
        <w:rPr>
          <w:i/>
        </w:rPr>
        <w:t xml:space="preserve">ion </w:t>
      </w:r>
      <w:r w:rsidR="00857778" w:rsidRPr="00B23393">
        <w:rPr>
          <w:i/>
        </w:rPr>
        <w:t>Phase:</w:t>
      </w:r>
      <w:r w:rsidR="00B23393" w:rsidRPr="003F0938">
        <w:t xml:space="preserve"> </w:t>
      </w:r>
      <w:r w:rsidR="00857778" w:rsidRPr="00857778">
        <w:rPr>
          <w:bCs/>
        </w:rPr>
        <w:t xml:space="preserve">Subjects in all treatment groups will receive a total of </w:t>
      </w:r>
      <w:r w:rsidR="00625505">
        <w:rPr>
          <w:bCs/>
        </w:rPr>
        <w:t xml:space="preserve">either </w:t>
      </w:r>
      <w:r w:rsidR="00857778" w:rsidRPr="00857778">
        <w:rPr>
          <w:bCs/>
        </w:rPr>
        <w:t xml:space="preserve">two </w:t>
      </w:r>
      <w:r w:rsidR="00625505">
        <w:rPr>
          <w:bCs/>
        </w:rPr>
        <w:t xml:space="preserve">or three </w:t>
      </w:r>
      <w:r w:rsidR="00857778" w:rsidRPr="00857778">
        <w:rPr>
          <w:bCs/>
        </w:rPr>
        <w:t xml:space="preserve">intramuscular study injections, one injection on each of Days 0 and </w:t>
      </w:r>
      <w:r w:rsidR="005E6C23">
        <w:rPr>
          <w:bCs/>
        </w:rPr>
        <w:t>56</w:t>
      </w:r>
      <w:r w:rsidR="00625505">
        <w:rPr>
          <w:bCs/>
        </w:rPr>
        <w:t xml:space="preserve"> </w:t>
      </w:r>
      <w:r w:rsidR="00625505">
        <w:t>or Days 0, 28 and 56</w:t>
      </w:r>
      <w:r w:rsidR="00857778" w:rsidRPr="00857778">
        <w:rPr>
          <w:bCs/>
        </w:rPr>
        <w:t>.</w:t>
      </w:r>
    </w:p>
    <w:p w14:paraId="5C2CDE31" w14:textId="054406DF" w:rsidR="00857778" w:rsidRPr="00B23393" w:rsidRDefault="009945B4" w:rsidP="00857778">
      <w:pPr>
        <w:pStyle w:val="BodyText"/>
        <w:rPr>
          <w:b/>
        </w:rPr>
      </w:pPr>
      <w:r w:rsidRPr="00D8287D">
        <w:rPr>
          <w:bCs/>
          <w:i/>
        </w:rPr>
        <w:t>Follow-up Phase</w:t>
      </w:r>
      <w:r>
        <w:rPr>
          <w:bCs/>
        </w:rPr>
        <w:t xml:space="preserve">: </w:t>
      </w:r>
      <w:r w:rsidR="00CF550E">
        <w:rPr>
          <w:bCs/>
        </w:rPr>
        <w:t>P</w:t>
      </w:r>
      <w:r>
        <w:rPr>
          <w:bCs/>
        </w:rPr>
        <w:t>ost study injection phase all subjects will continue to be evaluated for recurrent TB disease</w:t>
      </w:r>
      <w:r w:rsidR="004604A4">
        <w:rPr>
          <w:bCs/>
        </w:rPr>
        <w:t xml:space="preserve"> as a safety endpoint</w:t>
      </w:r>
      <w:r>
        <w:rPr>
          <w:bCs/>
        </w:rPr>
        <w:t>.</w:t>
      </w:r>
    </w:p>
    <w:p w14:paraId="358D2817" w14:textId="12621872" w:rsidR="00D97233" w:rsidRPr="00857778" w:rsidRDefault="00A21D53" w:rsidP="00D97233">
      <w:pPr>
        <w:pStyle w:val="BodyText"/>
        <w:rPr>
          <w:bCs/>
        </w:rPr>
      </w:pPr>
      <w:r>
        <w:t xml:space="preserve">A total of 60 subjects </w:t>
      </w:r>
      <w:r>
        <w:rPr>
          <w:bCs/>
        </w:rPr>
        <w:t>will be randomized in an overall ratio of 4:1</w:t>
      </w:r>
      <w:r w:rsidRPr="00857778">
        <w:rPr>
          <w:bCs/>
        </w:rPr>
        <w:t xml:space="preserve"> to receive vaccine or saline placebo</w:t>
      </w:r>
      <w:r>
        <w:rPr>
          <w:bCs/>
        </w:rPr>
        <w:t xml:space="preserve">. </w:t>
      </w:r>
      <w:r w:rsidRPr="00D8287D">
        <w:t xml:space="preserve"> </w:t>
      </w:r>
      <w:r w:rsidR="004C59BD" w:rsidRPr="00D8287D">
        <w:t>A total of</w:t>
      </w:r>
      <w:r w:rsidR="00857778" w:rsidRPr="004C59BD">
        <w:rPr>
          <w:bCs/>
        </w:rPr>
        <w:t xml:space="preserve"> 2</w:t>
      </w:r>
      <w:r w:rsidR="00857778" w:rsidRPr="00857778">
        <w:rPr>
          <w:bCs/>
        </w:rPr>
        <w:t>0</w:t>
      </w:r>
      <w:r w:rsidR="00CC5724">
        <w:rPr>
          <w:bCs/>
        </w:rPr>
        <w:t>, 12 and 28</w:t>
      </w:r>
      <w:r w:rsidR="00857778" w:rsidRPr="00857778">
        <w:rPr>
          <w:bCs/>
        </w:rPr>
        <w:t xml:space="preserve"> subjects</w:t>
      </w:r>
      <w:r w:rsidR="004C59BD">
        <w:rPr>
          <w:bCs/>
        </w:rPr>
        <w:t xml:space="preserve"> </w:t>
      </w:r>
      <w:r w:rsidR="00857778" w:rsidRPr="00857778">
        <w:rPr>
          <w:bCs/>
        </w:rPr>
        <w:t>in each of 3 sequential dose-escalation cohorts</w:t>
      </w:r>
      <w:r w:rsidR="00CC5724">
        <w:rPr>
          <w:bCs/>
        </w:rPr>
        <w:t>, respectively,</w:t>
      </w:r>
      <w:r w:rsidR="00857778" w:rsidRPr="00857778">
        <w:rPr>
          <w:bCs/>
        </w:rPr>
        <w:t xml:space="preserve"> </w:t>
      </w:r>
      <w:r w:rsidR="004C59BD">
        <w:rPr>
          <w:bCs/>
        </w:rPr>
        <w:t xml:space="preserve">will be randomized </w:t>
      </w:r>
      <w:r w:rsidR="00857778" w:rsidRPr="00857778">
        <w:rPr>
          <w:bCs/>
        </w:rPr>
        <w:t>3:1 to receive vaccine or saline placebo</w:t>
      </w:r>
      <w:r w:rsidR="00436DB4">
        <w:rPr>
          <w:bCs/>
        </w:rPr>
        <w:t xml:space="preserve"> on Days 0 and 56</w:t>
      </w:r>
      <w:r w:rsidR="00436DB4" w:rsidRPr="00857778">
        <w:rPr>
          <w:bCs/>
        </w:rPr>
        <w:t xml:space="preserve"> </w:t>
      </w:r>
      <w:r w:rsidR="00857778" w:rsidRPr="00857778">
        <w:rPr>
          <w:bCs/>
        </w:rPr>
        <w:t xml:space="preserve"> </w:t>
      </w:r>
      <w:r w:rsidR="00A70679">
        <w:rPr>
          <w:bCs/>
        </w:rPr>
        <w:t xml:space="preserve">(Cohorts 1 and 2) </w:t>
      </w:r>
      <w:r w:rsidR="00374F06">
        <w:rPr>
          <w:bCs/>
        </w:rPr>
        <w:t xml:space="preserve">and </w:t>
      </w:r>
      <w:r w:rsidR="005A1AEE">
        <w:rPr>
          <w:bCs/>
        </w:rPr>
        <w:t xml:space="preserve">3:3:1 </w:t>
      </w:r>
      <w:r w:rsidR="00A70679" w:rsidRPr="00857778">
        <w:rPr>
          <w:bCs/>
        </w:rPr>
        <w:t>to receive vaccine</w:t>
      </w:r>
      <w:r w:rsidR="00A70679">
        <w:rPr>
          <w:bCs/>
        </w:rPr>
        <w:t xml:space="preserve"> on Days 0 and 56</w:t>
      </w:r>
      <w:r w:rsidR="00374F06">
        <w:rPr>
          <w:bCs/>
        </w:rPr>
        <w:t xml:space="preserve"> (with a saline injection at Day 28 to preserve blinding)</w:t>
      </w:r>
      <w:r w:rsidR="00436DB4">
        <w:rPr>
          <w:bCs/>
        </w:rPr>
        <w:t xml:space="preserve">, </w:t>
      </w:r>
      <w:r w:rsidR="006C2C5B" w:rsidRPr="00857778">
        <w:rPr>
          <w:bCs/>
        </w:rPr>
        <w:t>vaccine</w:t>
      </w:r>
      <w:r w:rsidR="006C2C5B">
        <w:rPr>
          <w:bCs/>
        </w:rPr>
        <w:t xml:space="preserve"> on </w:t>
      </w:r>
      <w:r w:rsidR="00436DB4">
        <w:rPr>
          <w:bCs/>
        </w:rPr>
        <w:t>Days 0, 28 and 56</w:t>
      </w:r>
      <w:r w:rsidR="00A70679" w:rsidRPr="00857778">
        <w:rPr>
          <w:bCs/>
        </w:rPr>
        <w:t xml:space="preserve"> or saline placebo </w:t>
      </w:r>
      <w:r w:rsidR="00857778" w:rsidRPr="00857778">
        <w:rPr>
          <w:bCs/>
        </w:rPr>
        <w:t xml:space="preserve">with escalating vaccine dose as follows: 2 µg ID93 + 2 µg GLA-SE (Cohort 1), 10 µg ID93 + 2 µg GLA-SE (Cohort 2), and </w:t>
      </w:r>
      <w:r w:rsidR="00DC395B">
        <w:rPr>
          <w:bCs/>
        </w:rPr>
        <w:t>2</w:t>
      </w:r>
      <w:r w:rsidR="00DC395B" w:rsidRPr="00857778">
        <w:rPr>
          <w:bCs/>
        </w:rPr>
        <w:t xml:space="preserve"> </w:t>
      </w:r>
      <w:r w:rsidR="00857778" w:rsidRPr="00857778">
        <w:rPr>
          <w:bCs/>
        </w:rPr>
        <w:t>µg ID93 + 5 µg GLA-SE (Cohort 3)</w:t>
      </w:r>
      <w:r w:rsidR="00176FED">
        <w:rPr>
          <w:bCs/>
        </w:rPr>
        <w:t>, s</w:t>
      </w:r>
      <w:r w:rsidR="00176FED" w:rsidRPr="003F0938">
        <w:rPr>
          <w:bCs/>
        </w:rPr>
        <w:t xml:space="preserve">ee </w:t>
      </w:r>
      <w:r w:rsidR="00176FED" w:rsidRPr="0040275E">
        <w:rPr>
          <w:bCs/>
          <w:color w:val="0000FF"/>
        </w:rPr>
        <w:fldChar w:fldCharType="begin"/>
      </w:r>
      <w:r w:rsidR="00176FED" w:rsidRPr="0040275E">
        <w:rPr>
          <w:bCs/>
          <w:color w:val="0000FF"/>
        </w:rPr>
        <w:instrText xml:space="preserve"> REF _Ref389060739 \h  \* MERGEFORMAT </w:instrText>
      </w:r>
      <w:r w:rsidR="00176FED" w:rsidRPr="0040275E">
        <w:rPr>
          <w:bCs/>
          <w:color w:val="0000FF"/>
        </w:rPr>
      </w:r>
      <w:r w:rsidR="00176FED" w:rsidRPr="0040275E">
        <w:rPr>
          <w:bCs/>
          <w:color w:val="0000FF"/>
        </w:rPr>
        <w:fldChar w:fldCharType="separate"/>
      </w:r>
      <w:r w:rsidR="00024E24" w:rsidRPr="00024E24">
        <w:rPr>
          <w:bCs/>
          <w:color w:val="0000FF"/>
        </w:rPr>
        <w:t>Table 9</w:t>
      </w:r>
      <w:r w:rsidR="00176FED" w:rsidRPr="0040275E">
        <w:rPr>
          <w:bCs/>
          <w:color w:val="0000FF"/>
        </w:rPr>
        <w:fldChar w:fldCharType="end"/>
      </w:r>
      <w:r w:rsidR="00857778" w:rsidRPr="003F0938">
        <w:rPr>
          <w:bCs/>
        </w:rPr>
        <w:t xml:space="preserve">. </w:t>
      </w:r>
      <w:r w:rsidR="00EF4B55" w:rsidRPr="003F0938">
        <w:rPr>
          <w:bCs/>
        </w:rPr>
        <w:t>Sa</w:t>
      </w:r>
      <w:r w:rsidR="00EF4B55" w:rsidRPr="00EF4B55">
        <w:rPr>
          <w:bCs/>
        </w:rPr>
        <w:t xml:space="preserve">fety at the </w:t>
      </w:r>
      <w:r w:rsidR="00EF4B55">
        <w:rPr>
          <w:bCs/>
        </w:rPr>
        <w:t>lower</w:t>
      </w:r>
      <w:r w:rsidR="00EF4B55" w:rsidRPr="00EF4B55">
        <w:rPr>
          <w:bCs/>
        </w:rPr>
        <w:t xml:space="preserve"> dose</w:t>
      </w:r>
      <w:r w:rsidR="00EF4B55">
        <w:rPr>
          <w:bCs/>
        </w:rPr>
        <w:t>s</w:t>
      </w:r>
      <w:r w:rsidR="00EF4B55" w:rsidRPr="00EF4B55">
        <w:rPr>
          <w:bCs/>
        </w:rPr>
        <w:t xml:space="preserve"> must be demonstrated prior to dose-escalation </w:t>
      </w:r>
      <w:r w:rsidR="00EF4B55">
        <w:rPr>
          <w:bCs/>
        </w:rPr>
        <w:t>to the next cohort</w:t>
      </w:r>
      <w:r w:rsidR="00EF4B55" w:rsidRPr="00EF4B55">
        <w:rPr>
          <w:bCs/>
        </w:rPr>
        <w:t>.</w:t>
      </w:r>
      <w:r w:rsidR="00EF4B55" w:rsidRPr="00EF4B55">
        <w:rPr>
          <w:rFonts w:ascii="Times New Roman" w:hAnsi="Times New Roman"/>
          <w:sz w:val="24"/>
          <w:szCs w:val="24"/>
        </w:rPr>
        <w:t xml:space="preserve"> </w:t>
      </w:r>
      <w:r w:rsidR="00021F85">
        <w:rPr>
          <w:bCs/>
        </w:rPr>
        <w:t>If</w:t>
      </w:r>
      <w:r w:rsidR="00021F85" w:rsidRPr="00EF4B55">
        <w:rPr>
          <w:bCs/>
        </w:rPr>
        <w:t xml:space="preserve"> no stopping rules are observed </w:t>
      </w:r>
      <w:r w:rsidR="009A1AA3">
        <w:rPr>
          <w:bCs/>
        </w:rPr>
        <w:t xml:space="preserve">following injection </w:t>
      </w:r>
      <w:r w:rsidR="00021F85" w:rsidRPr="00EF4B55">
        <w:rPr>
          <w:bCs/>
        </w:rPr>
        <w:t xml:space="preserve">at </w:t>
      </w:r>
      <w:r w:rsidR="009A1AA3">
        <w:rPr>
          <w:bCs/>
        </w:rPr>
        <w:t>a</w:t>
      </w:r>
      <w:r w:rsidR="00021F85" w:rsidRPr="00EF4B55">
        <w:rPr>
          <w:bCs/>
        </w:rPr>
        <w:t xml:space="preserve"> lower dose</w:t>
      </w:r>
      <w:r w:rsidR="00021F85">
        <w:rPr>
          <w:bCs/>
        </w:rPr>
        <w:t xml:space="preserve">, </w:t>
      </w:r>
      <w:r w:rsidR="009A1AA3">
        <w:rPr>
          <w:bCs/>
        </w:rPr>
        <w:t xml:space="preserve">written </w:t>
      </w:r>
      <w:r w:rsidR="00EF4B55">
        <w:rPr>
          <w:bCs/>
        </w:rPr>
        <w:t xml:space="preserve">permission </w:t>
      </w:r>
      <w:r w:rsidR="00021F85">
        <w:rPr>
          <w:bCs/>
        </w:rPr>
        <w:t xml:space="preserve">to proceed to the next cohort level will be provided by the </w:t>
      </w:r>
      <w:r w:rsidR="009A1AA3">
        <w:rPr>
          <w:bCs/>
        </w:rPr>
        <w:t>local Medical Monitor</w:t>
      </w:r>
      <w:r w:rsidR="005C070C">
        <w:rPr>
          <w:bCs/>
        </w:rPr>
        <w:t xml:space="preserve"> (LMM) </w:t>
      </w:r>
      <w:r w:rsidR="00021F85">
        <w:rPr>
          <w:bCs/>
        </w:rPr>
        <w:t xml:space="preserve">before proceeding to </w:t>
      </w:r>
      <w:r w:rsidR="009A1AA3">
        <w:rPr>
          <w:bCs/>
        </w:rPr>
        <w:t xml:space="preserve">randomization of </w:t>
      </w:r>
      <w:r w:rsidR="00021F85">
        <w:rPr>
          <w:bCs/>
        </w:rPr>
        <w:t xml:space="preserve">Cohort 2 and Cohort 3. </w:t>
      </w:r>
    </w:p>
    <w:p w14:paraId="16BDE554" w14:textId="02A1A7EA" w:rsidR="00857778" w:rsidRPr="00857778" w:rsidRDefault="00857778" w:rsidP="00857778">
      <w:pPr>
        <w:pStyle w:val="BodyText"/>
        <w:rPr>
          <w:bCs/>
        </w:rPr>
      </w:pPr>
      <w:r w:rsidRPr="00857778">
        <w:rPr>
          <w:bCs/>
        </w:rPr>
        <w:t>To ensure subj</w:t>
      </w:r>
      <w:r w:rsidR="0087054A">
        <w:rPr>
          <w:bCs/>
        </w:rPr>
        <w:t>ect safety prior to increasing</w:t>
      </w:r>
      <w:r w:rsidRPr="00857778">
        <w:rPr>
          <w:bCs/>
        </w:rPr>
        <w:t xml:space="preserve"> the </w:t>
      </w:r>
      <w:r w:rsidRPr="00857778">
        <w:rPr>
          <w:bCs/>
          <w:i/>
        </w:rPr>
        <w:t>rate of randomization</w:t>
      </w:r>
      <w:r w:rsidRPr="00857778">
        <w:rPr>
          <w:bCs/>
        </w:rPr>
        <w:t>, no more than one subject in Cohort 1 will be randomized and dosed per day (see Rules for Suspension).</w:t>
      </w:r>
    </w:p>
    <w:p w14:paraId="0E137D78" w14:textId="16C852E5" w:rsidR="00857778" w:rsidRPr="00857778" w:rsidRDefault="00857778" w:rsidP="00857778">
      <w:pPr>
        <w:pStyle w:val="BodyText"/>
        <w:rPr>
          <w:bCs/>
        </w:rPr>
      </w:pPr>
      <w:r w:rsidRPr="00857778">
        <w:rPr>
          <w:bCs/>
        </w:rPr>
        <w:t xml:space="preserve">To ensure subject safety prior to </w:t>
      </w:r>
      <w:r w:rsidRPr="00857778">
        <w:rPr>
          <w:bCs/>
          <w:i/>
        </w:rPr>
        <w:t>dose escalation</w:t>
      </w:r>
      <w:r w:rsidRPr="00857778">
        <w:rPr>
          <w:bCs/>
        </w:rPr>
        <w:t xml:space="preserve">, </w:t>
      </w:r>
      <w:r w:rsidR="0087054A">
        <w:rPr>
          <w:bCs/>
        </w:rPr>
        <w:t xml:space="preserve">the </w:t>
      </w:r>
      <w:r w:rsidRPr="00857778">
        <w:rPr>
          <w:bCs/>
        </w:rPr>
        <w:t xml:space="preserve">next Cohort </w:t>
      </w:r>
      <w:r w:rsidR="0087054A">
        <w:rPr>
          <w:bCs/>
        </w:rPr>
        <w:t xml:space="preserve">will not be randomized and injected with a higher dose </w:t>
      </w:r>
      <w:r w:rsidR="009A1AA3">
        <w:rPr>
          <w:bCs/>
        </w:rPr>
        <w:t xml:space="preserve">if a </w:t>
      </w:r>
      <w:r w:rsidR="0087054A" w:rsidRPr="00857778">
        <w:rPr>
          <w:bCs/>
        </w:rPr>
        <w:t>significant safety signal has be</w:t>
      </w:r>
      <w:r w:rsidR="0087054A">
        <w:rPr>
          <w:bCs/>
        </w:rPr>
        <w:t xml:space="preserve">en observed at </w:t>
      </w:r>
      <w:r w:rsidR="00D97233">
        <w:rPr>
          <w:bCs/>
        </w:rPr>
        <w:t>a</w:t>
      </w:r>
      <w:r w:rsidR="0087054A">
        <w:rPr>
          <w:bCs/>
        </w:rPr>
        <w:t xml:space="preserve"> lower dose</w:t>
      </w:r>
      <w:r w:rsidR="0087054A" w:rsidRPr="00857778">
        <w:rPr>
          <w:bCs/>
        </w:rPr>
        <w:t xml:space="preserve"> (see Rules for Suspension).</w:t>
      </w:r>
    </w:p>
    <w:p w14:paraId="1CC10FAE" w14:textId="305A7C88" w:rsidR="00857778" w:rsidRPr="00857778" w:rsidRDefault="00857778" w:rsidP="00857778">
      <w:pPr>
        <w:pStyle w:val="BodyText"/>
        <w:rPr>
          <w:bCs/>
        </w:rPr>
      </w:pPr>
      <w:r w:rsidRPr="00857778">
        <w:rPr>
          <w:bCs/>
        </w:rPr>
        <w:t xml:space="preserve">To ensure subject safety prior to </w:t>
      </w:r>
      <w:r w:rsidRPr="007C0DD0">
        <w:rPr>
          <w:bCs/>
          <w:i/>
        </w:rPr>
        <w:t>administering a 2</w:t>
      </w:r>
      <w:r w:rsidRPr="007C0DD0">
        <w:rPr>
          <w:bCs/>
          <w:i/>
          <w:vertAlign w:val="superscript"/>
        </w:rPr>
        <w:t>nd</w:t>
      </w:r>
      <w:r w:rsidRPr="007C0DD0">
        <w:rPr>
          <w:bCs/>
          <w:i/>
        </w:rPr>
        <w:t xml:space="preserve"> injection at a given dose level,</w:t>
      </w:r>
      <w:r w:rsidRPr="00857778">
        <w:rPr>
          <w:bCs/>
        </w:rPr>
        <w:t xml:space="preserve"> a 2</w:t>
      </w:r>
      <w:r w:rsidRPr="00857778">
        <w:rPr>
          <w:bCs/>
          <w:vertAlign w:val="superscript"/>
        </w:rPr>
        <w:t>nd</w:t>
      </w:r>
      <w:r w:rsidRPr="00857778">
        <w:rPr>
          <w:bCs/>
        </w:rPr>
        <w:t xml:space="preserve"> injection will not be administered if a significant safety signal has been observed after the first </w:t>
      </w:r>
      <w:r w:rsidR="00ED386C">
        <w:rPr>
          <w:bCs/>
        </w:rPr>
        <w:t>injection</w:t>
      </w:r>
      <w:r w:rsidR="00ED386C" w:rsidRPr="00857778">
        <w:rPr>
          <w:bCs/>
        </w:rPr>
        <w:t xml:space="preserve"> </w:t>
      </w:r>
      <w:r w:rsidRPr="00857778">
        <w:rPr>
          <w:bCs/>
        </w:rPr>
        <w:t>in that Cohort (see Rules for Suspension).</w:t>
      </w:r>
    </w:p>
    <w:p w14:paraId="79DB643B" w14:textId="109462A9" w:rsidR="005815AE" w:rsidRDefault="00857778" w:rsidP="00362EC8">
      <w:pPr>
        <w:pStyle w:val="BodyText"/>
        <w:rPr>
          <w:b/>
          <w:bCs/>
        </w:rPr>
      </w:pPr>
      <w:r w:rsidRPr="00857778">
        <w:rPr>
          <w:bCs/>
        </w:rPr>
        <w:t xml:space="preserve">To ensure subject safety prior to </w:t>
      </w:r>
      <w:r w:rsidRPr="007C0DD0">
        <w:rPr>
          <w:bCs/>
          <w:i/>
        </w:rPr>
        <w:t>administering a 2</w:t>
      </w:r>
      <w:r w:rsidRPr="007C0DD0">
        <w:rPr>
          <w:bCs/>
          <w:i/>
          <w:vertAlign w:val="superscript"/>
        </w:rPr>
        <w:t>nd</w:t>
      </w:r>
      <w:r w:rsidRPr="007C0DD0">
        <w:rPr>
          <w:bCs/>
          <w:i/>
        </w:rPr>
        <w:t xml:space="preserve"> injection at a higher dose level</w:t>
      </w:r>
      <w:r w:rsidRPr="00857778">
        <w:rPr>
          <w:bCs/>
        </w:rPr>
        <w:t xml:space="preserve">, </w:t>
      </w:r>
      <w:r w:rsidR="00D97233">
        <w:rPr>
          <w:bCs/>
        </w:rPr>
        <w:t>a 2</w:t>
      </w:r>
      <w:r w:rsidR="00D97233" w:rsidRPr="00D97233">
        <w:rPr>
          <w:bCs/>
          <w:vertAlign w:val="superscript"/>
        </w:rPr>
        <w:t>nd</w:t>
      </w:r>
      <w:r w:rsidR="00D97233">
        <w:rPr>
          <w:bCs/>
        </w:rPr>
        <w:t xml:space="preserve"> injection at a higher dose level will not be administered if a </w:t>
      </w:r>
      <w:r w:rsidR="00D97233" w:rsidRPr="00857778">
        <w:rPr>
          <w:bCs/>
        </w:rPr>
        <w:t>significant safety signal has been observed after</w:t>
      </w:r>
      <w:r w:rsidR="00D97233">
        <w:rPr>
          <w:bCs/>
        </w:rPr>
        <w:t xml:space="preserve"> the 2</w:t>
      </w:r>
      <w:r w:rsidR="00D97233" w:rsidRPr="00D97233">
        <w:rPr>
          <w:bCs/>
          <w:vertAlign w:val="superscript"/>
        </w:rPr>
        <w:t>nd</w:t>
      </w:r>
      <w:r w:rsidR="00D97233">
        <w:rPr>
          <w:bCs/>
        </w:rPr>
        <w:t xml:space="preserve"> injection at a lower dose level.</w:t>
      </w:r>
      <w:bookmarkStart w:id="124" w:name="_Ref366840901"/>
      <w:bookmarkStart w:id="125" w:name="_Toc274131530"/>
    </w:p>
    <w:p w14:paraId="2ABECFF6" w14:textId="723F4F02" w:rsidR="007C0DD0" w:rsidRDefault="00135F6A" w:rsidP="005B3567">
      <w:pPr>
        <w:pStyle w:val="Caption"/>
      </w:pPr>
      <w:bookmarkStart w:id="126" w:name="_Ref389060739"/>
      <w:bookmarkStart w:id="127" w:name="_Toc389130076"/>
      <w:bookmarkStart w:id="128" w:name="_Toc389130106"/>
      <w:bookmarkStart w:id="129" w:name="_Toc440906407"/>
      <w:bookmarkEnd w:id="124"/>
      <w:r w:rsidRPr="005B3567">
        <w:t xml:space="preserve">Table </w:t>
      </w:r>
      <w:r w:rsidR="00024E24">
        <w:fldChar w:fldCharType="begin"/>
      </w:r>
      <w:r w:rsidR="00024E24">
        <w:instrText xml:space="preserve"> SEQ Table \* ARABIC </w:instrText>
      </w:r>
      <w:r w:rsidR="00024E24">
        <w:fldChar w:fldCharType="separate"/>
      </w:r>
      <w:r w:rsidR="00024E24">
        <w:rPr>
          <w:noProof/>
        </w:rPr>
        <w:t>9</w:t>
      </w:r>
      <w:r w:rsidR="00024E24">
        <w:rPr>
          <w:noProof/>
        </w:rPr>
        <w:fldChar w:fldCharType="end"/>
      </w:r>
      <w:bookmarkEnd w:id="126"/>
      <w:r w:rsidR="00906CD6" w:rsidRPr="005B3567">
        <w:t>:</w:t>
      </w:r>
      <w:r w:rsidR="00906CD6" w:rsidRPr="005B3567">
        <w:tab/>
      </w:r>
      <w:r w:rsidR="005B3567" w:rsidRPr="00D3767C">
        <w:t xml:space="preserve">IDRI-TBVPX-203: </w:t>
      </w:r>
      <w:r w:rsidR="00857778" w:rsidRPr="00D3767C">
        <w:t>Treatment Assignments</w:t>
      </w:r>
      <w:bookmarkEnd w:id="125"/>
      <w:bookmarkEnd w:id="127"/>
      <w:bookmarkEnd w:id="128"/>
      <w:bookmarkEnd w:id="129"/>
    </w:p>
    <w:tbl>
      <w:tblPr>
        <w:tblW w:w="0" w:type="auto"/>
        <w:jc w:val="center"/>
        <w:tblCellMar>
          <w:left w:w="0" w:type="dxa"/>
          <w:right w:w="0" w:type="dxa"/>
        </w:tblCellMar>
        <w:tblLook w:val="04A0" w:firstRow="1" w:lastRow="0" w:firstColumn="1" w:lastColumn="0" w:noHBand="0" w:noVBand="1"/>
      </w:tblPr>
      <w:tblGrid>
        <w:gridCol w:w="1182"/>
        <w:gridCol w:w="872"/>
        <w:gridCol w:w="2788"/>
        <w:gridCol w:w="2254"/>
      </w:tblGrid>
      <w:tr w:rsidR="00117674" w:rsidRPr="00C0286C" w14:paraId="28E8E519" w14:textId="77777777" w:rsidTr="00CB2C6A">
        <w:trPr>
          <w:jc w:val="center"/>
        </w:trPr>
        <w:tc>
          <w:tcPr>
            <w:tcW w:w="1182" w:type="dxa"/>
            <w:tcBorders>
              <w:top w:val="single" w:sz="12" w:space="0" w:color="auto"/>
              <w:left w:val="single" w:sz="12" w:space="0" w:color="auto"/>
              <w:bottom w:val="single" w:sz="4" w:space="0" w:color="auto"/>
              <w:right w:val="single" w:sz="8" w:space="0" w:color="auto"/>
            </w:tcBorders>
            <w:shd w:val="clear" w:color="auto" w:fill="E0E0E0"/>
            <w:tcMar>
              <w:top w:w="0" w:type="dxa"/>
              <w:left w:w="108" w:type="dxa"/>
              <w:bottom w:w="0" w:type="dxa"/>
              <w:right w:w="108" w:type="dxa"/>
            </w:tcMar>
            <w:vAlign w:val="center"/>
            <w:hideMark/>
          </w:tcPr>
          <w:p w14:paraId="400CA130" w14:textId="77777777" w:rsidR="00117674" w:rsidRPr="00C0286C" w:rsidRDefault="00117674" w:rsidP="00CB2C6A">
            <w:pPr>
              <w:pStyle w:val="Tableheading"/>
              <w:spacing w:line="276" w:lineRule="auto"/>
              <w:rPr>
                <w:rFonts w:ascii="Arial" w:hAnsi="Arial"/>
                <w:sz w:val="18"/>
                <w:szCs w:val="18"/>
              </w:rPr>
            </w:pPr>
            <w:r w:rsidRPr="00C0286C">
              <w:rPr>
                <w:rFonts w:ascii="Arial" w:hAnsi="Arial"/>
                <w:sz w:val="18"/>
                <w:szCs w:val="18"/>
              </w:rPr>
              <w:t>Cohort</w:t>
            </w:r>
          </w:p>
        </w:tc>
        <w:tc>
          <w:tcPr>
            <w:tcW w:w="872" w:type="dxa"/>
            <w:tcBorders>
              <w:top w:val="single" w:sz="12" w:space="0" w:color="auto"/>
              <w:left w:val="single" w:sz="4" w:space="0" w:color="auto"/>
              <w:bottom w:val="nil"/>
              <w:right w:val="single" w:sz="4" w:space="0" w:color="auto"/>
            </w:tcBorders>
            <w:shd w:val="clear" w:color="auto" w:fill="E0E0E0"/>
            <w:vAlign w:val="center"/>
          </w:tcPr>
          <w:p w14:paraId="3F908B46" w14:textId="77777777" w:rsidR="00117674" w:rsidRPr="00C0286C" w:rsidRDefault="00117674" w:rsidP="00CB2C6A">
            <w:pPr>
              <w:pStyle w:val="Tableheading"/>
              <w:spacing w:line="276" w:lineRule="auto"/>
              <w:rPr>
                <w:rFonts w:ascii="Arial" w:hAnsi="Arial"/>
                <w:sz w:val="18"/>
                <w:szCs w:val="18"/>
              </w:rPr>
            </w:pPr>
            <w:r w:rsidRPr="00C0286C">
              <w:rPr>
                <w:rFonts w:ascii="Arial" w:hAnsi="Arial"/>
                <w:sz w:val="18"/>
                <w:szCs w:val="18"/>
              </w:rPr>
              <w:t>N</w:t>
            </w:r>
          </w:p>
        </w:tc>
        <w:tc>
          <w:tcPr>
            <w:tcW w:w="2788" w:type="dxa"/>
            <w:tcBorders>
              <w:top w:val="single" w:sz="12" w:space="0" w:color="auto"/>
              <w:left w:val="single" w:sz="4" w:space="0" w:color="auto"/>
              <w:bottom w:val="nil"/>
              <w:right w:val="single" w:sz="8" w:space="0" w:color="000000"/>
            </w:tcBorders>
            <w:shd w:val="clear" w:color="auto" w:fill="E0E0E0"/>
            <w:tcMar>
              <w:top w:w="0" w:type="dxa"/>
              <w:left w:w="108" w:type="dxa"/>
              <w:bottom w:w="0" w:type="dxa"/>
              <w:right w:w="108" w:type="dxa"/>
            </w:tcMar>
            <w:vAlign w:val="center"/>
            <w:hideMark/>
          </w:tcPr>
          <w:p w14:paraId="273BD84B" w14:textId="77777777" w:rsidR="00117674" w:rsidRPr="00C0286C" w:rsidRDefault="00117674" w:rsidP="00CB2C6A">
            <w:pPr>
              <w:pStyle w:val="Tableheading"/>
              <w:spacing w:line="276" w:lineRule="auto"/>
              <w:rPr>
                <w:rFonts w:ascii="Arial" w:hAnsi="Arial"/>
                <w:sz w:val="18"/>
                <w:szCs w:val="18"/>
              </w:rPr>
            </w:pPr>
            <w:r w:rsidRPr="00C0286C">
              <w:rPr>
                <w:rFonts w:ascii="Arial" w:hAnsi="Arial"/>
                <w:sz w:val="18"/>
                <w:szCs w:val="18"/>
              </w:rPr>
              <w:t>Treatment Assignment</w:t>
            </w:r>
          </w:p>
        </w:tc>
        <w:tc>
          <w:tcPr>
            <w:tcW w:w="2254" w:type="dxa"/>
            <w:tcBorders>
              <w:top w:val="single" w:sz="12" w:space="0" w:color="auto"/>
              <w:left w:val="nil"/>
              <w:bottom w:val="nil"/>
              <w:right w:val="single" w:sz="12" w:space="0" w:color="auto"/>
            </w:tcBorders>
            <w:shd w:val="clear" w:color="auto" w:fill="E0E0E0"/>
            <w:tcMar>
              <w:top w:w="0" w:type="dxa"/>
              <w:left w:w="108" w:type="dxa"/>
              <w:bottom w:w="0" w:type="dxa"/>
              <w:right w:w="108" w:type="dxa"/>
            </w:tcMar>
            <w:vAlign w:val="center"/>
            <w:hideMark/>
          </w:tcPr>
          <w:p w14:paraId="3DE5833F" w14:textId="77777777" w:rsidR="00117674" w:rsidRPr="00C0286C" w:rsidRDefault="00117674" w:rsidP="00CB2C6A">
            <w:pPr>
              <w:pStyle w:val="Tableheading"/>
              <w:spacing w:line="276" w:lineRule="auto"/>
              <w:rPr>
                <w:rFonts w:ascii="Arial" w:hAnsi="Arial"/>
                <w:sz w:val="18"/>
                <w:szCs w:val="18"/>
              </w:rPr>
            </w:pPr>
            <w:r w:rsidRPr="00C0286C">
              <w:rPr>
                <w:rFonts w:ascii="Arial" w:hAnsi="Arial"/>
                <w:sz w:val="18"/>
                <w:szCs w:val="18"/>
              </w:rPr>
              <w:t>Timing of Study Injections</w:t>
            </w:r>
          </w:p>
        </w:tc>
      </w:tr>
      <w:tr w:rsidR="00117674" w:rsidRPr="00C0286C" w14:paraId="231F48FE" w14:textId="77777777" w:rsidTr="00CB2C6A">
        <w:trPr>
          <w:jc w:val="center"/>
        </w:trPr>
        <w:tc>
          <w:tcPr>
            <w:tcW w:w="1182" w:type="dxa"/>
            <w:vMerge w:val="restart"/>
            <w:tcBorders>
              <w:top w:val="single" w:sz="4" w:space="0" w:color="auto"/>
              <w:left w:val="single" w:sz="12" w:space="0" w:color="auto"/>
              <w:bottom w:val="single" w:sz="4" w:space="0" w:color="auto"/>
              <w:right w:val="single" w:sz="8" w:space="0" w:color="auto"/>
            </w:tcBorders>
            <w:tcMar>
              <w:top w:w="0" w:type="dxa"/>
              <w:left w:w="108" w:type="dxa"/>
              <w:bottom w:w="0" w:type="dxa"/>
              <w:right w:w="108" w:type="dxa"/>
            </w:tcMar>
            <w:vAlign w:val="center"/>
            <w:hideMark/>
          </w:tcPr>
          <w:p w14:paraId="09A9C86D" w14:textId="77777777" w:rsidR="00117674" w:rsidRPr="00C0286C" w:rsidRDefault="00117674" w:rsidP="00CB2C6A">
            <w:pPr>
              <w:pStyle w:val="Tabletext-C"/>
              <w:spacing w:line="276" w:lineRule="auto"/>
              <w:rPr>
                <w:rFonts w:ascii="Arial" w:hAnsi="Arial"/>
                <w:sz w:val="18"/>
                <w:szCs w:val="18"/>
              </w:rPr>
            </w:pPr>
            <w:r w:rsidRPr="00C0286C">
              <w:rPr>
                <w:rFonts w:ascii="Arial" w:hAnsi="Arial"/>
                <w:b/>
                <w:sz w:val="18"/>
                <w:szCs w:val="18"/>
              </w:rPr>
              <w:t>1</w:t>
            </w:r>
          </w:p>
        </w:tc>
        <w:tc>
          <w:tcPr>
            <w:tcW w:w="872" w:type="dxa"/>
            <w:tcBorders>
              <w:top w:val="single" w:sz="8" w:space="0" w:color="auto"/>
              <w:left w:val="single" w:sz="4" w:space="0" w:color="auto"/>
              <w:bottom w:val="single" w:sz="8" w:space="0" w:color="auto"/>
              <w:right w:val="single" w:sz="4" w:space="0" w:color="auto"/>
            </w:tcBorders>
          </w:tcPr>
          <w:p w14:paraId="517AB6FE" w14:textId="77777777" w:rsidR="00117674" w:rsidRPr="00C0286C" w:rsidRDefault="00117674" w:rsidP="00CB2C6A">
            <w:pPr>
              <w:pStyle w:val="Tabletext-C"/>
              <w:spacing w:line="276" w:lineRule="auto"/>
              <w:rPr>
                <w:rFonts w:ascii="Arial" w:hAnsi="Arial"/>
                <w:sz w:val="18"/>
                <w:szCs w:val="18"/>
              </w:rPr>
            </w:pPr>
            <w:r w:rsidRPr="00C0286C">
              <w:rPr>
                <w:rFonts w:ascii="Arial" w:hAnsi="Arial"/>
                <w:sz w:val="18"/>
                <w:szCs w:val="18"/>
              </w:rPr>
              <w:t>15</w:t>
            </w:r>
          </w:p>
        </w:tc>
        <w:tc>
          <w:tcPr>
            <w:tcW w:w="2788" w:type="dxa"/>
            <w:tcBorders>
              <w:top w:val="single" w:sz="8" w:space="0" w:color="auto"/>
              <w:left w:val="single" w:sz="4" w:space="0" w:color="auto"/>
              <w:bottom w:val="single" w:sz="8" w:space="0" w:color="auto"/>
              <w:right w:val="single" w:sz="8" w:space="0" w:color="000000"/>
            </w:tcBorders>
            <w:tcMar>
              <w:top w:w="0" w:type="dxa"/>
              <w:left w:w="108" w:type="dxa"/>
              <w:bottom w:w="0" w:type="dxa"/>
              <w:right w:w="108" w:type="dxa"/>
            </w:tcMar>
            <w:hideMark/>
          </w:tcPr>
          <w:p w14:paraId="6BCB0D5B" w14:textId="77777777" w:rsidR="00117674" w:rsidRPr="00C0286C" w:rsidRDefault="00117674" w:rsidP="00CB2C6A">
            <w:pPr>
              <w:pStyle w:val="Tabletext-C"/>
              <w:spacing w:line="276" w:lineRule="auto"/>
              <w:rPr>
                <w:rFonts w:ascii="Arial" w:hAnsi="Arial"/>
                <w:sz w:val="18"/>
                <w:szCs w:val="18"/>
                <w:lang w:val="fr-FR"/>
              </w:rPr>
            </w:pPr>
            <w:r w:rsidRPr="00C0286C">
              <w:rPr>
                <w:rFonts w:ascii="Arial" w:hAnsi="Arial"/>
                <w:sz w:val="18"/>
                <w:szCs w:val="18"/>
                <w:lang w:val="fr-FR"/>
              </w:rPr>
              <w:t xml:space="preserve">2 </w:t>
            </w:r>
            <w:r w:rsidRPr="00C0286C">
              <w:rPr>
                <w:rFonts w:ascii="Arial" w:hAnsi="Arial"/>
                <w:sz w:val="18"/>
                <w:szCs w:val="18"/>
              </w:rPr>
              <w:t>μ</w:t>
            </w:r>
            <w:r w:rsidRPr="00C0286C">
              <w:rPr>
                <w:rFonts w:ascii="Arial" w:hAnsi="Arial"/>
                <w:sz w:val="18"/>
                <w:szCs w:val="18"/>
                <w:lang w:val="fr-FR"/>
              </w:rPr>
              <w:t xml:space="preserve">g ID93 + 2 </w:t>
            </w:r>
            <w:r w:rsidRPr="00C0286C">
              <w:rPr>
                <w:rFonts w:ascii="Arial" w:hAnsi="Arial"/>
                <w:sz w:val="18"/>
                <w:szCs w:val="18"/>
              </w:rPr>
              <w:t>μ</w:t>
            </w:r>
            <w:r w:rsidRPr="00C0286C">
              <w:rPr>
                <w:rFonts w:ascii="Arial" w:hAnsi="Arial"/>
                <w:sz w:val="18"/>
                <w:szCs w:val="18"/>
                <w:lang w:val="fr-FR"/>
              </w:rPr>
              <w:t>g GLA-SE</w:t>
            </w:r>
          </w:p>
        </w:tc>
        <w:tc>
          <w:tcPr>
            <w:tcW w:w="2254" w:type="dxa"/>
            <w:tcBorders>
              <w:top w:val="single" w:sz="8" w:space="0" w:color="auto"/>
              <w:left w:val="nil"/>
              <w:bottom w:val="single" w:sz="8" w:space="0" w:color="auto"/>
              <w:right w:val="single" w:sz="12" w:space="0" w:color="auto"/>
            </w:tcBorders>
            <w:tcMar>
              <w:top w:w="0" w:type="dxa"/>
              <w:left w:w="108" w:type="dxa"/>
              <w:bottom w:w="0" w:type="dxa"/>
              <w:right w:w="108" w:type="dxa"/>
            </w:tcMar>
            <w:hideMark/>
          </w:tcPr>
          <w:p w14:paraId="67CC4927" w14:textId="77777777" w:rsidR="00117674" w:rsidRPr="00C0286C" w:rsidRDefault="00117674" w:rsidP="00CB2C6A">
            <w:pPr>
              <w:pStyle w:val="Tabletext-C"/>
              <w:spacing w:line="276" w:lineRule="auto"/>
              <w:rPr>
                <w:rFonts w:ascii="Arial" w:hAnsi="Arial"/>
                <w:sz w:val="18"/>
                <w:szCs w:val="18"/>
              </w:rPr>
            </w:pPr>
            <w:r w:rsidRPr="00C0286C">
              <w:rPr>
                <w:rFonts w:ascii="Arial" w:hAnsi="Arial"/>
                <w:sz w:val="18"/>
                <w:szCs w:val="18"/>
              </w:rPr>
              <w:t xml:space="preserve">Day 0, Day 56 </w:t>
            </w:r>
          </w:p>
        </w:tc>
      </w:tr>
      <w:tr w:rsidR="00117674" w:rsidRPr="00C0286C" w14:paraId="1651ABE8" w14:textId="77777777" w:rsidTr="00CB2C6A">
        <w:trPr>
          <w:jc w:val="center"/>
        </w:trPr>
        <w:tc>
          <w:tcPr>
            <w:tcW w:w="1182" w:type="dxa"/>
            <w:vMerge/>
            <w:tcBorders>
              <w:top w:val="double" w:sz="4" w:space="0" w:color="auto"/>
              <w:left w:val="single" w:sz="12" w:space="0" w:color="auto"/>
              <w:bottom w:val="single" w:sz="4" w:space="0" w:color="auto"/>
              <w:right w:val="single" w:sz="8" w:space="0" w:color="auto"/>
            </w:tcBorders>
            <w:tcMar>
              <w:top w:w="0" w:type="dxa"/>
              <w:left w:w="108" w:type="dxa"/>
              <w:bottom w:w="0" w:type="dxa"/>
              <w:right w:w="108" w:type="dxa"/>
            </w:tcMar>
            <w:vAlign w:val="center"/>
          </w:tcPr>
          <w:p w14:paraId="023FFA5D" w14:textId="77777777" w:rsidR="00117674" w:rsidRPr="00C0286C" w:rsidRDefault="00117674" w:rsidP="00CB2C6A">
            <w:pPr>
              <w:pStyle w:val="Tabletext-C"/>
              <w:spacing w:line="276" w:lineRule="auto"/>
              <w:rPr>
                <w:rFonts w:ascii="Arial" w:hAnsi="Arial"/>
                <w:b/>
                <w:sz w:val="18"/>
                <w:szCs w:val="18"/>
              </w:rPr>
            </w:pPr>
          </w:p>
        </w:tc>
        <w:tc>
          <w:tcPr>
            <w:tcW w:w="872" w:type="dxa"/>
            <w:tcBorders>
              <w:top w:val="single" w:sz="8" w:space="0" w:color="auto"/>
              <w:left w:val="single" w:sz="4" w:space="0" w:color="auto"/>
              <w:bottom w:val="single" w:sz="8" w:space="0" w:color="auto"/>
              <w:right w:val="single" w:sz="4" w:space="0" w:color="auto"/>
            </w:tcBorders>
          </w:tcPr>
          <w:p w14:paraId="6B747D33" w14:textId="77777777" w:rsidR="00117674" w:rsidRPr="00C0286C" w:rsidRDefault="00117674" w:rsidP="00CB2C6A">
            <w:pPr>
              <w:pStyle w:val="Tabletext-C"/>
              <w:spacing w:line="276" w:lineRule="auto"/>
              <w:rPr>
                <w:rFonts w:ascii="Arial" w:hAnsi="Arial"/>
                <w:sz w:val="18"/>
                <w:szCs w:val="18"/>
              </w:rPr>
            </w:pPr>
            <w:r w:rsidRPr="00C0286C">
              <w:rPr>
                <w:rFonts w:ascii="Arial" w:hAnsi="Arial"/>
                <w:sz w:val="18"/>
                <w:szCs w:val="18"/>
              </w:rPr>
              <w:t>5</w:t>
            </w:r>
          </w:p>
        </w:tc>
        <w:tc>
          <w:tcPr>
            <w:tcW w:w="2788" w:type="dxa"/>
            <w:tcBorders>
              <w:top w:val="single" w:sz="8" w:space="0" w:color="auto"/>
              <w:left w:val="single" w:sz="4" w:space="0" w:color="auto"/>
              <w:bottom w:val="single" w:sz="8" w:space="0" w:color="auto"/>
              <w:right w:val="single" w:sz="8" w:space="0" w:color="000000"/>
            </w:tcBorders>
            <w:tcMar>
              <w:top w:w="0" w:type="dxa"/>
              <w:left w:w="108" w:type="dxa"/>
              <w:bottom w:w="0" w:type="dxa"/>
              <w:right w:w="108" w:type="dxa"/>
            </w:tcMar>
          </w:tcPr>
          <w:p w14:paraId="6EF40F4E" w14:textId="77777777" w:rsidR="00117674" w:rsidRPr="00C0286C" w:rsidRDefault="00117674" w:rsidP="00CB2C6A">
            <w:pPr>
              <w:pStyle w:val="Tabletext-C"/>
              <w:spacing w:line="276" w:lineRule="auto"/>
              <w:rPr>
                <w:rFonts w:ascii="Arial" w:hAnsi="Arial"/>
                <w:sz w:val="18"/>
                <w:szCs w:val="18"/>
              </w:rPr>
            </w:pPr>
            <w:r w:rsidRPr="00C0286C">
              <w:rPr>
                <w:rFonts w:ascii="Arial" w:hAnsi="Arial"/>
                <w:sz w:val="18"/>
                <w:szCs w:val="18"/>
              </w:rPr>
              <w:t>Saline placebo</w:t>
            </w:r>
          </w:p>
        </w:tc>
        <w:tc>
          <w:tcPr>
            <w:tcW w:w="2254" w:type="dxa"/>
            <w:tcBorders>
              <w:top w:val="single" w:sz="8" w:space="0" w:color="auto"/>
              <w:left w:val="nil"/>
              <w:bottom w:val="single" w:sz="8" w:space="0" w:color="auto"/>
              <w:right w:val="single" w:sz="12" w:space="0" w:color="auto"/>
            </w:tcBorders>
            <w:tcMar>
              <w:top w:w="0" w:type="dxa"/>
              <w:left w:w="108" w:type="dxa"/>
              <w:bottom w:w="0" w:type="dxa"/>
              <w:right w:w="108" w:type="dxa"/>
            </w:tcMar>
          </w:tcPr>
          <w:p w14:paraId="23FC04D2" w14:textId="77777777" w:rsidR="00117674" w:rsidRPr="00C0286C" w:rsidRDefault="00117674" w:rsidP="00CB2C6A">
            <w:pPr>
              <w:pStyle w:val="Tabletext-C"/>
              <w:spacing w:line="276" w:lineRule="auto"/>
              <w:rPr>
                <w:rFonts w:ascii="Arial" w:hAnsi="Arial"/>
                <w:sz w:val="18"/>
                <w:szCs w:val="18"/>
              </w:rPr>
            </w:pPr>
            <w:r w:rsidRPr="00C0286C">
              <w:rPr>
                <w:rFonts w:ascii="Arial" w:hAnsi="Arial"/>
                <w:sz w:val="18"/>
                <w:szCs w:val="18"/>
              </w:rPr>
              <w:t>Day 0, Day 56</w:t>
            </w:r>
          </w:p>
        </w:tc>
      </w:tr>
      <w:tr w:rsidR="00117674" w:rsidRPr="00C0286C" w14:paraId="242F2461" w14:textId="77777777" w:rsidTr="00CB2C6A">
        <w:trPr>
          <w:jc w:val="center"/>
        </w:trPr>
        <w:tc>
          <w:tcPr>
            <w:tcW w:w="1182" w:type="dxa"/>
            <w:vMerge w:val="restart"/>
            <w:tcBorders>
              <w:top w:val="single" w:sz="4" w:space="0" w:color="auto"/>
              <w:left w:val="single" w:sz="12" w:space="0" w:color="auto"/>
              <w:right w:val="single" w:sz="8" w:space="0" w:color="auto"/>
            </w:tcBorders>
            <w:tcMar>
              <w:top w:w="0" w:type="dxa"/>
              <w:left w:w="108" w:type="dxa"/>
              <w:bottom w:w="0" w:type="dxa"/>
              <w:right w:w="108" w:type="dxa"/>
            </w:tcMar>
            <w:vAlign w:val="center"/>
          </w:tcPr>
          <w:p w14:paraId="563C9EEC" w14:textId="77777777" w:rsidR="00117674" w:rsidRPr="00C0286C" w:rsidRDefault="00117674" w:rsidP="00CB2C6A">
            <w:pPr>
              <w:pStyle w:val="Tabletext-C"/>
              <w:spacing w:line="276" w:lineRule="auto"/>
              <w:rPr>
                <w:rFonts w:ascii="Arial" w:hAnsi="Arial"/>
                <w:b/>
                <w:sz w:val="18"/>
                <w:szCs w:val="18"/>
              </w:rPr>
            </w:pPr>
            <w:r w:rsidRPr="00C0286C">
              <w:rPr>
                <w:rFonts w:ascii="Arial" w:hAnsi="Arial"/>
                <w:b/>
                <w:sz w:val="18"/>
                <w:szCs w:val="18"/>
              </w:rPr>
              <w:t>2</w:t>
            </w:r>
          </w:p>
        </w:tc>
        <w:tc>
          <w:tcPr>
            <w:tcW w:w="872" w:type="dxa"/>
            <w:tcBorders>
              <w:top w:val="single" w:sz="8" w:space="0" w:color="auto"/>
              <w:left w:val="single" w:sz="4" w:space="0" w:color="auto"/>
              <w:bottom w:val="single" w:sz="8" w:space="0" w:color="auto"/>
              <w:right w:val="single" w:sz="4" w:space="0" w:color="auto"/>
            </w:tcBorders>
            <w:shd w:val="clear" w:color="auto" w:fill="auto"/>
          </w:tcPr>
          <w:p w14:paraId="6EA9B40D" w14:textId="77777777" w:rsidR="00117674" w:rsidRPr="00292161" w:rsidRDefault="00117674" w:rsidP="00CB2C6A">
            <w:pPr>
              <w:pStyle w:val="Tabletext-C"/>
              <w:spacing w:line="276" w:lineRule="auto"/>
              <w:rPr>
                <w:rFonts w:ascii="Arial" w:hAnsi="Arial"/>
                <w:sz w:val="18"/>
                <w:szCs w:val="18"/>
              </w:rPr>
            </w:pPr>
            <w:r w:rsidRPr="00292161">
              <w:rPr>
                <w:rFonts w:ascii="Arial" w:hAnsi="Arial"/>
                <w:sz w:val="18"/>
                <w:szCs w:val="18"/>
              </w:rPr>
              <w:t>9</w:t>
            </w:r>
          </w:p>
        </w:tc>
        <w:tc>
          <w:tcPr>
            <w:tcW w:w="2788" w:type="dxa"/>
            <w:tcBorders>
              <w:top w:val="single" w:sz="8" w:space="0" w:color="auto"/>
              <w:left w:val="single" w:sz="4" w:space="0" w:color="auto"/>
              <w:bottom w:val="single" w:sz="8" w:space="0" w:color="auto"/>
              <w:right w:val="single" w:sz="8" w:space="0" w:color="000000"/>
            </w:tcBorders>
            <w:tcMar>
              <w:top w:w="0" w:type="dxa"/>
              <w:left w:w="108" w:type="dxa"/>
              <w:bottom w:w="0" w:type="dxa"/>
              <w:right w:w="108" w:type="dxa"/>
            </w:tcMar>
          </w:tcPr>
          <w:p w14:paraId="7F6D3B46" w14:textId="77777777" w:rsidR="00117674" w:rsidRPr="00C0286C" w:rsidRDefault="00117674" w:rsidP="00CB2C6A">
            <w:pPr>
              <w:pStyle w:val="Tabletext-C"/>
              <w:spacing w:line="276" w:lineRule="auto"/>
              <w:rPr>
                <w:rFonts w:ascii="Arial" w:hAnsi="Arial"/>
                <w:sz w:val="18"/>
                <w:szCs w:val="18"/>
              </w:rPr>
            </w:pPr>
            <w:r w:rsidRPr="00C0286C">
              <w:rPr>
                <w:rFonts w:ascii="Arial" w:hAnsi="Arial"/>
                <w:sz w:val="18"/>
                <w:szCs w:val="18"/>
                <w:lang w:val="fr-FR"/>
              </w:rPr>
              <w:t xml:space="preserve">10 </w:t>
            </w:r>
            <w:r w:rsidRPr="00C0286C">
              <w:rPr>
                <w:rFonts w:ascii="Arial" w:hAnsi="Arial"/>
                <w:sz w:val="18"/>
                <w:szCs w:val="18"/>
              </w:rPr>
              <w:t>μ</w:t>
            </w:r>
            <w:r w:rsidRPr="00C0286C">
              <w:rPr>
                <w:rFonts w:ascii="Arial" w:hAnsi="Arial"/>
                <w:sz w:val="18"/>
                <w:szCs w:val="18"/>
                <w:lang w:val="fr-FR"/>
              </w:rPr>
              <w:t xml:space="preserve">g ID93 + 2 </w:t>
            </w:r>
            <w:r w:rsidRPr="00C0286C">
              <w:rPr>
                <w:rFonts w:ascii="Arial" w:hAnsi="Arial"/>
                <w:sz w:val="18"/>
                <w:szCs w:val="18"/>
              </w:rPr>
              <w:t>μ</w:t>
            </w:r>
            <w:r w:rsidRPr="00C0286C">
              <w:rPr>
                <w:rFonts w:ascii="Arial" w:hAnsi="Arial"/>
                <w:sz w:val="18"/>
                <w:szCs w:val="18"/>
                <w:lang w:val="fr-FR"/>
              </w:rPr>
              <w:t>g GLA-SE</w:t>
            </w:r>
          </w:p>
        </w:tc>
        <w:tc>
          <w:tcPr>
            <w:tcW w:w="2254" w:type="dxa"/>
            <w:tcBorders>
              <w:top w:val="single" w:sz="8" w:space="0" w:color="auto"/>
              <w:left w:val="nil"/>
              <w:bottom w:val="single" w:sz="8" w:space="0" w:color="auto"/>
              <w:right w:val="single" w:sz="12" w:space="0" w:color="auto"/>
            </w:tcBorders>
            <w:tcMar>
              <w:top w:w="0" w:type="dxa"/>
              <w:left w:w="108" w:type="dxa"/>
              <w:bottom w:w="0" w:type="dxa"/>
              <w:right w:w="108" w:type="dxa"/>
            </w:tcMar>
          </w:tcPr>
          <w:p w14:paraId="1C87E37E" w14:textId="77777777" w:rsidR="00117674" w:rsidRPr="00C0286C" w:rsidRDefault="00117674" w:rsidP="00CB2C6A">
            <w:pPr>
              <w:pStyle w:val="Tabletext-C"/>
              <w:spacing w:line="276" w:lineRule="auto"/>
              <w:rPr>
                <w:rFonts w:ascii="Arial" w:hAnsi="Arial"/>
                <w:sz w:val="18"/>
                <w:szCs w:val="18"/>
              </w:rPr>
            </w:pPr>
            <w:r w:rsidRPr="00C0286C">
              <w:rPr>
                <w:rFonts w:ascii="Arial" w:hAnsi="Arial"/>
                <w:sz w:val="18"/>
                <w:szCs w:val="18"/>
              </w:rPr>
              <w:t>Day 0, Day 56</w:t>
            </w:r>
          </w:p>
        </w:tc>
      </w:tr>
      <w:tr w:rsidR="00117674" w:rsidRPr="00C0286C" w14:paraId="0E097422" w14:textId="77777777" w:rsidTr="00CB2C6A">
        <w:trPr>
          <w:jc w:val="center"/>
        </w:trPr>
        <w:tc>
          <w:tcPr>
            <w:tcW w:w="1182" w:type="dxa"/>
            <w:vMerge/>
            <w:tcBorders>
              <w:left w:val="single" w:sz="12" w:space="0" w:color="auto"/>
              <w:bottom w:val="single" w:sz="4" w:space="0" w:color="auto"/>
              <w:right w:val="single" w:sz="8" w:space="0" w:color="auto"/>
            </w:tcBorders>
            <w:tcMar>
              <w:top w:w="0" w:type="dxa"/>
              <w:left w:w="108" w:type="dxa"/>
              <w:bottom w:w="0" w:type="dxa"/>
              <w:right w:w="108" w:type="dxa"/>
            </w:tcMar>
            <w:vAlign w:val="center"/>
          </w:tcPr>
          <w:p w14:paraId="3F935B47" w14:textId="77777777" w:rsidR="00117674" w:rsidRPr="00C0286C" w:rsidRDefault="00117674" w:rsidP="00CB2C6A">
            <w:pPr>
              <w:pStyle w:val="Tabletext-C"/>
              <w:spacing w:line="276" w:lineRule="auto"/>
              <w:rPr>
                <w:rFonts w:ascii="Arial" w:hAnsi="Arial"/>
                <w:b/>
                <w:sz w:val="18"/>
                <w:szCs w:val="18"/>
              </w:rPr>
            </w:pPr>
          </w:p>
        </w:tc>
        <w:tc>
          <w:tcPr>
            <w:tcW w:w="872" w:type="dxa"/>
            <w:tcBorders>
              <w:top w:val="single" w:sz="8" w:space="0" w:color="auto"/>
              <w:left w:val="single" w:sz="4" w:space="0" w:color="auto"/>
              <w:bottom w:val="single" w:sz="8" w:space="0" w:color="auto"/>
              <w:right w:val="single" w:sz="4" w:space="0" w:color="auto"/>
            </w:tcBorders>
            <w:shd w:val="clear" w:color="auto" w:fill="auto"/>
          </w:tcPr>
          <w:p w14:paraId="13219BEC" w14:textId="77777777" w:rsidR="00117674" w:rsidRPr="00292161" w:rsidRDefault="00117674" w:rsidP="00CB2C6A">
            <w:pPr>
              <w:pStyle w:val="Tabletext-C"/>
              <w:spacing w:line="276" w:lineRule="auto"/>
              <w:rPr>
                <w:rFonts w:ascii="Arial" w:hAnsi="Arial"/>
                <w:sz w:val="18"/>
                <w:szCs w:val="18"/>
              </w:rPr>
            </w:pPr>
            <w:r w:rsidRPr="00292161">
              <w:rPr>
                <w:rFonts w:ascii="Arial" w:hAnsi="Arial"/>
                <w:sz w:val="18"/>
                <w:szCs w:val="18"/>
              </w:rPr>
              <w:t>3</w:t>
            </w:r>
          </w:p>
        </w:tc>
        <w:tc>
          <w:tcPr>
            <w:tcW w:w="2788" w:type="dxa"/>
            <w:tcBorders>
              <w:top w:val="single" w:sz="8" w:space="0" w:color="auto"/>
              <w:left w:val="single" w:sz="4" w:space="0" w:color="auto"/>
              <w:bottom w:val="single" w:sz="8" w:space="0" w:color="auto"/>
              <w:right w:val="single" w:sz="8" w:space="0" w:color="000000"/>
            </w:tcBorders>
            <w:tcMar>
              <w:top w:w="0" w:type="dxa"/>
              <w:left w:w="108" w:type="dxa"/>
              <w:bottom w:w="0" w:type="dxa"/>
              <w:right w:w="108" w:type="dxa"/>
            </w:tcMar>
          </w:tcPr>
          <w:p w14:paraId="0B675A25" w14:textId="77777777" w:rsidR="00117674" w:rsidRPr="00C0286C" w:rsidRDefault="00117674" w:rsidP="00CB2C6A">
            <w:pPr>
              <w:pStyle w:val="Tabletext-C"/>
              <w:spacing w:line="276" w:lineRule="auto"/>
              <w:rPr>
                <w:rFonts w:ascii="Arial" w:hAnsi="Arial"/>
                <w:sz w:val="18"/>
                <w:szCs w:val="18"/>
              </w:rPr>
            </w:pPr>
            <w:r w:rsidRPr="00C0286C">
              <w:rPr>
                <w:rFonts w:ascii="Arial" w:hAnsi="Arial"/>
                <w:sz w:val="18"/>
                <w:szCs w:val="18"/>
              </w:rPr>
              <w:t>Saline placebo</w:t>
            </w:r>
          </w:p>
        </w:tc>
        <w:tc>
          <w:tcPr>
            <w:tcW w:w="2254" w:type="dxa"/>
            <w:tcBorders>
              <w:top w:val="single" w:sz="8" w:space="0" w:color="auto"/>
              <w:left w:val="nil"/>
              <w:bottom w:val="single" w:sz="8" w:space="0" w:color="auto"/>
              <w:right w:val="single" w:sz="12" w:space="0" w:color="auto"/>
            </w:tcBorders>
            <w:tcMar>
              <w:top w:w="0" w:type="dxa"/>
              <w:left w:w="108" w:type="dxa"/>
              <w:bottom w:w="0" w:type="dxa"/>
              <w:right w:w="108" w:type="dxa"/>
            </w:tcMar>
          </w:tcPr>
          <w:p w14:paraId="16F9F3C4" w14:textId="77777777" w:rsidR="00117674" w:rsidRPr="00C0286C" w:rsidRDefault="00117674" w:rsidP="00CB2C6A">
            <w:pPr>
              <w:pStyle w:val="Tabletext-C"/>
              <w:spacing w:line="276" w:lineRule="auto"/>
              <w:rPr>
                <w:rFonts w:ascii="Arial" w:hAnsi="Arial"/>
                <w:sz w:val="18"/>
                <w:szCs w:val="18"/>
              </w:rPr>
            </w:pPr>
            <w:r w:rsidRPr="00C0286C">
              <w:rPr>
                <w:rFonts w:ascii="Arial" w:hAnsi="Arial"/>
                <w:sz w:val="18"/>
                <w:szCs w:val="18"/>
              </w:rPr>
              <w:t>Day 0, Day 56</w:t>
            </w:r>
          </w:p>
        </w:tc>
      </w:tr>
      <w:tr w:rsidR="00117674" w:rsidRPr="00C0286C" w14:paraId="18FEAC8A" w14:textId="77777777" w:rsidTr="00CB2C6A">
        <w:trPr>
          <w:jc w:val="center"/>
        </w:trPr>
        <w:tc>
          <w:tcPr>
            <w:tcW w:w="1182" w:type="dxa"/>
            <w:vMerge w:val="restart"/>
            <w:tcBorders>
              <w:top w:val="single" w:sz="4" w:space="0" w:color="auto"/>
              <w:left w:val="single" w:sz="12" w:space="0" w:color="auto"/>
              <w:bottom w:val="double" w:sz="4" w:space="0" w:color="auto"/>
              <w:right w:val="single" w:sz="8" w:space="0" w:color="auto"/>
            </w:tcBorders>
            <w:tcMar>
              <w:top w:w="0" w:type="dxa"/>
              <w:left w:w="108" w:type="dxa"/>
              <w:bottom w:w="0" w:type="dxa"/>
              <w:right w:w="108" w:type="dxa"/>
            </w:tcMar>
            <w:vAlign w:val="center"/>
          </w:tcPr>
          <w:p w14:paraId="1BB8EC3C" w14:textId="77777777" w:rsidR="00117674" w:rsidRPr="00C0286C" w:rsidRDefault="00117674" w:rsidP="00CB2C6A">
            <w:pPr>
              <w:pStyle w:val="Tabletext-C"/>
              <w:spacing w:line="276" w:lineRule="auto"/>
              <w:rPr>
                <w:rFonts w:ascii="Arial" w:hAnsi="Arial"/>
                <w:b/>
                <w:sz w:val="18"/>
                <w:szCs w:val="18"/>
              </w:rPr>
            </w:pPr>
            <w:r w:rsidRPr="00C0286C">
              <w:rPr>
                <w:rFonts w:ascii="Arial" w:hAnsi="Arial"/>
                <w:b/>
                <w:sz w:val="18"/>
                <w:szCs w:val="18"/>
              </w:rPr>
              <w:t>3</w:t>
            </w:r>
          </w:p>
        </w:tc>
        <w:tc>
          <w:tcPr>
            <w:tcW w:w="872" w:type="dxa"/>
            <w:tcBorders>
              <w:top w:val="single" w:sz="8" w:space="0" w:color="auto"/>
              <w:left w:val="single" w:sz="4" w:space="0" w:color="auto"/>
              <w:bottom w:val="single" w:sz="8" w:space="0" w:color="auto"/>
              <w:right w:val="single" w:sz="4" w:space="0" w:color="auto"/>
            </w:tcBorders>
            <w:shd w:val="clear" w:color="auto" w:fill="auto"/>
          </w:tcPr>
          <w:p w14:paraId="204B6FE6" w14:textId="77777777" w:rsidR="00117674" w:rsidRPr="00292161" w:rsidRDefault="00117674" w:rsidP="00CB2C6A">
            <w:pPr>
              <w:pStyle w:val="Tabletext-C"/>
              <w:spacing w:line="276" w:lineRule="auto"/>
              <w:rPr>
                <w:rFonts w:ascii="Arial" w:hAnsi="Arial"/>
                <w:sz w:val="18"/>
                <w:szCs w:val="18"/>
              </w:rPr>
            </w:pPr>
            <w:r w:rsidRPr="00292161">
              <w:rPr>
                <w:rFonts w:ascii="Arial" w:hAnsi="Arial"/>
                <w:sz w:val="18"/>
                <w:szCs w:val="18"/>
              </w:rPr>
              <w:t>12</w:t>
            </w:r>
          </w:p>
        </w:tc>
        <w:tc>
          <w:tcPr>
            <w:tcW w:w="2788" w:type="dxa"/>
            <w:tcBorders>
              <w:top w:val="single" w:sz="8" w:space="0" w:color="auto"/>
              <w:left w:val="single" w:sz="4" w:space="0" w:color="auto"/>
              <w:bottom w:val="single" w:sz="8" w:space="0" w:color="auto"/>
              <w:right w:val="single" w:sz="8" w:space="0" w:color="000000"/>
            </w:tcBorders>
            <w:tcMar>
              <w:top w:w="0" w:type="dxa"/>
              <w:left w:w="108" w:type="dxa"/>
              <w:bottom w:w="0" w:type="dxa"/>
              <w:right w:w="108" w:type="dxa"/>
            </w:tcMar>
          </w:tcPr>
          <w:p w14:paraId="09108394" w14:textId="77777777" w:rsidR="00117674" w:rsidRPr="00C0286C" w:rsidRDefault="00117674" w:rsidP="00CB2C6A">
            <w:pPr>
              <w:pStyle w:val="Tabletext-C"/>
              <w:spacing w:line="276" w:lineRule="auto"/>
              <w:rPr>
                <w:rFonts w:ascii="Arial" w:hAnsi="Arial"/>
                <w:sz w:val="18"/>
                <w:szCs w:val="18"/>
                <w:lang w:val="fr-FR"/>
              </w:rPr>
            </w:pPr>
            <w:r w:rsidRPr="00C0286C">
              <w:rPr>
                <w:rFonts w:ascii="Arial" w:hAnsi="Arial"/>
                <w:sz w:val="18"/>
                <w:szCs w:val="18"/>
                <w:lang w:val="fr-FR"/>
              </w:rPr>
              <w:t xml:space="preserve">2 </w:t>
            </w:r>
            <w:r w:rsidRPr="00C0286C">
              <w:rPr>
                <w:rFonts w:ascii="Arial" w:hAnsi="Arial"/>
                <w:sz w:val="18"/>
                <w:szCs w:val="18"/>
              </w:rPr>
              <w:t>μ</w:t>
            </w:r>
            <w:r w:rsidRPr="00C0286C">
              <w:rPr>
                <w:rFonts w:ascii="Arial" w:hAnsi="Arial"/>
                <w:sz w:val="18"/>
                <w:szCs w:val="18"/>
                <w:lang w:val="fr-FR"/>
              </w:rPr>
              <w:t xml:space="preserve">g ID93 + 5 </w:t>
            </w:r>
            <w:r w:rsidRPr="00C0286C">
              <w:rPr>
                <w:rFonts w:ascii="Arial" w:hAnsi="Arial"/>
                <w:sz w:val="18"/>
                <w:szCs w:val="18"/>
              </w:rPr>
              <w:t>μ</w:t>
            </w:r>
            <w:r w:rsidRPr="00C0286C">
              <w:rPr>
                <w:rFonts w:ascii="Arial" w:hAnsi="Arial"/>
                <w:sz w:val="18"/>
                <w:szCs w:val="18"/>
                <w:lang w:val="fr-FR"/>
              </w:rPr>
              <w:t>g GLA-SE</w:t>
            </w:r>
          </w:p>
          <w:p w14:paraId="59948102" w14:textId="77777777" w:rsidR="00117674" w:rsidRPr="00C0286C" w:rsidRDefault="00117674" w:rsidP="00CB2C6A">
            <w:pPr>
              <w:pStyle w:val="Tabletext-C"/>
              <w:spacing w:line="276" w:lineRule="auto"/>
              <w:rPr>
                <w:rFonts w:ascii="Arial" w:hAnsi="Arial"/>
                <w:sz w:val="18"/>
                <w:szCs w:val="18"/>
                <w:lang w:val="fr-FR"/>
              </w:rPr>
            </w:pPr>
            <w:r w:rsidRPr="00C0286C">
              <w:rPr>
                <w:rFonts w:ascii="Arial" w:hAnsi="Arial"/>
                <w:sz w:val="18"/>
                <w:szCs w:val="18"/>
              </w:rPr>
              <w:t>Saline placebo</w:t>
            </w:r>
          </w:p>
        </w:tc>
        <w:tc>
          <w:tcPr>
            <w:tcW w:w="2254" w:type="dxa"/>
            <w:tcBorders>
              <w:top w:val="single" w:sz="8" w:space="0" w:color="auto"/>
              <w:left w:val="nil"/>
              <w:bottom w:val="single" w:sz="8" w:space="0" w:color="auto"/>
              <w:right w:val="single" w:sz="12" w:space="0" w:color="auto"/>
            </w:tcBorders>
            <w:tcMar>
              <w:top w:w="0" w:type="dxa"/>
              <w:left w:w="108" w:type="dxa"/>
              <w:bottom w:w="0" w:type="dxa"/>
              <w:right w:w="108" w:type="dxa"/>
            </w:tcMar>
          </w:tcPr>
          <w:p w14:paraId="31260511" w14:textId="77777777" w:rsidR="00117674" w:rsidRPr="00C0286C" w:rsidRDefault="00117674" w:rsidP="00CB2C6A">
            <w:pPr>
              <w:pStyle w:val="Tabletext-C"/>
              <w:spacing w:line="276" w:lineRule="auto"/>
              <w:rPr>
                <w:rFonts w:ascii="Arial" w:hAnsi="Arial"/>
                <w:sz w:val="18"/>
                <w:szCs w:val="18"/>
              </w:rPr>
            </w:pPr>
            <w:r w:rsidRPr="00C0286C">
              <w:rPr>
                <w:rFonts w:ascii="Arial" w:hAnsi="Arial"/>
                <w:sz w:val="18"/>
                <w:szCs w:val="18"/>
              </w:rPr>
              <w:t>Day 0, Day 56</w:t>
            </w:r>
          </w:p>
          <w:p w14:paraId="1A9D20C4" w14:textId="77777777" w:rsidR="00117674" w:rsidRPr="00C0286C" w:rsidRDefault="00117674" w:rsidP="00CB2C6A">
            <w:pPr>
              <w:pStyle w:val="Tabletext-C"/>
              <w:spacing w:line="276" w:lineRule="auto"/>
              <w:rPr>
                <w:rFonts w:ascii="Arial" w:hAnsi="Arial"/>
                <w:sz w:val="18"/>
                <w:szCs w:val="18"/>
              </w:rPr>
            </w:pPr>
            <w:r w:rsidRPr="00C0286C">
              <w:rPr>
                <w:rFonts w:ascii="Arial" w:hAnsi="Arial"/>
                <w:sz w:val="18"/>
                <w:szCs w:val="18"/>
              </w:rPr>
              <w:t>Day 28</w:t>
            </w:r>
          </w:p>
        </w:tc>
      </w:tr>
      <w:tr w:rsidR="00117674" w:rsidRPr="00C0286C" w14:paraId="6A2823A7" w14:textId="77777777" w:rsidTr="00CB2C6A">
        <w:trPr>
          <w:jc w:val="center"/>
        </w:trPr>
        <w:tc>
          <w:tcPr>
            <w:tcW w:w="1182" w:type="dxa"/>
            <w:vMerge/>
            <w:tcBorders>
              <w:top w:val="single" w:sz="4" w:space="0" w:color="auto"/>
              <w:left w:val="single" w:sz="12" w:space="0" w:color="auto"/>
              <w:bottom w:val="double" w:sz="4" w:space="0" w:color="auto"/>
              <w:right w:val="single" w:sz="8" w:space="0" w:color="auto"/>
            </w:tcBorders>
            <w:tcMar>
              <w:top w:w="0" w:type="dxa"/>
              <w:left w:w="108" w:type="dxa"/>
              <w:bottom w:w="0" w:type="dxa"/>
              <w:right w:w="108" w:type="dxa"/>
            </w:tcMar>
            <w:vAlign w:val="center"/>
          </w:tcPr>
          <w:p w14:paraId="7D2DD97C" w14:textId="77777777" w:rsidR="00117674" w:rsidRPr="00C0286C" w:rsidRDefault="00117674" w:rsidP="00CB2C6A">
            <w:pPr>
              <w:pStyle w:val="Tabletext-C"/>
              <w:spacing w:line="276" w:lineRule="auto"/>
              <w:rPr>
                <w:rFonts w:ascii="Arial" w:hAnsi="Arial"/>
                <w:b/>
                <w:sz w:val="18"/>
                <w:szCs w:val="18"/>
              </w:rPr>
            </w:pPr>
          </w:p>
        </w:tc>
        <w:tc>
          <w:tcPr>
            <w:tcW w:w="872" w:type="dxa"/>
            <w:tcBorders>
              <w:top w:val="single" w:sz="8" w:space="0" w:color="auto"/>
              <w:left w:val="single" w:sz="4" w:space="0" w:color="auto"/>
              <w:bottom w:val="single" w:sz="8" w:space="0" w:color="auto"/>
              <w:right w:val="single" w:sz="4" w:space="0" w:color="auto"/>
            </w:tcBorders>
            <w:shd w:val="clear" w:color="auto" w:fill="auto"/>
          </w:tcPr>
          <w:p w14:paraId="62FD6274" w14:textId="77777777" w:rsidR="00117674" w:rsidRPr="00292161" w:rsidDel="003E68EE" w:rsidRDefault="00117674" w:rsidP="00CB2C6A">
            <w:pPr>
              <w:pStyle w:val="Tabletext-C"/>
              <w:spacing w:line="276" w:lineRule="auto"/>
              <w:rPr>
                <w:rFonts w:ascii="Arial" w:hAnsi="Arial"/>
                <w:sz w:val="18"/>
                <w:szCs w:val="18"/>
              </w:rPr>
            </w:pPr>
            <w:r w:rsidRPr="00292161">
              <w:rPr>
                <w:rFonts w:ascii="Arial" w:hAnsi="Arial"/>
                <w:sz w:val="18"/>
                <w:szCs w:val="18"/>
              </w:rPr>
              <w:t>12</w:t>
            </w:r>
          </w:p>
        </w:tc>
        <w:tc>
          <w:tcPr>
            <w:tcW w:w="2788" w:type="dxa"/>
            <w:tcBorders>
              <w:top w:val="single" w:sz="8" w:space="0" w:color="auto"/>
              <w:left w:val="single" w:sz="4" w:space="0" w:color="auto"/>
              <w:bottom w:val="single" w:sz="8" w:space="0" w:color="auto"/>
              <w:right w:val="single" w:sz="8" w:space="0" w:color="000000"/>
            </w:tcBorders>
            <w:tcMar>
              <w:top w:w="0" w:type="dxa"/>
              <w:left w:w="108" w:type="dxa"/>
              <w:bottom w:w="0" w:type="dxa"/>
              <w:right w:w="108" w:type="dxa"/>
            </w:tcMar>
          </w:tcPr>
          <w:p w14:paraId="2DB6F873" w14:textId="77777777" w:rsidR="00117674" w:rsidRPr="00C0286C" w:rsidDel="000E104F" w:rsidRDefault="00117674" w:rsidP="00CB2C6A">
            <w:pPr>
              <w:pStyle w:val="Tabletext-C"/>
              <w:spacing w:line="276" w:lineRule="auto"/>
              <w:rPr>
                <w:rFonts w:ascii="Arial" w:hAnsi="Arial"/>
                <w:sz w:val="18"/>
                <w:szCs w:val="18"/>
                <w:lang w:val="fr-FR"/>
              </w:rPr>
            </w:pPr>
            <w:r w:rsidRPr="00C0286C">
              <w:rPr>
                <w:rFonts w:ascii="Arial" w:hAnsi="Arial"/>
                <w:sz w:val="18"/>
                <w:szCs w:val="18"/>
                <w:lang w:val="fr-FR"/>
              </w:rPr>
              <w:t xml:space="preserve">2 </w:t>
            </w:r>
            <w:r w:rsidRPr="00C0286C">
              <w:rPr>
                <w:rFonts w:ascii="Arial" w:hAnsi="Arial"/>
                <w:sz w:val="18"/>
                <w:szCs w:val="18"/>
              </w:rPr>
              <w:t>μ</w:t>
            </w:r>
            <w:r w:rsidRPr="00C0286C">
              <w:rPr>
                <w:rFonts w:ascii="Arial" w:hAnsi="Arial"/>
                <w:sz w:val="18"/>
                <w:szCs w:val="18"/>
                <w:lang w:val="fr-FR"/>
              </w:rPr>
              <w:t xml:space="preserve">g ID93 + 5 </w:t>
            </w:r>
            <w:r w:rsidRPr="00C0286C">
              <w:rPr>
                <w:rFonts w:ascii="Arial" w:hAnsi="Arial"/>
                <w:sz w:val="18"/>
                <w:szCs w:val="18"/>
              </w:rPr>
              <w:t>μ</w:t>
            </w:r>
            <w:r w:rsidRPr="00C0286C">
              <w:rPr>
                <w:rFonts w:ascii="Arial" w:hAnsi="Arial"/>
                <w:sz w:val="18"/>
                <w:szCs w:val="18"/>
                <w:lang w:val="fr-FR"/>
              </w:rPr>
              <w:t>g GLA-SE</w:t>
            </w:r>
          </w:p>
        </w:tc>
        <w:tc>
          <w:tcPr>
            <w:tcW w:w="2254" w:type="dxa"/>
            <w:tcBorders>
              <w:top w:val="single" w:sz="8" w:space="0" w:color="auto"/>
              <w:left w:val="nil"/>
              <w:bottom w:val="single" w:sz="8" w:space="0" w:color="auto"/>
              <w:right w:val="single" w:sz="12" w:space="0" w:color="auto"/>
            </w:tcBorders>
            <w:tcMar>
              <w:top w:w="0" w:type="dxa"/>
              <w:left w:w="108" w:type="dxa"/>
              <w:bottom w:w="0" w:type="dxa"/>
              <w:right w:w="108" w:type="dxa"/>
            </w:tcMar>
          </w:tcPr>
          <w:p w14:paraId="5F66145D" w14:textId="77777777" w:rsidR="00117674" w:rsidRPr="00C0286C" w:rsidRDefault="00117674" w:rsidP="00CB2C6A">
            <w:pPr>
              <w:pStyle w:val="Tabletext-C"/>
              <w:spacing w:line="276" w:lineRule="auto"/>
              <w:rPr>
                <w:rFonts w:ascii="Arial" w:hAnsi="Arial"/>
                <w:sz w:val="18"/>
                <w:szCs w:val="18"/>
              </w:rPr>
            </w:pPr>
            <w:r w:rsidRPr="00C0286C">
              <w:rPr>
                <w:rFonts w:ascii="Arial" w:hAnsi="Arial"/>
                <w:sz w:val="18"/>
                <w:szCs w:val="18"/>
              </w:rPr>
              <w:t>Day 0, Day 28, Day 56</w:t>
            </w:r>
          </w:p>
        </w:tc>
      </w:tr>
      <w:tr w:rsidR="00117674" w:rsidRPr="00C0286C" w14:paraId="16A2E8A0" w14:textId="77777777" w:rsidTr="00CB2C6A">
        <w:trPr>
          <w:jc w:val="center"/>
        </w:trPr>
        <w:tc>
          <w:tcPr>
            <w:tcW w:w="1182" w:type="dxa"/>
            <w:vMerge/>
            <w:tcBorders>
              <w:left w:val="single" w:sz="12" w:space="0" w:color="auto"/>
              <w:bottom w:val="single" w:sz="12" w:space="0" w:color="auto"/>
              <w:right w:val="single" w:sz="8" w:space="0" w:color="auto"/>
            </w:tcBorders>
            <w:tcMar>
              <w:top w:w="0" w:type="dxa"/>
              <w:left w:w="108" w:type="dxa"/>
              <w:bottom w:w="0" w:type="dxa"/>
              <w:right w:w="108" w:type="dxa"/>
            </w:tcMar>
            <w:vAlign w:val="center"/>
            <w:hideMark/>
          </w:tcPr>
          <w:p w14:paraId="20EC9EC7" w14:textId="77777777" w:rsidR="00117674" w:rsidRPr="00C0286C" w:rsidRDefault="00117674" w:rsidP="00CB2C6A">
            <w:pPr>
              <w:pStyle w:val="Tabletext-C"/>
              <w:spacing w:line="276" w:lineRule="auto"/>
              <w:rPr>
                <w:rFonts w:ascii="Arial" w:hAnsi="Arial"/>
                <w:sz w:val="18"/>
                <w:szCs w:val="18"/>
              </w:rPr>
            </w:pPr>
          </w:p>
        </w:tc>
        <w:tc>
          <w:tcPr>
            <w:tcW w:w="872" w:type="dxa"/>
            <w:tcBorders>
              <w:top w:val="nil"/>
              <w:left w:val="single" w:sz="4" w:space="0" w:color="auto"/>
              <w:bottom w:val="single" w:sz="12" w:space="0" w:color="auto"/>
              <w:right w:val="single" w:sz="4" w:space="0" w:color="auto"/>
            </w:tcBorders>
            <w:shd w:val="clear" w:color="auto" w:fill="auto"/>
          </w:tcPr>
          <w:p w14:paraId="3093FB5B" w14:textId="77777777" w:rsidR="00117674" w:rsidRPr="00292161" w:rsidRDefault="00117674" w:rsidP="00CB2C6A">
            <w:pPr>
              <w:pStyle w:val="Tabletext-C"/>
              <w:spacing w:line="276" w:lineRule="auto"/>
              <w:rPr>
                <w:rFonts w:ascii="Arial" w:hAnsi="Arial"/>
                <w:sz w:val="18"/>
                <w:szCs w:val="18"/>
              </w:rPr>
            </w:pPr>
            <w:r w:rsidRPr="002E29BE">
              <w:rPr>
                <w:rFonts w:ascii="Arial" w:hAnsi="Arial"/>
                <w:sz w:val="18"/>
                <w:szCs w:val="18"/>
              </w:rPr>
              <w:t>4</w:t>
            </w:r>
          </w:p>
        </w:tc>
        <w:tc>
          <w:tcPr>
            <w:tcW w:w="2788" w:type="dxa"/>
            <w:tcBorders>
              <w:top w:val="nil"/>
              <w:left w:val="single" w:sz="4" w:space="0" w:color="auto"/>
              <w:bottom w:val="single" w:sz="12" w:space="0" w:color="auto"/>
              <w:right w:val="single" w:sz="8" w:space="0" w:color="000000"/>
            </w:tcBorders>
            <w:tcMar>
              <w:top w:w="0" w:type="dxa"/>
              <w:left w:w="108" w:type="dxa"/>
              <w:bottom w:w="0" w:type="dxa"/>
              <w:right w:w="108" w:type="dxa"/>
            </w:tcMar>
            <w:hideMark/>
          </w:tcPr>
          <w:p w14:paraId="381E9B57" w14:textId="77777777" w:rsidR="00117674" w:rsidRPr="00C0286C" w:rsidRDefault="00117674" w:rsidP="00CB2C6A">
            <w:pPr>
              <w:pStyle w:val="Tabletext-C"/>
              <w:spacing w:line="276" w:lineRule="auto"/>
              <w:rPr>
                <w:rFonts w:ascii="Arial" w:hAnsi="Arial"/>
                <w:sz w:val="18"/>
                <w:szCs w:val="18"/>
              </w:rPr>
            </w:pPr>
            <w:r w:rsidRPr="00C0286C">
              <w:rPr>
                <w:rFonts w:ascii="Arial" w:hAnsi="Arial"/>
                <w:sz w:val="18"/>
                <w:szCs w:val="18"/>
              </w:rPr>
              <w:t>Saline placebo</w:t>
            </w:r>
          </w:p>
        </w:tc>
        <w:tc>
          <w:tcPr>
            <w:tcW w:w="2254" w:type="dxa"/>
            <w:tcBorders>
              <w:top w:val="nil"/>
              <w:left w:val="nil"/>
              <w:bottom w:val="single" w:sz="12" w:space="0" w:color="auto"/>
              <w:right w:val="single" w:sz="12" w:space="0" w:color="auto"/>
            </w:tcBorders>
            <w:tcMar>
              <w:top w:w="0" w:type="dxa"/>
              <w:left w:w="108" w:type="dxa"/>
              <w:bottom w:w="0" w:type="dxa"/>
              <w:right w:w="108" w:type="dxa"/>
            </w:tcMar>
            <w:hideMark/>
          </w:tcPr>
          <w:p w14:paraId="093A24D0" w14:textId="77777777" w:rsidR="00117674" w:rsidRPr="00C0286C" w:rsidRDefault="00117674" w:rsidP="00CB2C6A">
            <w:pPr>
              <w:pStyle w:val="Tabletext-C"/>
              <w:spacing w:line="276" w:lineRule="auto"/>
              <w:rPr>
                <w:rFonts w:ascii="Arial" w:hAnsi="Arial"/>
                <w:sz w:val="18"/>
                <w:szCs w:val="18"/>
              </w:rPr>
            </w:pPr>
            <w:r w:rsidRPr="00C0286C">
              <w:rPr>
                <w:rFonts w:ascii="Arial" w:hAnsi="Arial"/>
                <w:sz w:val="18"/>
                <w:szCs w:val="18"/>
              </w:rPr>
              <w:t>Day 0, Day 28, Day 56</w:t>
            </w:r>
          </w:p>
        </w:tc>
      </w:tr>
    </w:tbl>
    <w:p w14:paraId="47A2CF00" w14:textId="77777777" w:rsidR="00857778" w:rsidRPr="00857778" w:rsidRDefault="00857778" w:rsidP="00176FED">
      <w:pPr>
        <w:pStyle w:val="Heading2"/>
      </w:pPr>
      <w:bookmarkStart w:id="130" w:name="_Toc389129955"/>
      <w:bookmarkStart w:id="131" w:name="_Toc440906256"/>
      <w:r w:rsidRPr="00857778">
        <w:t>Evaluation of Safety Outcomes</w:t>
      </w:r>
      <w:bookmarkEnd w:id="130"/>
      <w:bookmarkEnd w:id="131"/>
    </w:p>
    <w:p w14:paraId="4BEC209F" w14:textId="6CA96EC7" w:rsidR="00857778" w:rsidRPr="00857778" w:rsidRDefault="00857778" w:rsidP="00857778">
      <w:pPr>
        <w:pStyle w:val="BodyText"/>
      </w:pPr>
      <w:r w:rsidRPr="00857778">
        <w:t xml:space="preserve">For each subject, general safety will be evaluated at baseline and on Days 0, 28, 56, </w:t>
      </w:r>
      <w:r w:rsidR="005E6C23">
        <w:t xml:space="preserve">84, </w:t>
      </w:r>
      <w:r w:rsidRPr="00857778">
        <w:t xml:space="preserve">112, 168, </w:t>
      </w:r>
      <w:r w:rsidR="0021094B">
        <w:t xml:space="preserve">and </w:t>
      </w:r>
      <w:r w:rsidR="00567485">
        <w:t>224</w:t>
      </w:r>
      <w:r w:rsidRPr="00362EC8">
        <w:t>.</w:t>
      </w:r>
      <w:r w:rsidRPr="00857778">
        <w:t xml:space="preserve"> Selected safety assessments will also be conducted in the clinic at 30 minutes, </w:t>
      </w:r>
      <w:r w:rsidR="00C10056">
        <w:t>three</w:t>
      </w:r>
      <w:r w:rsidR="00C10056" w:rsidRPr="00857778">
        <w:t xml:space="preserve"> </w:t>
      </w:r>
      <w:r w:rsidRPr="00857778">
        <w:t xml:space="preserve">and seven days after each injection (i.e., on Days 0, </w:t>
      </w:r>
      <w:r w:rsidR="00C10056">
        <w:t>3</w:t>
      </w:r>
      <w:r w:rsidRPr="00857778">
        <w:t xml:space="preserve">, and 7, </w:t>
      </w:r>
      <w:r w:rsidR="00FE6875" w:rsidRPr="00857778">
        <w:t xml:space="preserve">Days </w:t>
      </w:r>
      <w:r w:rsidR="00FE6875">
        <w:t>28</w:t>
      </w:r>
      <w:r w:rsidR="00FE6875" w:rsidRPr="00857778">
        <w:t xml:space="preserve">, </w:t>
      </w:r>
      <w:r w:rsidR="00FE6875">
        <w:t>31</w:t>
      </w:r>
      <w:r w:rsidR="00FE6875" w:rsidRPr="00857778">
        <w:t xml:space="preserve">, and </w:t>
      </w:r>
      <w:r w:rsidR="00FE6875">
        <w:t xml:space="preserve">35, </w:t>
      </w:r>
      <w:r w:rsidRPr="00857778">
        <w:t xml:space="preserve">and Days </w:t>
      </w:r>
      <w:r w:rsidR="005E6C23">
        <w:t>56</w:t>
      </w:r>
      <w:r w:rsidRPr="00857778">
        <w:t xml:space="preserve">, </w:t>
      </w:r>
      <w:r w:rsidR="005E6C23">
        <w:t>59</w:t>
      </w:r>
      <w:r w:rsidRPr="00857778">
        <w:t xml:space="preserve">, and </w:t>
      </w:r>
      <w:r w:rsidR="005E6C23">
        <w:t>63</w:t>
      </w:r>
      <w:r w:rsidRPr="00857778">
        <w:t>). Blood will be obtained at baseline</w:t>
      </w:r>
      <w:r w:rsidR="00CB6E67">
        <w:t xml:space="preserve">, </w:t>
      </w:r>
      <w:r w:rsidR="00FE6875">
        <w:t>Day 28 pre-injection,</w:t>
      </w:r>
      <w:r w:rsidR="00FE6875" w:rsidRPr="00857778">
        <w:t xml:space="preserve"> </w:t>
      </w:r>
      <w:r w:rsidR="00CB6E67">
        <w:t>Day 56 pre-injection,</w:t>
      </w:r>
      <w:r w:rsidRPr="00857778">
        <w:t xml:space="preserve"> and 7 days after each injection for safety assessments. </w:t>
      </w:r>
      <w:r w:rsidR="00CB6E67">
        <w:t>S</w:t>
      </w:r>
      <w:r w:rsidRPr="00857778">
        <w:t xml:space="preserve">afety laboratory results </w:t>
      </w:r>
      <w:r w:rsidR="00CB6E67">
        <w:t xml:space="preserve">from 7 </w:t>
      </w:r>
      <w:r w:rsidR="00B121D6">
        <w:t xml:space="preserve">days post injection </w:t>
      </w:r>
      <w:r w:rsidR="00CB6E67">
        <w:t xml:space="preserve">(and any follow-up labs necessary) </w:t>
      </w:r>
      <w:r w:rsidRPr="00857778">
        <w:t xml:space="preserve">will be reviewed prior to the next scheduled study injection. </w:t>
      </w:r>
      <w:bookmarkStart w:id="132" w:name="_Toc511638882"/>
    </w:p>
    <w:p w14:paraId="37AB8FD1" w14:textId="7ADB7822" w:rsidR="00857778" w:rsidRPr="00857778" w:rsidRDefault="00857778" w:rsidP="00857778">
      <w:pPr>
        <w:pStyle w:val="BodyText"/>
        <w:rPr>
          <w:bCs/>
        </w:rPr>
      </w:pPr>
      <w:r w:rsidRPr="00857778">
        <w:rPr>
          <w:bCs/>
        </w:rPr>
        <w:t>Safety through 7 days after the first injection must be demonstrated for all subjects in Cohort 1 pr</w:t>
      </w:r>
      <w:r w:rsidR="0072680F">
        <w:rPr>
          <w:bCs/>
        </w:rPr>
        <w:t>ior to randomizing and administering the first injection to</w:t>
      </w:r>
      <w:r w:rsidRPr="00857778">
        <w:rPr>
          <w:bCs/>
        </w:rPr>
        <w:t xml:space="preserve"> subjects in Cohort 2 (i.e., no rules for suspension are met). Similarly, safety through 7 days after the first injection must be demonstrated for all subjects in Cohort 2, pr</w:t>
      </w:r>
      <w:r w:rsidR="0072680F">
        <w:rPr>
          <w:bCs/>
        </w:rPr>
        <w:t>ior to randomizing and administering the first injection to</w:t>
      </w:r>
      <w:r w:rsidRPr="00857778">
        <w:rPr>
          <w:bCs/>
        </w:rPr>
        <w:t xml:space="preserve"> subjects in Cohort 3.</w:t>
      </w:r>
      <w:r w:rsidR="00725327">
        <w:rPr>
          <w:bCs/>
        </w:rPr>
        <w:t xml:space="preserve"> </w:t>
      </w:r>
    </w:p>
    <w:p w14:paraId="4BB92954" w14:textId="12A3DD4D" w:rsidR="00857778" w:rsidRDefault="00857778" w:rsidP="00857778">
      <w:pPr>
        <w:pStyle w:val="BodyText"/>
        <w:rPr>
          <w:bCs/>
        </w:rPr>
      </w:pPr>
      <w:r w:rsidRPr="00857778">
        <w:rPr>
          <w:bCs/>
        </w:rPr>
        <w:t>Safety through 7 days after the 2</w:t>
      </w:r>
      <w:r w:rsidRPr="00857778">
        <w:rPr>
          <w:bCs/>
          <w:vertAlign w:val="superscript"/>
        </w:rPr>
        <w:t>nd</w:t>
      </w:r>
      <w:r w:rsidR="007C0DD0">
        <w:rPr>
          <w:bCs/>
        </w:rPr>
        <w:t xml:space="preserve"> </w:t>
      </w:r>
      <w:r w:rsidRPr="00857778">
        <w:rPr>
          <w:bCs/>
        </w:rPr>
        <w:t>injection must be demonstrated for all subjects in Cohort 1, prior to administering the 2</w:t>
      </w:r>
      <w:r w:rsidRPr="00857778">
        <w:rPr>
          <w:bCs/>
          <w:vertAlign w:val="superscript"/>
        </w:rPr>
        <w:t>nd</w:t>
      </w:r>
      <w:r w:rsidRPr="00857778">
        <w:rPr>
          <w:bCs/>
        </w:rPr>
        <w:t xml:space="preserve"> injection to subjects in Cohort 2</w:t>
      </w:r>
      <w:r w:rsidRPr="00534ABD">
        <w:rPr>
          <w:bCs/>
        </w:rPr>
        <w:t>..</w:t>
      </w:r>
    </w:p>
    <w:p w14:paraId="0002CEAD" w14:textId="77777777" w:rsidR="00DC6A4E" w:rsidRPr="00857778" w:rsidRDefault="00DC6A4E" w:rsidP="00857778">
      <w:pPr>
        <w:pStyle w:val="BodyText"/>
        <w:rPr>
          <w:bCs/>
        </w:rPr>
      </w:pPr>
    </w:p>
    <w:p w14:paraId="7AE8BB58" w14:textId="336D8733" w:rsidR="00857778" w:rsidRPr="00FE7EBC" w:rsidRDefault="00857778" w:rsidP="00176FED">
      <w:pPr>
        <w:pStyle w:val="Heading2"/>
      </w:pPr>
      <w:bookmarkStart w:id="133" w:name="_Toc389129956"/>
      <w:bookmarkStart w:id="134" w:name="_Toc440906257"/>
      <w:r w:rsidRPr="00FE7EBC">
        <w:t>Evaluation of Immunogenicity Outcomes</w:t>
      </w:r>
      <w:bookmarkEnd w:id="133"/>
      <w:bookmarkEnd w:id="134"/>
    </w:p>
    <w:p w14:paraId="2EEDE7D1" w14:textId="61DA9556" w:rsidR="00857778" w:rsidRPr="00FE7EBC" w:rsidRDefault="00857778" w:rsidP="00857778">
      <w:pPr>
        <w:pStyle w:val="BodyText"/>
      </w:pPr>
      <w:r w:rsidRPr="003400EE">
        <w:t xml:space="preserve">Blood for immunogenicity assessments will be obtained on Days 0, </w:t>
      </w:r>
      <w:r w:rsidR="0027299B" w:rsidRPr="003400EE">
        <w:t>3</w:t>
      </w:r>
      <w:r w:rsidRPr="003400EE">
        <w:t xml:space="preserve">, </w:t>
      </w:r>
      <w:r w:rsidR="005E6C23" w:rsidRPr="003400EE">
        <w:t>14</w:t>
      </w:r>
      <w:r w:rsidRPr="003400EE">
        <w:t xml:space="preserve">, 28, </w:t>
      </w:r>
      <w:r w:rsidR="00B97C16">
        <w:t xml:space="preserve">42, </w:t>
      </w:r>
      <w:r w:rsidRPr="003400EE">
        <w:t>56</w:t>
      </w:r>
      <w:r w:rsidR="005E6C23" w:rsidRPr="003400EE">
        <w:t>, 70, 84</w:t>
      </w:r>
      <w:r w:rsidR="003F0938">
        <w:t>,</w:t>
      </w:r>
      <w:r w:rsidR="0027299B" w:rsidRPr="003400EE">
        <w:t xml:space="preserve"> and </w:t>
      </w:r>
      <w:r w:rsidR="00567485">
        <w:t>224</w:t>
      </w:r>
      <w:r w:rsidRPr="003400EE">
        <w:t>.</w:t>
      </w:r>
      <w:bookmarkEnd w:id="132"/>
      <w:r w:rsidRPr="00FE7EBC">
        <w:t xml:space="preserve"> Immunogenicity evaluations will include quantification of T-cell cytokine responses from whole blood and PBMC samples</w:t>
      </w:r>
      <w:r w:rsidR="005E6C23">
        <w:t xml:space="preserve"> and</w:t>
      </w:r>
      <w:r w:rsidR="005E6C23" w:rsidRPr="00FE7EBC">
        <w:t xml:space="preserve"> </w:t>
      </w:r>
      <w:r w:rsidRPr="00FE7EBC">
        <w:t>IgG serum antibody responses to ID93</w:t>
      </w:r>
      <w:r w:rsidR="005E6C23">
        <w:t>.</w:t>
      </w:r>
      <w:r w:rsidRPr="00FE7EBC">
        <w:t xml:space="preserve"> </w:t>
      </w:r>
      <w:r w:rsidR="005E6C23">
        <w:t xml:space="preserve">Samples for </w:t>
      </w:r>
      <w:r w:rsidRPr="00FE7EBC">
        <w:t>gene expression signatures</w:t>
      </w:r>
      <w:r w:rsidR="003A223A" w:rsidRPr="00FE7EBC">
        <w:t xml:space="preserve"> (RNA)</w:t>
      </w:r>
      <w:r w:rsidR="005E6C23">
        <w:t xml:space="preserve"> will be </w:t>
      </w:r>
      <w:r w:rsidR="003400EE">
        <w:t xml:space="preserve">obtained and stored for future analyses on Days 0, 3, </w:t>
      </w:r>
      <w:r w:rsidR="003400EE" w:rsidRPr="00425D4C">
        <w:t xml:space="preserve">7, </w:t>
      </w:r>
      <w:r w:rsidR="00425D4C">
        <w:t xml:space="preserve">28, </w:t>
      </w:r>
      <w:r w:rsidR="00B97C16" w:rsidRPr="00425D4C">
        <w:t xml:space="preserve">31, 35, </w:t>
      </w:r>
      <w:r w:rsidR="00425D4C">
        <w:t xml:space="preserve">56, </w:t>
      </w:r>
      <w:r w:rsidR="003400EE" w:rsidRPr="00425D4C">
        <w:t>59</w:t>
      </w:r>
      <w:r w:rsidR="003400EE">
        <w:t>, 63</w:t>
      </w:r>
      <w:r w:rsidR="00906CD6">
        <w:t>,</w:t>
      </w:r>
      <w:r w:rsidR="003400EE">
        <w:t xml:space="preserve"> and </w:t>
      </w:r>
      <w:r w:rsidR="0021094B">
        <w:t xml:space="preserve">if relevant, </w:t>
      </w:r>
      <w:r w:rsidR="003400EE">
        <w:t xml:space="preserve">at </w:t>
      </w:r>
      <w:r w:rsidR="003400EE">
        <w:rPr>
          <w:rFonts w:cs="Arial"/>
          <w:szCs w:val="22"/>
        </w:rPr>
        <w:t>time</w:t>
      </w:r>
      <w:r w:rsidR="003400EE" w:rsidRPr="003400EE">
        <w:rPr>
          <w:rFonts w:cs="Arial"/>
          <w:szCs w:val="22"/>
        </w:rPr>
        <w:t xml:space="preserve"> of TB </w:t>
      </w:r>
      <w:r w:rsidR="0021094B">
        <w:rPr>
          <w:rFonts w:cs="Arial"/>
          <w:szCs w:val="22"/>
        </w:rPr>
        <w:t xml:space="preserve">disease </w:t>
      </w:r>
      <w:r w:rsidR="003400EE" w:rsidRPr="003400EE">
        <w:rPr>
          <w:rFonts w:cs="Arial"/>
          <w:szCs w:val="22"/>
        </w:rPr>
        <w:t>recurrence</w:t>
      </w:r>
      <w:r w:rsidRPr="00FE7EBC">
        <w:t>.</w:t>
      </w:r>
    </w:p>
    <w:p w14:paraId="77E31A22" w14:textId="59CE9279" w:rsidR="00857778" w:rsidRPr="00FE7EBC" w:rsidRDefault="00857778" w:rsidP="00176FED">
      <w:pPr>
        <w:pStyle w:val="Heading2"/>
      </w:pPr>
      <w:bookmarkStart w:id="135" w:name="_Toc389129957"/>
      <w:bookmarkStart w:id="136" w:name="_Toc440906258"/>
      <w:r w:rsidRPr="00FE7EBC">
        <w:t xml:space="preserve">Evaluation of </w:t>
      </w:r>
      <w:r w:rsidR="00D5315E">
        <w:t xml:space="preserve">TB </w:t>
      </w:r>
      <w:r w:rsidR="007474C7">
        <w:t>Disease R</w:t>
      </w:r>
      <w:r w:rsidR="00D5315E">
        <w:t>ecurrence</w:t>
      </w:r>
      <w:bookmarkEnd w:id="135"/>
      <w:bookmarkEnd w:id="136"/>
    </w:p>
    <w:p w14:paraId="7E28438B" w14:textId="04BA6A3C" w:rsidR="00E0436D" w:rsidRDefault="004604A4" w:rsidP="00857778">
      <w:pPr>
        <w:pStyle w:val="BodyText"/>
      </w:pPr>
      <w:r>
        <w:t xml:space="preserve">Subjects will be assessed for possible </w:t>
      </w:r>
      <w:r w:rsidR="00857778" w:rsidRPr="00857778">
        <w:t>recurrent TB disease</w:t>
      </w:r>
      <w:r>
        <w:t xml:space="preserve"> at each post injection study visit</w:t>
      </w:r>
      <w:r w:rsidR="00857778" w:rsidRPr="00857778">
        <w:t xml:space="preserve">. </w:t>
      </w:r>
      <w:r>
        <w:t>Additionally, subjects will be asked to contact the study team if they develop symptoms suggestive of recurrent TB disease.</w:t>
      </w:r>
    </w:p>
    <w:p w14:paraId="5E6E890E" w14:textId="115737D4" w:rsidR="00857778" w:rsidRPr="00857778" w:rsidRDefault="001856E7" w:rsidP="00857778">
      <w:pPr>
        <w:pStyle w:val="BodyText"/>
      </w:pPr>
      <w:r w:rsidRPr="00B30D41">
        <w:t>Subjects who present with respiratory symptoms should be evaluated for TB disease at the discretion of the investigator</w:t>
      </w:r>
      <w:r w:rsidR="004604A4" w:rsidRPr="00B30D41">
        <w:t xml:space="preserve"> on clinical grounds</w:t>
      </w:r>
      <w:r w:rsidRPr="00B30D41">
        <w:t>. A</w:t>
      </w:r>
      <w:r>
        <w:t xml:space="preserve"> course of antibiotic therapy may be appropriate to rule out a bacterial respiratory infection before starting TB investigations.</w:t>
      </w:r>
      <w:r w:rsidR="004604A4">
        <w:t xml:space="preserve"> S</w:t>
      </w:r>
      <w:r w:rsidR="00857778" w:rsidRPr="00857778">
        <w:t xml:space="preserve">ubjects will be screened for </w:t>
      </w:r>
      <w:r>
        <w:t xml:space="preserve">persistent (14 days or longer) or unexplained </w:t>
      </w:r>
      <w:r w:rsidR="00857778" w:rsidRPr="00857778">
        <w:t xml:space="preserve">symptoms of suspected TB disease, including productive cough, fever, weight loss, fatigue, chest pain, or </w:t>
      </w:r>
      <w:r>
        <w:t xml:space="preserve">any </w:t>
      </w:r>
      <w:r w:rsidR="00857778" w:rsidRPr="00857778">
        <w:t xml:space="preserve">hemoptysis. </w:t>
      </w:r>
      <w:r w:rsidRPr="00857778">
        <w:t>In addition, subjects will be educated to contact study staff if any symptoms of suspected TB occur in the interim</w:t>
      </w:r>
      <w:r w:rsidR="00857778" w:rsidRPr="00857778">
        <w:t xml:space="preserve">. Presence of </w:t>
      </w:r>
      <w:r>
        <w:t xml:space="preserve">persistent and unexplained </w:t>
      </w:r>
      <w:r w:rsidR="00857778" w:rsidRPr="00857778">
        <w:t>symptoms</w:t>
      </w:r>
      <w:r>
        <w:t xml:space="preserve"> </w:t>
      </w:r>
      <w:r w:rsidR="004604A4">
        <w:t>should</w:t>
      </w:r>
      <w:r w:rsidR="00857778" w:rsidRPr="00857778">
        <w:t xml:space="preserve"> trigger investigation for recurrent TB disease, including at least two sputum collections for MTB liquid culture and speciation, and Xpert MTB/RIF. Subjects with confirmed recurrent TB disease will also be investigated for possible HIV infection. Investigation of subjects who are sputum liquid MTB culture negative and Xpert MTB/RIF test negative, or who have suspected extra-pulmonary TB, may include additional sputum induction, chest radiography, other radiological imaging, aspiration, biopsy, or other additional investigations as clinically indicated.</w:t>
      </w:r>
    </w:p>
    <w:p w14:paraId="65F29DDC" w14:textId="77777777" w:rsidR="00F43682" w:rsidRDefault="00F43682">
      <w:pPr>
        <w:pStyle w:val="Heading1"/>
      </w:pPr>
      <w:bookmarkStart w:id="137" w:name="_Toc42588966"/>
      <w:bookmarkStart w:id="138" w:name="_Toc53202807"/>
      <w:bookmarkStart w:id="139" w:name="_Toc103504797"/>
      <w:bookmarkStart w:id="140" w:name="_Toc389129958"/>
      <w:bookmarkStart w:id="141" w:name="_Toc440906259"/>
      <w:r>
        <w:t xml:space="preserve">Study </w:t>
      </w:r>
      <w:bookmarkEnd w:id="137"/>
      <w:bookmarkEnd w:id="138"/>
      <w:r>
        <w:t>Enrollment</w:t>
      </w:r>
      <w:bookmarkEnd w:id="139"/>
      <w:r>
        <w:t xml:space="preserve"> and Withdrawal</w:t>
      </w:r>
      <w:bookmarkEnd w:id="140"/>
      <w:bookmarkEnd w:id="141"/>
    </w:p>
    <w:p w14:paraId="51A89941" w14:textId="77777777" w:rsidR="00F43682" w:rsidRDefault="00F43682">
      <w:pPr>
        <w:pStyle w:val="Heading2"/>
      </w:pPr>
      <w:bookmarkStart w:id="142" w:name="_Toc42588967"/>
      <w:bookmarkStart w:id="143" w:name="_Toc53202808"/>
      <w:bookmarkStart w:id="144" w:name="_Ref389061455"/>
      <w:bookmarkStart w:id="145" w:name="_Ref389061512"/>
      <w:bookmarkStart w:id="146" w:name="_Toc389129959"/>
      <w:bookmarkStart w:id="147" w:name="_Toc440906260"/>
      <w:r>
        <w:t>Subject Inclusion Criteria</w:t>
      </w:r>
      <w:bookmarkEnd w:id="142"/>
      <w:bookmarkEnd w:id="143"/>
      <w:bookmarkEnd w:id="144"/>
      <w:bookmarkEnd w:id="145"/>
      <w:bookmarkEnd w:id="146"/>
      <w:bookmarkEnd w:id="147"/>
    </w:p>
    <w:p w14:paraId="6C14ADAE" w14:textId="77777777" w:rsidR="003B0B90" w:rsidRDefault="003B0B90" w:rsidP="00FE7EBC">
      <w:bookmarkStart w:id="148" w:name="_Ref376856663"/>
    </w:p>
    <w:p w14:paraId="4BBFF874" w14:textId="7C79C437" w:rsidR="005F314B" w:rsidRPr="005F314B" w:rsidRDefault="005F314B" w:rsidP="00FE7EBC">
      <w:r w:rsidRPr="005F314B">
        <w:t>Subjects must meet ALL of the following inclusion criteria to be eligible:</w:t>
      </w:r>
      <w:bookmarkEnd w:id="148"/>
    </w:p>
    <w:p w14:paraId="61062F49" w14:textId="636C532B" w:rsidR="00655167" w:rsidRDefault="00655167" w:rsidP="00655167">
      <w:pPr>
        <w:pStyle w:val="BodyText"/>
        <w:numPr>
          <w:ilvl w:val="0"/>
          <w:numId w:val="20"/>
        </w:numPr>
        <w:rPr>
          <w:bCs/>
          <w:iCs/>
        </w:rPr>
      </w:pPr>
      <w:r w:rsidRPr="005F314B">
        <w:rPr>
          <w:bCs/>
          <w:iCs/>
        </w:rPr>
        <w:t xml:space="preserve">Males and females </w:t>
      </w:r>
      <w:r w:rsidRPr="005F314B">
        <w:rPr>
          <w:bCs/>
          <w:iCs/>
        </w:rPr>
        <w:sym w:font="Symbol" w:char="F0B3"/>
      </w:r>
      <w:r w:rsidRPr="005F314B">
        <w:rPr>
          <w:bCs/>
          <w:iCs/>
        </w:rPr>
        <w:t xml:space="preserve">18 years and </w:t>
      </w:r>
      <w:r w:rsidRPr="005F314B">
        <w:rPr>
          <w:bCs/>
          <w:iCs/>
        </w:rPr>
        <w:sym w:font="Symbol" w:char="F0A3"/>
      </w:r>
      <w:r w:rsidR="0085173A">
        <w:rPr>
          <w:bCs/>
          <w:iCs/>
        </w:rPr>
        <w:t>60</w:t>
      </w:r>
      <w:r w:rsidRPr="005F314B">
        <w:rPr>
          <w:bCs/>
          <w:iCs/>
        </w:rPr>
        <w:t>years of age</w:t>
      </w:r>
      <w:r>
        <w:rPr>
          <w:bCs/>
          <w:iCs/>
        </w:rPr>
        <w:t>.</w:t>
      </w:r>
    </w:p>
    <w:p w14:paraId="6903115D" w14:textId="0C541666" w:rsidR="00655167" w:rsidRPr="00655167" w:rsidRDefault="005F314B" w:rsidP="00655167">
      <w:pPr>
        <w:pStyle w:val="BodyText"/>
        <w:numPr>
          <w:ilvl w:val="0"/>
          <w:numId w:val="20"/>
        </w:numPr>
        <w:rPr>
          <w:bCs/>
          <w:iCs/>
        </w:rPr>
      </w:pPr>
      <w:r w:rsidRPr="005F314B">
        <w:rPr>
          <w:bCs/>
          <w:iCs/>
        </w:rPr>
        <w:t>Subjects must have been successfully treated, i</w:t>
      </w:r>
      <w:r w:rsidR="00906CD6">
        <w:rPr>
          <w:bCs/>
          <w:iCs/>
        </w:rPr>
        <w:t>.</w:t>
      </w:r>
      <w:r w:rsidRPr="005F314B">
        <w:rPr>
          <w:bCs/>
          <w:iCs/>
        </w:rPr>
        <w:t>e.</w:t>
      </w:r>
      <w:r w:rsidR="00906CD6">
        <w:rPr>
          <w:bCs/>
          <w:iCs/>
        </w:rPr>
        <w:t>,</w:t>
      </w:r>
      <w:r w:rsidRPr="005F314B">
        <w:rPr>
          <w:bCs/>
          <w:iCs/>
        </w:rPr>
        <w:t xml:space="preserve"> completed the scheduled course of TB treatment as per </w:t>
      </w:r>
      <w:r w:rsidR="00A35ED8">
        <w:rPr>
          <w:bCs/>
          <w:iCs/>
        </w:rPr>
        <w:t xml:space="preserve">the prevailing </w:t>
      </w:r>
      <w:r w:rsidRPr="005F314B">
        <w:rPr>
          <w:bCs/>
          <w:iCs/>
        </w:rPr>
        <w:t>South African national guidelines, for MTB culture</w:t>
      </w:r>
      <w:r w:rsidR="00655167">
        <w:rPr>
          <w:bCs/>
          <w:iCs/>
        </w:rPr>
        <w:t>-</w:t>
      </w:r>
      <w:r w:rsidRPr="005F314B">
        <w:rPr>
          <w:bCs/>
          <w:iCs/>
        </w:rPr>
        <w:t>confirmed, drug sensitive pulmonary TB</w:t>
      </w:r>
      <w:r w:rsidR="00655167" w:rsidRPr="00655167">
        <w:rPr>
          <w:bCs/>
          <w:iCs/>
        </w:rPr>
        <w:t xml:space="preserve">, as evidenced by </w:t>
      </w:r>
      <w:r w:rsidR="0095034F">
        <w:rPr>
          <w:bCs/>
          <w:iCs/>
        </w:rPr>
        <w:t xml:space="preserve">a record of </w:t>
      </w:r>
      <w:r w:rsidR="00655167" w:rsidRPr="00655167">
        <w:rPr>
          <w:bCs/>
          <w:iCs/>
        </w:rPr>
        <w:t xml:space="preserve">positive liquid MTB culture with formal drug sensitivity testing (DST) and/or by Xpert MTB/RIF test at baseline. </w:t>
      </w:r>
    </w:p>
    <w:p w14:paraId="303FD026" w14:textId="657A38C5" w:rsidR="005F314B" w:rsidRPr="00362EC8" w:rsidRDefault="0072680F" w:rsidP="00655167">
      <w:pPr>
        <w:pStyle w:val="BodyText"/>
        <w:numPr>
          <w:ilvl w:val="0"/>
          <w:numId w:val="20"/>
        </w:numPr>
        <w:rPr>
          <w:bCs/>
          <w:iCs/>
        </w:rPr>
      </w:pPr>
      <w:r w:rsidRPr="00655167">
        <w:rPr>
          <w:bCs/>
          <w:iCs/>
        </w:rPr>
        <w:t>Must have two separate samples</w:t>
      </w:r>
      <w:r w:rsidR="005F314B" w:rsidRPr="00655167">
        <w:rPr>
          <w:bCs/>
          <w:iCs/>
        </w:rPr>
        <w:t xml:space="preserve"> showing bac</w:t>
      </w:r>
      <w:r w:rsidR="00AD3D41" w:rsidRPr="00655167">
        <w:rPr>
          <w:bCs/>
          <w:iCs/>
        </w:rPr>
        <w:t>teriologic confirmation of cure -</w:t>
      </w:r>
      <w:r w:rsidR="005F314B" w:rsidRPr="00655167">
        <w:rPr>
          <w:bCs/>
          <w:iCs/>
        </w:rPr>
        <w:t xml:space="preserve"> defined </w:t>
      </w:r>
      <w:r w:rsidR="00AD3D41" w:rsidRPr="00655167">
        <w:rPr>
          <w:bCs/>
          <w:iCs/>
        </w:rPr>
        <w:t xml:space="preserve">in the first instance </w:t>
      </w:r>
      <w:r w:rsidR="005F314B" w:rsidRPr="00655167">
        <w:rPr>
          <w:bCs/>
          <w:iCs/>
        </w:rPr>
        <w:t xml:space="preserve">as </w:t>
      </w:r>
      <w:r w:rsidR="00AD3D41" w:rsidRPr="00A058F8">
        <w:rPr>
          <w:bCs/>
          <w:iCs/>
        </w:rPr>
        <w:t xml:space="preserve">Xpert MTB/RIF test negative, or, if Xpert </w:t>
      </w:r>
      <w:r w:rsidR="005F314B" w:rsidRPr="00A058F8">
        <w:rPr>
          <w:bCs/>
          <w:iCs/>
        </w:rPr>
        <w:t>MTB</w:t>
      </w:r>
      <w:r w:rsidR="00AD3D41" w:rsidRPr="001D0607">
        <w:rPr>
          <w:bCs/>
          <w:iCs/>
        </w:rPr>
        <w:t>/RIF positive, as MTB</w:t>
      </w:r>
      <w:r w:rsidR="00176FED">
        <w:rPr>
          <w:bCs/>
          <w:iCs/>
        </w:rPr>
        <w:t xml:space="preserve"> liquid culture negative</w:t>
      </w:r>
      <w:r w:rsidR="00AD3D41" w:rsidRPr="00563F07">
        <w:rPr>
          <w:bCs/>
          <w:iCs/>
        </w:rPr>
        <w:t xml:space="preserve"> -</w:t>
      </w:r>
      <w:r w:rsidR="005F314B" w:rsidRPr="00874CA8">
        <w:rPr>
          <w:bCs/>
          <w:iCs/>
        </w:rPr>
        <w:t xml:space="preserve"> on two successive occasions </w:t>
      </w:r>
      <w:r w:rsidR="005F314B" w:rsidRPr="00362EC8">
        <w:rPr>
          <w:bCs/>
          <w:iCs/>
        </w:rPr>
        <w:t xml:space="preserve">at least </w:t>
      </w:r>
      <w:r w:rsidR="000D2E24">
        <w:rPr>
          <w:bCs/>
          <w:iCs/>
        </w:rPr>
        <w:t>14</w:t>
      </w:r>
      <w:r w:rsidR="00D12661" w:rsidRPr="00362EC8">
        <w:rPr>
          <w:bCs/>
          <w:iCs/>
        </w:rPr>
        <w:t xml:space="preserve"> </w:t>
      </w:r>
      <w:r w:rsidR="005F314B" w:rsidRPr="00362EC8">
        <w:rPr>
          <w:bCs/>
          <w:iCs/>
        </w:rPr>
        <w:t>days apart. Subjects who are sputum unproductive wil</w:t>
      </w:r>
      <w:r w:rsidR="00AD3D41" w:rsidRPr="00362EC8">
        <w:rPr>
          <w:bCs/>
          <w:iCs/>
        </w:rPr>
        <w:t xml:space="preserve">l be deemed Xpert MTB/RIF and MTB liquid culture </w:t>
      </w:r>
      <w:r w:rsidR="005F314B" w:rsidRPr="00362EC8">
        <w:rPr>
          <w:bCs/>
          <w:iCs/>
        </w:rPr>
        <w:t>negative</w:t>
      </w:r>
      <w:r w:rsidR="00F83EFB">
        <w:rPr>
          <w:bCs/>
          <w:iCs/>
        </w:rPr>
        <w:t xml:space="preserve"> </w:t>
      </w:r>
      <w:r w:rsidR="004E1C21">
        <w:rPr>
          <w:bCs/>
          <w:iCs/>
        </w:rPr>
        <w:fldChar w:fldCharType="begin"/>
      </w:r>
      <w:r w:rsidR="001A1F59">
        <w:rPr>
          <w:bCs/>
          <w:iCs/>
        </w:rPr>
        <w:instrText xml:space="preserve"> ADDIN EN.CITE &lt;EndNote&gt;&lt;Cite&gt;&lt;Author&gt;Perrin&lt;/Author&gt;&lt;Year&gt;2009&lt;/Year&gt;&lt;RecNum&gt;8763&lt;/RecNum&gt;&lt;DisplayText&gt;[14]&lt;/DisplayText&gt;&lt;record&gt;&lt;rec-number&gt;8763&lt;/rec-number&gt;&lt;foreign-keys&gt;&lt;key app="EN" db-id="xwz9pswzer5s0dewarv5ve5fs9ee5vxs9zfp" timestamp="1355594927"&gt;8763&lt;/key&gt;&lt;/foreign-keys&gt;&lt;ref-type name="Journal Article"&gt;17&lt;/ref-type&gt;&lt;contributors&gt;&lt;authors&gt;&lt;author&gt;Perrin, F. M.&lt;/author&gt;&lt;author&gt;Breen, R. A.&lt;/author&gt;&lt;author&gt;McHugh, T. D.&lt;/author&gt;&lt;author&gt;Gillespie, S. H.&lt;/author&gt;&lt;author&gt;Lipman, M. C.&lt;/author&gt;&lt;/authors&gt;&lt;/contributors&gt;&lt;titles&gt;&lt;title&gt;Are patients on treatment for pulmonary TB who stop expectorating sputum genuinely culture negative?&lt;/title&gt;&lt;secondary-title&gt;Thorax&lt;/secondary-title&gt;&lt;/titles&gt;&lt;periodical&gt;&lt;full-title&gt;Thorax&lt;/full-title&gt;&lt;/periodical&gt;&lt;pages&gt;1009-10&lt;/pages&gt;&lt;volume&gt;64&lt;/volume&gt;&lt;number&gt;11&lt;/number&gt;&lt;edition&gt;2009/10/30&lt;/edition&gt;&lt;keywords&gt;&lt;keyword&gt;Adolescent&lt;/keyword&gt;&lt;keyword&gt;Adult&lt;/keyword&gt;&lt;keyword&gt;Antitubercular Agents/therapeutic use&lt;/keyword&gt;&lt;keyword&gt;Female&lt;/keyword&gt;&lt;keyword&gt;Humans&lt;/keyword&gt;&lt;keyword&gt;Male&lt;/keyword&gt;&lt;keyword&gt;Middle Aged&lt;/keyword&gt;&lt;keyword&gt;Prospective Studies&lt;/keyword&gt;&lt;keyword&gt;Sputum/*microbiology/secretion&lt;/keyword&gt;&lt;keyword&gt;Time Factors&lt;/keyword&gt;&lt;keyword&gt;Tuberculosis, Pulmonary/drug therapy/*microbiology&lt;/keyword&gt;&lt;keyword&gt;Young Adult&lt;/keyword&gt;&lt;/keywords&gt;&lt;dates&gt;&lt;year&gt;2009&lt;/year&gt;&lt;pub-dates&gt;&lt;date&gt;Nov&lt;/date&gt;&lt;/pub-dates&gt;&lt;/dates&gt;&lt;isbn&gt;1468-3296 (Electronic)&amp;#xD;0040-6376 (Linking)&lt;/isbn&gt;&lt;accession-num&gt;19864550&lt;/accession-num&gt;&lt;urls&gt;&lt;related-urls&gt;&lt;url&gt;http://www.ncbi.nlm.nih.gov/pubmed/19864550&lt;/url&gt;&lt;/related-urls&gt;&lt;/urls&gt;&lt;electronic-resource-num&gt;10.1136/thx.2009.115915&amp;#xD;64/11/1009-b [pii]&lt;/electronic-resource-num&gt;&lt;language&gt;eng&lt;/language&gt;&lt;/record&gt;&lt;/Cite&gt;&lt;/EndNote&gt;</w:instrText>
      </w:r>
      <w:r w:rsidR="004E1C21">
        <w:rPr>
          <w:bCs/>
          <w:iCs/>
        </w:rPr>
        <w:fldChar w:fldCharType="separate"/>
      </w:r>
      <w:r w:rsidR="001A1F59">
        <w:rPr>
          <w:bCs/>
          <w:iCs/>
          <w:noProof/>
        </w:rPr>
        <w:t>[</w:t>
      </w:r>
      <w:hyperlink w:anchor="_ENREF_14" w:tooltip="Perrin, 2009 #8763" w:history="1">
        <w:r w:rsidR="001A1F59" w:rsidRPr="0038687D">
          <w:rPr>
            <w:bCs/>
            <w:iCs/>
            <w:noProof/>
            <w:color w:val="0000FF"/>
          </w:rPr>
          <w:t>14</w:t>
        </w:r>
      </w:hyperlink>
      <w:r w:rsidR="001A1F59">
        <w:rPr>
          <w:bCs/>
          <w:iCs/>
          <w:noProof/>
        </w:rPr>
        <w:t>]</w:t>
      </w:r>
      <w:r w:rsidR="004E1C21">
        <w:rPr>
          <w:bCs/>
          <w:iCs/>
        </w:rPr>
        <w:fldChar w:fldCharType="end"/>
      </w:r>
      <w:r w:rsidR="005F314B" w:rsidRPr="00362EC8">
        <w:rPr>
          <w:bCs/>
          <w:iCs/>
        </w:rPr>
        <w:t>.</w:t>
      </w:r>
    </w:p>
    <w:p w14:paraId="1B2117FA" w14:textId="21B9D404" w:rsidR="005F314B" w:rsidRPr="005F314B" w:rsidRDefault="005F314B" w:rsidP="00C648A1">
      <w:pPr>
        <w:pStyle w:val="BodyText"/>
        <w:numPr>
          <w:ilvl w:val="0"/>
          <w:numId w:val="20"/>
        </w:numPr>
        <w:rPr>
          <w:bCs/>
          <w:iCs/>
        </w:rPr>
      </w:pPr>
      <w:r w:rsidRPr="005F314B">
        <w:rPr>
          <w:bCs/>
          <w:iCs/>
        </w:rPr>
        <w:t>Female subjects of childbearing potential must have a negative serum pregnancy test at screening and a negative urine pregnancy test on the day of each study injection, must not be breast-feeding, and be willing to avoid pregnancy for 3 months following first study injection.</w:t>
      </w:r>
      <w:r w:rsidR="00725327">
        <w:rPr>
          <w:bCs/>
          <w:iCs/>
        </w:rPr>
        <w:t xml:space="preserve"> </w:t>
      </w:r>
      <w:r w:rsidRPr="005F314B">
        <w:rPr>
          <w:bCs/>
          <w:iCs/>
        </w:rPr>
        <w:t>Women physically capable of pregnancy (not sterilized and still menstruating or within 1 year of the last menses if menopausal) in sexual relationships with men must use an acceptable method of avoiding pregnancy during this period.</w:t>
      </w:r>
      <w:r w:rsidR="00725327">
        <w:rPr>
          <w:bCs/>
          <w:iCs/>
        </w:rPr>
        <w:t xml:space="preserve"> </w:t>
      </w:r>
      <w:r w:rsidRPr="005F314B">
        <w:rPr>
          <w:bCs/>
          <w:iCs/>
        </w:rPr>
        <w:t>Acceptable methods of avoiding pregnancy include a sterile sexual partner, sexual abstinence (not engaging in sexual intercourse), hormonal contraceptives (oral, injection, transdermal patch, or implant), vaginal ring, intrauterine device (IUD), or the combination of a condom or diaphragm with spermicide gel. These precautions are necessary due to unknown effects that ID93 + GLA-SE might cause in a fetus or newborn infant.</w:t>
      </w:r>
    </w:p>
    <w:p w14:paraId="5FA180F3" w14:textId="475A6F69" w:rsidR="005F314B" w:rsidRPr="005F314B" w:rsidRDefault="005F314B" w:rsidP="00C648A1">
      <w:pPr>
        <w:pStyle w:val="BodyText"/>
        <w:numPr>
          <w:ilvl w:val="0"/>
          <w:numId w:val="20"/>
        </w:numPr>
        <w:rPr>
          <w:bCs/>
          <w:iCs/>
        </w:rPr>
      </w:pPr>
      <w:r w:rsidRPr="005F314B">
        <w:rPr>
          <w:bCs/>
          <w:iCs/>
        </w:rPr>
        <w:t xml:space="preserve">The following screening laboratory values must be within the laboratory reference range or, if abnormal, deemed not clinically significant and less than Grade 2 severity on the </w:t>
      </w:r>
      <w:r w:rsidR="002047AB">
        <w:rPr>
          <w:bCs/>
          <w:iCs/>
        </w:rPr>
        <w:t xml:space="preserve">FDA </w:t>
      </w:r>
      <w:r w:rsidRPr="005F314B">
        <w:rPr>
          <w:bCs/>
          <w:iCs/>
        </w:rPr>
        <w:t xml:space="preserve">Toxicity Scale, as determined by the PI and </w:t>
      </w:r>
      <w:r w:rsidR="005C070C">
        <w:rPr>
          <w:bCs/>
          <w:iCs/>
        </w:rPr>
        <w:t>LMM</w:t>
      </w:r>
      <w:r w:rsidR="00E0436D">
        <w:rPr>
          <w:bCs/>
          <w:iCs/>
        </w:rPr>
        <w:t xml:space="preserve"> or Sponsor Medical </w:t>
      </w:r>
      <w:r w:rsidR="00B11957">
        <w:rPr>
          <w:bCs/>
          <w:iCs/>
        </w:rPr>
        <w:t>Advisor</w:t>
      </w:r>
      <w:r w:rsidRPr="005F314B">
        <w:rPr>
          <w:bCs/>
          <w:iCs/>
        </w:rPr>
        <w:t>: ALT, AST,</w:t>
      </w:r>
      <w:r w:rsidR="00287547">
        <w:rPr>
          <w:bCs/>
          <w:iCs/>
        </w:rPr>
        <w:t xml:space="preserve"> </w:t>
      </w:r>
      <w:r w:rsidRPr="005F314B">
        <w:rPr>
          <w:bCs/>
          <w:iCs/>
        </w:rPr>
        <w:t>total bilirubin,</w:t>
      </w:r>
      <w:r w:rsidR="00172472">
        <w:rPr>
          <w:bCs/>
          <w:iCs/>
        </w:rPr>
        <w:t xml:space="preserve"> creatinine,</w:t>
      </w:r>
      <w:r w:rsidRPr="005F314B">
        <w:rPr>
          <w:bCs/>
          <w:iCs/>
        </w:rPr>
        <w:t xml:space="preserve"> total WBC count, hemoglobin, and platelet count.</w:t>
      </w:r>
      <w:r w:rsidR="005A0BDA">
        <w:rPr>
          <w:bCs/>
          <w:iCs/>
        </w:rPr>
        <w:t xml:space="preserve"> Note: </w:t>
      </w:r>
      <w:r w:rsidR="005A0BDA">
        <w:t>creatinine, AST, ALT, and bilirubin values lower than the normal range are acceptable (not graded on the Toxicity Table).</w:t>
      </w:r>
      <w:r w:rsidR="00725327">
        <w:rPr>
          <w:bCs/>
          <w:iCs/>
        </w:rPr>
        <w:t xml:space="preserve"> </w:t>
      </w:r>
    </w:p>
    <w:p w14:paraId="51DCCDC8" w14:textId="77777777" w:rsidR="005F314B" w:rsidRPr="005F314B" w:rsidRDefault="005F314B" w:rsidP="00C648A1">
      <w:pPr>
        <w:pStyle w:val="BodyText"/>
        <w:numPr>
          <w:ilvl w:val="0"/>
          <w:numId w:val="20"/>
        </w:numPr>
        <w:rPr>
          <w:bCs/>
          <w:iCs/>
        </w:rPr>
      </w:pPr>
      <w:r w:rsidRPr="005F314B">
        <w:rPr>
          <w:bCs/>
          <w:iCs/>
        </w:rPr>
        <w:t>The HIV 1/2 antibody serology tests must be negative.</w:t>
      </w:r>
    </w:p>
    <w:p w14:paraId="1ECF53E4" w14:textId="77777777" w:rsidR="005F314B" w:rsidRPr="005F314B" w:rsidRDefault="005F314B" w:rsidP="00C648A1">
      <w:pPr>
        <w:pStyle w:val="BodyText"/>
        <w:numPr>
          <w:ilvl w:val="0"/>
          <w:numId w:val="20"/>
        </w:numPr>
        <w:rPr>
          <w:bCs/>
          <w:iCs/>
        </w:rPr>
      </w:pPr>
      <w:r w:rsidRPr="005F314B">
        <w:rPr>
          <w:bCs/>
          <w:iCs/>
        </w:rPr>
        <w:t>Must give informed consent, be able and willing to make all evaluation visits, be reachable by telephone or personal contact by the study site personnel, and be willing to remain in the study area for the duration of the trial.</w:t>
      </w:r>
    </w:p>
    <w:p w14:paraId="572FF41A" w14:textId="77777777" w:rsidR="00F43682" w:rsidRDefault="00F43682">
      <w:pPr>
        <w:autoSpaceDE w:val="0"/>
        <w:autoSpaceDN w:val="0"/>
        <w:adjustRightInd w:val="0"/>
        <w:spacing w:line="240" w:lineRule="auto"/>
        <w:rPr>
          <w:rFonts w:ascii="Times New Roman" w:hAnsi="Times New Roman"/>
          <w:sz w:val="20"/>
        </w:rPr>
      </w:pPr>
    </w:p>
    <w:p w14:paraId="65B46A40" w14:textId="77777777" w:rsidR="00F43682" w:rsidRDefault="00F43682">
      <w:pPr>
        <w:pStyle w:val="Heading2"/>
      </w:pPr>
      <w:bookmarkStart w:id="149" w:name="_Toc42588968"/>
      <w:bookmarkStart w:id="150" w:name="_Toc53202809"/>
      <w:bookmarkStart w:id="151" w:name="_Ref389061491"/>
      <w:bookmarkStart w:id="152" w:name="_Ref389061521"/>
      <w:bookmarkStart w:id="153" w:name="_Toc389129960"/>
      <w:bookmarkStart w:id="154" w:name="_Toc440906261"/>
      <w:r>
        <w:t>Subject Exclusion Criteria</w:t>
      </w:r>
      <w:bookmarkEnd w:id="149"/>
      <w:bookmarkEnd w:id="150"/>
      <w:bookmarkEnd w:id="151"/>
      <w:bookmarkEnd w:id="152"/>
      <w:bookmarkEnd w:id="153"/>
      <w:bookmarkEnd w:id="154"/>
    </w:p>
    <w:p w14:paraId="7057D40F" w14:textId="77777777" w:rsidR="003B0B90" w:rsidRDefault="003B0B90" w:rsidP="001E4B90">
      <w:bookmarkStart w:id="155" w:name="_Ref376856673"/>
    </w:p>
    <w:p w14:paraId="4FDE2034" w14:textId="4F6302B8" w:rsidR="00C42B04" w:rsidRPr="00C42B04" w:rsidRDefault="00C42B04" w:rsidP="001E4B90">
      <w:r w:rsidRPr="00C42B04">
        <w:t>Subjects who meet ANY of the following criteria will be excluded from</w:t>
      </w:r>
      <w:r w:rsidR="00725327">
        <w:t xml:space="preserve"> </w:t>
      </w:r>
      <w:r w:rsidRPr="00C42B04">
        <w:t>the study (ineligible):</w:t>
      </w:r>
      <w:bookmarkEnd w:id="155"/>
    </w:p>
    <w:p w14:paraId="70C3C6CE" w14:textId="6CCA9A90" w:rsidR="004B675C" w:rsidRPr="000D2E24" w:rsidRDefault="004B675C" w:rsidP="00655167">
      <w:pPr>
        <w:pStyle w:val="BodyText"/>
        <w:numPr>
          <w:ilvl w:val="0"/>
          <w:numId w:val="22"/>
        </w:numPr>
        <w:rPr>
          <w:bCs/>
          <w:iCs/>
        </w:rPr>
      </w:pPr>
      <w:r>
        <w:rPr>
          <w:bCs/>
          <w:iCs/>
        </w:rPr>
        <w:t xml:space="preserve">TB treatment failure, as evidenced by </w:t>
      </w:r>
      <w:r w:rsidR="006257D6">
        <w:rPr>
          <w:bCs/>
          <w:iCs/>
        </w:rPr>
        <w:t xml:space="preserve">clinical diagnosis or </w:t>
      </w:r>
      <w:r>
        <w:rPr>
          <w:bCs/>
          <w:iCs/>
        </w:rPr>
        <w:t xml:space="preserve">a positive </w:t>
      </w:r>
      <w:r w:rsidRPr="001D0607">
        <w:rPr>
          <w:bCs/>
          <w:iCs/>
        </w:rPr>
        <w:t>MTB</w:t>
      </w:r>
      <w:r w:rsidRPr="00A4391B">
        <w:rPr>
          <w:bCs/>
          <w:iCs/>
        </w:rPr>
        <w:t xml:space="preserve"> liquid culture</w:t>
      </w:r>
      <w:r>
        <w:rPr>
          <w:bCs/>
          <w:iCs/>
        </w:rPr>
        <w:t xml:space="preserve"> at </w:t>
      </w:r>
      <w:r w:rsidR="000D2E24">
        <w:rPr>
          <w:bCs/>
          <w:iCs/>
        </w:rPr>
        <w:t xml:space="preserve">approximately </w:t>
      </w:r>
      <w:r>
        <w:rPr>
          <w:bCs/>
          <w:iCs/>
        </w:rPr>
        <w:t xml:space="preserve">month 4 or </w:t>
      </w:r>
      <w:r w:rsidR="000D2E24">
        <w:rPr>
          <w:bCs/>
          <w:iCs/>
        </w:rPr>
        <w:t xml:space="preserve">month </w:t>
      </w:r>
      <w:r>
        <w:rPr>
          <w:bCs/>
          <w:iCs/>
        </w:rPr>
        <w:t xml:space="preserve">5 after starting treatment. A positive </w:t>
      </w:r>
      <w:r w:rsidRPr="004B675C">
        <w:rPr>
          <w:bCs/>
          <w:iCs/>
        </w:rPr>
        <w:t>MTB liquid culture</w:t>
      </w:r>
      <w:r>
        <w:rPr>
          <w:bCs/>
          <w:iCs/>
        </w:rPr>
        <w:t xml:space="preserve"> at</w:t>
      </w:r>
      <w:r w:rsidR="004343AB">
        <w:rPr>
          <w:bCs/>
          <w:iCs/>
        </w:rPr>
        <w:t>,</w:t>
      </w:r>
      <w:r>
        <w:rPr>
          <w:bCs/>
          <w:iCs/>
        </w:rPr>
        <w:t xml:space="preserve"> </w:t>
      </w:r>
      <w:r w:rsidR="004343AB">
        <w:rPr>
          <w:bCs/>
          <w:iCs/>
        </w:rPr>
        <w:t xml:space="preserve">or </w:t>
      </w:r>
      <w:r w:rsidR="004343AB" w:rsidRPr="000D2E24">
        <w:rPr>
          <w:bCs/>
          <w:iCs/>
        </w:rPr>
        <w:t xml:space="preserve">after, </w:t>
      </w:r>
      <w:r w:rsidRPr="000D2E24">
        <w:rPr>
          <w:bCs/>
          <w:iCs/>
        </w:rPr>
        <w:t xml:space="preserve">end of treatment would </w:t>
      </w:r>
      <w:r w:rsidR="00F250F3" w:rsidRPr="000D2E24">
        <w:rPr>
          <w:bCs/>
          <w:iCs/>
        </w:rPr>
        <w:t xml:space="preserve">exclude subjects from receiving </w:t>
      </w:r>
      <w:r w:rsidR="004343AB" w:rsidRPr="000D2E24">
        <w:rPr>
          <w:bCs/>
          <w:iCs/>
        </w:rPr>
        <w:t xml:space="preserve">further study </w:t>
      </w:r>
      <w:r w:rsidR="002C59ED" w:rsidRPr="000D2E24">
        <w:rPr>
          <w:bCs/>
          <w:iCs/>
        </w:rPr>
        <w:t>injection</w:t>
      </w:r>
      <w:r w:rsidR="00F250F3" w:rsidRPr="000D2E24">
        <w:rPr>
          <w:bCs/>
          <w:iCs/>
        </w:rPr>
        <w:t>s</w:t>
      </w:r>
      <w:r w:rsidRPr="000D2E24">
        <w:rPr>
          <w:bCs/>
          <w:iCs/>
        </w:rPr>
        <w:t>.</w:t>
      </w:r>
    </w:p>
    <w:p w14:paraId="343C4292" w14:textId="59BBDBBE" w:rsidR="00655167" w:rsidRPr="00A4391B" w:rsidRDefault="00655167" w:rsidP="00655167">
      <w:pPr>
        <w:pStyle w:val="BodyText"/>
        <w:numPr>
          <w:ilvl w:val="0"/>
          <w:numId w:val="22"/>
        </w:numPr>
        <w:rPr>
          <w:bCs/>
          <w:iCs/>
        </w:rPr>
      </w:pPr>
      <w:r w:rsidRPr="00655167">
        <w:rPr>
          <w:bCs/>
          <w:iCs/>
        </w:rPr>
        <w:t>Previous course of TB treatment</w:t>
      </w:r>
      <w:r w:rsidRPr="00A058F8">
        <w:rPr>
          <w:bCs/>
          <w:iCs/>
        </w:rPr>
        <w:t xml:space="preserve"> completed within </w:t>
      </w:r>
      <w:r w:rsidR="004B675C">
        <w:rPr>
          <w:bCs/>
          <w:iCs/>
        </w:rPr>
        <w:t>5</w:t>
      </w:r>
      <w:r w:rsidRPr="00A058F8">
        <w:rPr>
          <w:bCs/>
          <w:iCs/>
        </w:rPr>
        <w:t xml:space="preserve"> calendar years prior to obtaining baseline diagnostic sputum</w:t>
      </w:r>
      <w:r w:rsidRPr="00A4391B">
        <w:rPr>
          <w:bCs/>
          <w:iCs/>
        </w:rPr>
        <w:t xml:space="preserve"> samples. </w:t>
      </w:r>
    </w:p>
    <w:p w14:paraId="17863F90" w14:textId="7DFF5071" w:rsidR="00C42B04" w:rsidRPr="00C42B04" w:rsidRDefault="00C42B04" w:rsidP="00C648A1">
      <w:pPr>
        <w:pStyle w:val="BodyText"/>
        <w:numPr>
          <w:ilvl w:val="0"/>
          <w:numId w:val="22"/>
        </w:numPr>
        <w:rPr>
          <w:bCs/>
          <w:iCs/>
        </w:rPr>
      </w:pPr>
      <w:r w:rsidRPr="00C42B04">
        <w:rPr>
          <w:bCs/>
          <w:iCs/>
        </w:rPr>
        <w:t xml:space="preserve">Receipt of any investigational products or investigational drug in the past </w:t>
      </w:r>
      <w:r w:rsidR="004B675C">
        <w:rPr>
          <w:bCs/>
          <w:iCs/>
        </w:rPr>
        <w:t>6</w:t>
      </w:r>
      <w:r w:rsidRPr="00C42B04">
        <w:rPr>
          <w:bCs/>
          <w:iCs/>
        </w:rPr>
        <w:t xml:space="preserve"> months or investigational vaccine ever.</w:t>
      </w:r>
    </w:p>
    <w:p w14:paraId="14413488" w14:textId="77777777" w:rsidR="00C42B04" w:rsidRPr="00C42B04" w:rsidRDefault="00C42B04" w:rsidP="00C648A1">
      <w:pPr>
        <w:pStyle w:val="BodyText"/>
        <w:numPr>
          <w:ilvl w:val="0"/>
          <w:numId w:val="22"/>
        </w:numPr>
        <w:rPr>
          <w:bCs/>
          <w:iCs/>
        </w:rPr>
      </w:pPr>
      <w:r w:rsidRPr="00C42B04">
        <w:rPr>
          <w:bCs/>
          <w:iCs/>
        </w:rPr>
        <w:t>Treatment with immunosuppressive drugs (e.g., oral or injected steroids, such as prednisone; high dose inhaled steroids) in the past 6 months. Topical steroids would be allowable.</w:t>
      </w:r>
    </w:p>
    <w:p w14:paraId="2489083F" w14:textId="200923CC" w:rsidR="00C42B04" w:rsidRPr="00C42B04" w:rsidRDefault="00C42B04" w:rsidP="00C648A1">
      <w:pPr>
        <w:pStyle w:val="BodyText"/>
        <w:numPr>
          <w:ilvl w:val="0"/>
          <w:numId w:val="22"/>
        </w:numPr>
        <w:rPr>
          <w:bCs/>
          <w:iCs/>
        </w:rPr>
      </w:pPr>
      <w:r w:rsidRPr="00C42B04">
        <w:rPr>
          <w:bCs/>
          <w:iCs/>
        </w:rPr>
        <w:t>Received incomplete</w:t>
      </w:r>
      <w:r w:rsidR="0025780B">
        <w:rPr>
          <w:bCs/>
          <w:iCs/>
        </w:rPr>
        <w:t xml:space="preserve"> </w:t>
      </w:r>
      <w:r w:rsidRPr="00C42B04">
        <w:rPr>
          <w:bCs/>
          <w:iCs/>
        </w:rPr>
        <w:t xml:space="preserve">or investigational, or non-standard TB drug regimen, other than the </w:t>
      </w:r>
      <w:r w:rsidR="00347AE6">
        <w:rPr>
          <w:bCs/>
          <w:iCs/>
        </w:rPr>
        <w:t xml:space="preserve">prevailing </w:t>
      </w:r>
      <w:r w:rsidRPr="00C42B04">
        <w:rPr>
          <w:bCs/>
          <w:iCs/>
        </w:rPr>
        <w:t>current South African national guideline as reference standard</w:t>
      </w:r>
      <w:r w:rsidR="00362EC8">
        <w:rPr>
          <w:bCs/>
          <w:iCs/>
        </w:rPr>
        <w:t>, or poor adherence to TB treatment regimen</w:t>
      </w:r>
      <w:r w:rsidRPr="00C42B04">
        <w:rPr>
          <w:bCs/>
          <w:iCs/>
        </w:rPr>
        <w:t>.</w:t>
      </w:r>
      <w:r w:rsidR="00085936">
        <w:rPr>
          <w:bCs/>
          <w:iCs/>
        </w:rPr>
        <w:t xml:space="preserve"> A</w:t>
      </w:r>
      <w:r w:rsidR="008A1BD9">
        <w:rPr>
          <w:bCs/>
          <w:iCs/>
        </w:rPr>
        <w:t>n</w:t>
      </w:r>
      <w:r w:rsidR="00085936">
        <w:rPr>
          <w:bCs/>
          <w:iCs/>
        </w:rPr>
        <w:t xml:space="preserve"> </w:t>
      </w:r>
      <w:r w:rsidR="008A1BD9">
        <w:rPr>
          <w:bCs/>
          <w:iCs/>
        </w:rPr>
        <w:t>in</w:t>
      </w:r>
      <w:r w:rsidR="00085936">
        <w:rPr>
          <w:bCs/>
          <w:iCs/>
        </w:rPr>
        <w:t xml:space="preserve">complete </w:t>
      </w:r>
      <w:r w:rsidR="00B85912">
        <w:rPr>
          <w:bCs/>
          <w:iCs/>
        </w:rPr>
        <w:t xml:space="preserve">regimen </w:t>
      </w:r>
      <w:r w:rsidR="00DA7C85">
        <w:rPr>
          <w:bCs/>
          <w:iCs/>
        </w:rPr>
        <w:t xml:space="preserve">or </w:t>
      </w:r>
      <w:r w:rsidR="00B85912">
        <w:rPr>
          <w:bCs/>
          <w:iCs/>
        </w:rPr>
        <w:t>poor adherence to</w:t>
      </w:r>
      <w:r w:rsidR="00085936">
        <w:rPr>
          <w:bCs/>
          <w:iCs/>
        </w:rPr>
        <w:t xml:space="preserve"> TB treatment </w:t>
      </w:r>
      <w:r w:rsidR="00DA7C85">
        <w:rPr>
          <w:bCs/>
          <w:iCs/>
        </w:rPr>
        <w:t xml:space="preserve">is </w:t>
      </w:r>
      <w:r w:rsidR="00085936">
        <w:rPr>
          <w:bCs/>
        </w:rPr>
        <w:t xml:space="preserve">defined as </w:t>
      </w:r>
      <w:r w:rsidR="00085936" w:rsidRPr="00241EB5">
        <w:rPr>
          <w:bCs/>
        </w:rPr>
        <w:t xml:space="preserve">having completed </w:t>
      </w:r>
      <w:r w:rsidR="008A1BD9">
        <w:rPr>
          <w:bCs/>
        </w:rPr>
        <w:t>less than 23</w:t>
      </w:r>
      <w:r w:rsidR="00085936" w:rsidRPr="00213CE1">
        <w:t xml:space="preserve"> weeks </w:t>
      </w:r>
      <w:r w:rsidR="00085936">
        <w:t xml:space="preserve">of </w:t>
      </w:r>
      <w:r w:rsidR="00085936" w:rsidRPr="00241EB5">
        <w:rPr>
          <w:bCs/>
        </w:rPr>
        <w:t xml:space="preserve">TB treatment </w:t>
      </w:r>
      <w:r w:rsidR="00085936" w:rsidRPr="00241EB5">
        <w:rPr>
          <w:bCs/>
          <w:iCs/>
        </w:rPr>
        <w:t>from the start date of treatment</w:t>
      </w:r>
      <w:r w:rsidR="00DA7C85">
        <w:rPr>
          <w:bCs/>
          <w:iCs/>
        </w:rPr>
        <w:t>, or taken longer than 28 weeks to complete</w:t>
      </w:r>
      <w:r w:rsidR="005028F6">
        <w:rPr>
          <w:bCs/>
          <w:iCs/>
        </w:rPr>
        <w:t xml:space="preserve"> treatment</w:t>
      </w:r>
      <w:r w:rsidR="00DA7C85">
        <w:rPr>
          <w:bCs/>
          <w:iCs/>
        </w:rPr>
        <w:t>.</w:t>
      </w:r>
    </w:p>
    <w:p w14:paraId="380E0D43" w14:textId="77777777" w:rsidR="00C42B04" w:rsidRPr="00C42B04" w:rsidRDefault="00C42B04" w:rsidP="00C648A1">
      <w:pPr>
        <w:pStyle w:val="BodyText"/>
        <w:numPr>
          <w:ilvl w:val="0"/>
          <w:numId w:val="22"/>
        </w:numPr>
        <w:rPr>
          <w:bCs/>
          <w:iCs/>
        </w:rPr>
      </w:pPr>
      <w:r w:rsidRPr="00C42B04">
        <w:rPr>
          <w:bCs/>
          <w:iCs/>
        </w:rPr>
        <w:t>Diagnosed with rifampicin-resistant MTB strain (by Xpert MTB/RIF and/or culture and formal DST).</w:t>
      </w:r>
    </w:p>
    <w:p w14:paraId="0E1F9BE9" w14:textId="77777777" w:rsidR="00C42B04" w:rsidRPr="00C42B04" w:rsidRDefault="00C42B04" w:rsidP="00C648A1">
      <w:pPr>
        <w:pStyle w:val="BodyText"/>
        <w:numPr>
          <w:ilvl w:val="0"/>
          <w:numId w:val="22"/>
        </w:numPr>
        <w:rPr>
          <w:bCs/>
          <w:iCs/>
        </w:rPr>
      </w:pPr>
      <w:r w:rsidRPr="00C42B04">
        <w:rPr>
          <w:bCs/>
          <w:iCs/>
        </w:rPr>
        <w:t>History of autoimmune disease or other causes of immunosuppressive states.</w:t>
      </w:r>
    </w:p>
    <w:p w14:paraId="6DACE194" w14:textId="37F43B60" w:rsidR="00C42B04" w:rsidRPr="00C42B04" w:rsidRDefault="00C42B04" w:rsidP="00C648A1">
      <w:pPr>
        <w:pStyle w:val="BodyText"/>
        <w:numPr>
          <w:ilvl w:val="0"/>
          <w:numId w:val="22"/>
        </w:numPr>
        <w:rPr>
          <w:bCs/>
          <w:iCs/>
        </w:rPr>
      </w:pPr>
      <w:r w:rsidRPr="00C42B04">
        <w:rPr>
          <w:bCs/>
          <w:iCs/>
        </w:rPr>
        <w:t xml:space="preserve">History </w:t>
      </w:r>
      <w:r w:rsidR="007C7622">
        <w:rPr>
          <w:bCs/>
          <w:iCs/>
        </w:rPr>
        <w:t xml:space="preserve">or evidence </w:t>
      </w:r>
      <w:r w:rsidRPr="00C42B04">
        <w:rPr>
          <w:bCs/>
          <w:iCs/>
        </w:rPr>
        <w:t>of any acute or chronic illness (including diabetes mellitus, asthma), medical or surgical condition, or chronic heavy ethanol or drug use, or use of medication that, in the opinion of the Principal Investigator, may interfere with the evaluation of the safety or immunogenicity of the vaccine.</w:t>
      </w:r>
    </w:p>
    <w:p w14:paraId="1C56E3DA" w14:textId="77777777" w:rsidR="00C42B04" w:rsidRPr="00353AF3" w:rsidRDefault="00C42B04" w:rsidP="00C648A1">
      <w:pPr>
        <w:pStyle w:val="BodyText"/>
        <w:numPr>
          <w:ilvl w:val="0"/>
          <w:numId w:val="22"/>
        </w:numPr>
        <w:rPr>
          <w:bCs/>
          <w:iCs/>
        </w:rPr>
      </w:pPr>
      <w:r w:rsidRPr="00353AF3">
        <w:rPr>
          <w:bCs/>
          <w:iCs/>
        </w:rPr>
        <w:t xml:space="preserve">Subjects with a history of previous anaphylaxis or severe allergic reaction to vaccines, </w:t>
      </w:r>
      <w:r w:rsidRPr="00362EC8">
        <w:rPr>
          <w:bCs/>
          <w:iCs/>
        </w:rPr>
        <w:t>eggs,</w:t>
      </w:r>
      <w:r w:rsidRPr="00353AF3">
        <w:rPr>
          <w:bCs/>
          <w:iCs/>
        </w:rPr>
        <w:t xml:space="preserve"> or unknown allergens.</w:t>
      </w:r>
    </w:p>
    <w:p w14:paraId="4C6FEA0D" w14:textId="77777777" w:rsidR="00C42B04" w:rsidRPr="00C42B04" w:rsidRDefault="00C42B04" w:rsidP="00C648A1">
      <w:pPr>
        <w:pStyle w:val="BodyText"/>
        <w:numPr>
          <w:ilvl w:val="0"/>
          <w:numId w:val="22"/>
        </w:numPr>
        <w:rPr>
          <w:bCs/>
          <w:iCs/>
        </w:rPr>
      </w:pPr>
      <w:r w:rsidRPr="00C42B04">
        <w:rPr>
          <w:bCs/>
          <w:iCs/>
        </w:rPr>
        <w:t>Subjects who are unlikely to cooperate with the requirements of the study protocol.</w:t>
      </w:r>
    </w:p>
    <w:p w14:paraId="342856E2" w14:textId="77777777" w:rsidR="00F43682" w:rsidRDefault="00F43682">
      <w:pPr>
        <w:pStyle w:val="Heading2"/>
      </w:pPr>
      <w:bookmarkStart w:id="156" w:name="_Toc103504800"/>
      <w:bookmarkStart w:id="157" w:name="_Toc389129961"/>
      <w:bookmarkStart w:id="158" w:name="_Toc440906262"/>
      <w:bookmarkStart w:id="159" w:name="_Toc105911970"/>
      <w:bookmarkStart w:id="160" w:name="_Toc42588969"/>
      <w:bookmarkStart w:id="161" w:name="_Toc53202810"/>
      <w:r>
        <w:t>Treatment Assignment Procedures</w:t>
      </w:r>
      <w:bookmarkEnd w:id="156"/>
      <w:bookmarkEnd w:id="157"/>
      <w:bookmarkEnd w:id="158"/>
    </w:p>
    <w:p w14:paraId="500CA9C1" w14:textId="77777777" w:rsidR="00F43682" w:rsidRDefault="00F43682" w:rsidP="009E0AB3">
      <w:pPr>
        <w:pStyle w:val="Heading3"/>
      </w:pPr>
      <w:bookmarkStart w:id="162" w:name="_Toc389129962"/>
      <w:bookmarkStart w:id="163" w:name="_Toc440906263"/>
      <w:bookmarkStart w:id="164" w:name="_Toc103504801"/>
      <w:r>
        <w:t>Randomization Procedures</w:t>
      </w:r>
      <w:bookmarkEnd w:id="162"/>
      <w:bookmarkEnd w:id="163"/>
    </w:p>
    <w:p w14:paraId="72D09BB3" w14:textId="24734318" w:rsidR="005804DF" w:rsidRDefault="00E95B4A" w:rsidP="005815AE">
      <w:pPr>
        <w:pStyle w:val="BodyText2"/>
        <w:spacing w:before="180" w:after="180" w:line="276" w:lineRule="auto"/>
        <w:ind w:left="0"/>
        <w:rPr>
          <w:iCs/>
        </w:rPr>
      </w:pPr>
      <w:r>
        <w:rPr>
          <w:iCs/>
        </w:rPr>
        <w:t xml:space="preserve">Subjects will be screened for eligibility for randomization upon successful completion of a </w:t>
      </w:r>
      <w:r w:rsidR="005804DF">
        <w:rPr>
          <w:iCs/>
        </w:rPr>
        <w:t>course of standard TB treatment.</w:t>
      </w:r>
      <w:r>
        <w:rPr>
          <w:iCs/>
        </w:rPr>
        <w:t xml:space="preserve"> </w:t>
      </w:r>
      <w:r w:rsidR="005804DF">
        <w:rPr>
          <w:iCs/>
        </w:rPr>
        <w:t xml:space="preserve">The investigator will assess subjects for eligibility for randomization, document </w:t>
      </w:r>
      <w:r w:rsidR="0072680F">
        <w:rPr>
          <w:iCs/>
        </w:rPr>
        <w:t xml:space="preserve">the </w:t>
      </w:r>
      <w:r w:rsidR="00FC4156">
        <w:rPr>
          <w:iCs/>
        </w:rPr>
        <w:t xml:space="preserve">randomization </w:t>
      </w:r>
      <w:r w:rsidR="005804DF">
        <w:rPr>
          <w:iCs/>
        </w:rPr>
        <w:t>inclusion and exclusion criteria, and refer eligible subjects to the study vaccine manager for randomization.</w:t>
      </w:r>
    </w:p>
    <w:p w14:paraId="059EE465" w14:textId="169EE03E" w:rsidR="00A058F8" w:rsidRPr="00A058F8" w:rsidRDefault="00A058F8" w:rsidP="00A058F8">
      <w:pPr>
        <w:pStyle w:val="BodyText2"/>
        <w:spacing w:before="180" w:after="180" w:line="276" w:lineRule="auto"/>
        <w:ind w:left="0"/>
        <w:rPr>
          <w:iCs/>
        </w:rPr>
      </w:pPr>
      <w:r w:rsidRPr="00A058F8">
        <w:rPr>
          <w:iCs/>
        </w:rPr>
        <w:t xml:space="preserve">A randomization list will be generated by the IDRI biostatistician or designee in blocks of appropriate size resulting in </w:t>
      </w:r>
      <w:r>
        <w:rPr>
          <w:iCs/>
        </w:rPr>
        <w:t>a ratio of 3</w:t>
      </w:r>
      <w:r w:rsidRPr="00AD3D41">
        <w:rPr>
          <w:iCs/>
        </w:rPr>
        <w:t>:1 (ID93 + GLA</w:t>
      </w:r>
      <w:r>
        <w:rPr>
          <w:iCs/>
        </w:rPr>
        <w:t>-SE vaccine to saline placebo)</w:t>
      </w:r>
      <w:r w:rsidR="00487308">
        <w:rPr>
          <w:iCs/>
        </w:rPr>
        <w:t xml:space="preserve"> for Cohorts 1 and 2, and in a ratio of 3:3:1 </w:t>
      </w:r>
      <w:r w:rsidR="00487308" w:rsidRPr="00AD3D41">
        <w:rPr>
          <w:iCs/>
        </w:rPr>
        <w:t>(ID93 + GLA</w:t>
      </w:r>
      <w:r w:rsidR="00487308">
        <w:rPr>
          <w:iCs/>
        </w:rPr>
        <w:t xml:space="preserve">-SE vaccine at Days 0 and 56: </w:t>
      </w:r>
      <w:r w:rsidR="00487308" w:rsidRPr="00AD3D41">
        <w:rPr>
          <w:iCs/>
        </w:rPr>
        <w:t>ID93 + GLA</w:t>
      </w:r>
      <w:r w:rsidR="00487308">
        <w:rPr>
          <w:iCs/>
        </w:rPr>
        <w:t>-SE vaccine at Days 0, 28 and 56: saline placebo)</w:t>
      </w:r>
      <w:r w:rsidRPr="00A058F8">
        <w:rPr>
          <w:iCs/>
        </w:rPr>
        <w:t>. The randomization list (or opaque, sealed, randomization envelopes) will be provided to the designated site sub-investigator responsible for study injection preparation. The list (or individual envelopes) will have study Participant ID number (PID #) and corresponding study injection assignment. The list (or envelopes) must be maintained under the control of the study personnel responsible for study injection preparation.</w:t>
      </w:r>
    </w:p>
    <w:p w14:paraId="3BACB974" w14:textId="30EA0C77" w:rsidR="00A058F8" w:rsidRPr="00A058F8" w:rsidRDefault="00A058F8" w:rsidP="00A058F8">
      <w:pPr>
        <w:pStyle w:val="BodyText2"/>
        <w:spacing w:before="180" w:after="180" w:line="276" w:lineRule="auto"/>
        <w:ind w:left="0"/>
        <w:rPr>
          <w:iCs/>
        </w:rPr>
      </w:pPr>
      <w:r w:rsidRPr="00A058F8">
        <w:rPr>
          <w:iCs/>
        </w:rPr>
        <w:t>Each su</w:t>
      </w:r>
      <w:r w:rsidR="0016051B">
        <w:rPr>
          <w:iCs/>
        </w:rPr>
        <w:t xml:space="preserve">bject will be assigned a unique seven digit </w:t>
      </w:r>
      <w:r w:rsidRPr="00A058F8">
        <w:rPr>
          <w:iCs/>
        </w:rPr>
        <w:t>study PID # after eli</w:t>
      </w:r>
      <w:r>
        <w:rPr>
          <w:iCs/>
        </w:rPr>
        <w:t>gibility is confirmed</w:t>
      </w:r>
      <w:r w:rsidRPr="00A058F8">
        <w:rPr>
          <w:iCs/>
        </w:rPr>
        <w:t xml:space="preserve"> </w:t>
      </w:r>
      <w:r w:rsidR="0016051B">
        <w:rPr>
          <w:iCs/>
        </w:rPr>
        <w:t xml:space="preserve">and </w:t>
      </w:r>
      <w:r w:rsidRPr="00A058F8">
        <w:rPr>
          <w:iCs/>
        </w:rPr>
        <w:t xml:space="preserve">prior to </w:t>
      </w:r>
      <w:r w:rsidR="0016051B">
        <w:rPr>
          <w:iCs/>
        </w:rPr>
        <w:t xml:space="preserve">baseline immunology blood draw on </w:t>
      </w:r>
      <w:r w:rsidRPr="00A058F8">
        <w:rPr>
          <w:iCs/>
        </w:rPr>
        <w:t>Day 0. This PID # will be assigned in sequential order and must be recorded in the Screening Log</w:t>
      </w:r>
      <w:r w:rsidR="0016051B">
        <w:rPr>
          <w:iCs/>
        </w:rPr>
        <w:t xml:space="preserve"> and linked to the subject’s screening identification number (SID #)</w:t>
      </w:r>
      <w:r w:rsidRPr="00A058F8">
        <w:rPr>
          <w:iCs/>
        </w:rPr>
        <w:t xml:space="preserve">. The first three digits of the PID # identify the country (first digit: </w:t>
      </w:r>
      <w:r>
        <w:rPr>
          <w:iCs/>
        </w:rPr>
        <w:t>9</w:t>
      </w:r>
      <w:r w:rsidRPr="00A058F8">
        <w:rPr>
          <w:iCs/>
        </w:rPr>
        <w:t xml:space="preserve"> = </w:t>
      </w:r>
      <w:r>
        <w:rPr>
          <w:iCs/>
        </w:rPr>
        <w:t>South Africa</w:t>
      </w:r>
      <w:r w:rsidRPr="00A058F8">
        <w:rPr>
          <w:iCs/>
        </w:rPr>
        <w:t xml:space="preserve">) and site (next two digits, where 01 = </w:t>
      </w:r>
      <w:r>
        <w:rPr>
          <w:iCs/>
        </w:rPr>
        <w:t>SATVI, 02</w:t>
      </w:r>
      <w:r w:rsidR="0038687D">
        <w:rPr>
          <w:iCs/>
        </w:rPr>
        <w:t xml:space="preserve"> </w:t>
      </w:r>
      <w:r>
        <w:rPr>
          <w:iCs/>
        </w:rPr>
        <w:t>= D</w:t>
      </w:r>
      <w:r w:rsidR="00FA7537">
        <w:rPr>
          <w:iCs/>
        </w:rPr>
        <w:t>TH</w:t>
      </w:r>
      <w:r>
        <w:rPr>
          <w:iCs/>
        </w:rPr>
        <w:t>C</w:t>
      </w:r>
      <w:r w:rsidR="00906CD6">
        <w:rPr>
          <w:iCs/>
        </w:rPr>
        <w:t>,</w:t>
      </w:r>
      <w:r>
        <w:rPr>
          <w:iCs/>
        </w:rPr>
        <w:t xml:space="preserve"> and 03 = </w:t>
      </w:r>
      <w:r w:rsidR="00536BF3">
        <w:rPr>
          <w:iCs/>
        </w:rPr>
        <w:t>TASK</w:t>
      </w:r>
      <w:r w:rsidRPr="00A058F8">
        <w:rPr>
          <w:iCs/>
        </w:rPr>
        <w:t xml:space="preserve">). The next four digits of the PID # identify the </w:t>
      </w:r>
      <w:r w:rsidR="0016051B">
        <w:rPr>
          <w:iCs/>
        </w:rPr>
        <w:t xml:space="preserve">cohort and </w:t>
      </w:r>
      <w:r w:rsidRPr="00A058F8">
        <w:rPr>
          <w:iCs/>
        </w:rPr>
        <w:t xml:space="preserve">study subject. </w:t>
      </w:r>
      <w:r w:rsidR="0016051B">
        <w:rPr>
          <w:iCs/>
        </w:rPr>
        <w:t>S</w:t>
      </w:r>
      <w:r w:rsidRPr="00A058F8">
        <w:rPr>
          <w:iCs/>
        </w:rPr>
        <w:t xml:space="preserve">ubjects enrolled into Cohort 1 of the study </w:t>
      </w:r>
      <w:r w:rsidR="0016051B">
        <w:rPr>
          <w:iCs/>
        </w:rPr>
        <w:t xml:space="preserve">at the SATVI site </w:t>
      </w:r>
      <w:r w:rsidRPr="00A058F8">
        <w:rPr>
          <w:iCs/>
        </w:rPr>
        <w:t xml:space="preserve">will be assigned the PID # </w:t>
      </w:r>
      <w:r w:rsidR="0016051B">
        <w:rPr>
          <w:iCs/>
        </w:rPr>
        <w:t>9</w:t>
      </w:r>
      <w:r w:rsidRPr="00A058F8">
        <w:rPr>
          <w:iCs/>
        </w:rPr>
        <w:t xml:space="preserve">01-1001, </w:t>
      </w:r>
      <w:r w:rsidR="0016051B">
        <w:rPr>
          <w:iCs/>
        </w:rPr>
        <w:t>9</w:t>
      </w:r>
      <w:r w:rsidRPr="00A058F8">
        <w:rPr>
          <w:iCs/>
        </w:rPr>
        <w:t xml:space="preserve">01-1002 and so on. </w:t>
      </w:r>
      <w:r w:rsidR="0016051B">
        <w:rPr>
          <w:iCs/>
        </w:rPr>
        <w:t>S</w:t>
      </w:r>
      <w:r w:rsidRPr="00A058F8">
        <w:rPr>
          <w:iCs/>
        </w:rPr>
        <w:t xml:space="preserve">ubjects enrolled into Cohort 2 of the study </w:t>
      </w:r>
      <w:r w:rsidR="0016051B">
        <w:rPr>
          <w:iCs/>
        </w:rPr>
        <w:t xml:space="preserve">at the SATVI site </w:t>
      </w:r>
      <w:r w:rsidRPr="00A058F8">
        <w:rPr>
          <w:iCs/>
        </w:rPr>
        <w:t xml:space="preserve">will be assigned the PID # </w:t>
      </w:r>
      <w:r w:rsidR="0016051B">
        <w:rPr>
          <w:iCs/>
        </w:rPr>
        <w:t>9</w:t>
      </w:r>
      <w:r w:rsidRPr="00A058F8">
        <w:rPr>
          <w:iCs/>
        </w:rPr>
        <w:t xml:space="preserve">01-2001, </w:t>
      </w:r>
      <w:r w:rsidR="00176FED">
        <w:rPr>
          <w:iCs/>
        </w:rPr>
        <w:t>9</w:t>
      </w:r>
      <w:r w:rsidRPr="00A058F8">
        <w:rPr>
          <w:iCs/>
        </w:rPr>
        <w:t>01-2002 and so on.</w:t>
      </w:r>
      <w:r w:rsidR="0016051B">
        <w:rPr>
          <w:iCs/>
        </w:rPr>
        <w:t xml:space="preserve"> Subjects enrolled into Cohort 3 at the SATVI site will be assigned the PID # 901-3001, 901-3002, etc. Similarly, subjects enrolled at the D</w:t>
      </w:r>
      <w:r w:rsidR="00FA7537">
        <w:rPr>
          <w:iCs/>
        </w:rPr>
        <w:t>TH</w:t>
      </w:r>
      <w:r w:rsidR="0016051B">
        <w:rPr>
          <w:iCs/>
        </w:rPr>
        <w:t>C site will be assigned PID # 902-1001, etc</w:t>
      </w:r>
      <w:r w:rsidR="00176FED">
        <w:rPr>
          <w:iCs/>
        </w:rPr>
        <w:t>., for Cohort 1,</w:t>
      </w:r>
      <w:r w:rsidR="0016051B">
        <w:rPr>
          <w:iCs/>
        </w:rPr>
        <w:t xml:space="preserve"> 902-2001, etc.</w:t>
      </w:r>
      <w:r w:rsidR="00176FED">
        <w:rPr>
          <w:iCs/>
        </w:rPr>
        <w:t>,</w:t>
      </w:r>
      <w:r w:rsidR="0016051B">
        <w:rPr>
          <w:iCs/>
        </w:rPr>
        <w:t xml:space="preserve"> for Cohort 2</w:t>
      </w:r>
      <w:r w:rsidR="00176FED">
        <w:rPr>
          <w:iCs/>
        </w:rPr>
        <w:t>,</w:t>
      </w:r>
      <w:r w:rsidR="0016051B">
        <w:rPr>
          <w:iCs/>
        </w:rPr>
        <w:t xml:space="preserve"> and 902-3001, etc.</w:t>
      </w:r>
      <w:r w:rsidR="00176FED">
        <w:rPr>
          <w:iCs/>
        </w:rPr>
        <w:t>,</w:t>
      </w:r>
      <w:r w:rsidR="0016051B">
        <w:rPr>
          <w:iCs/>
        </w:rPr>
        <w:t xml:space="preserve"> for Cohort 3.</w:t>
      </w:r>
    </w:p>
    <w:p w14:paraId="7C2AE5F4" w14:textId="2B3E1CFF" w:rsidR="00A058F8" w:rsidRDefault="00A058F8" w:rsidP="00A058F8">
      <w:pPr>
        <w:pStyle w:val="BodyText2"/>
        <w:spacing w:before="180" w:after="180" w:line="276" w:lineRule="auto"/>
        <w:ind w:left="0"/>
        <w:rPr>
          <w:iCs/>
        </w:rPr>
      </w:pPr>
      <w:r w:rsidRPr="00A058F8">
        <w:rPr>
          <w:iCs/>
        </w:rPr>
        <w:t>The study PID # and subject initials will be give</w:t>
      </w:r>
      <w:r w:rsidRPr="001772E7">
        <w:rPr>
          <w:iCs/>
        </w:rPr>
        <w:t>n to the</w:t>
      </w:r>
      <w:r w:rsidR="00242FC6" w:rsidRPr="001772E7">
        <w:rPr>
          <w:iCs/>
        </w:rPr>
        <w:t xml:space="preserve"> study vaccine manager</w:t>
      </w:r>
      <w:r w:rsidRPr="001772E7">
        <w:rPr>
          <w:iCs/>
        </w:rPr>
        <w:t xml:space="preserve"> res</w:t>
      </w:r>
      <w:r w:rsidRPr="00A058F8">
        <w:rPr>
          <w:iCs/>
        </w:rPr>
        <w:t xml:space="preserve">ponsible for preparation of the study injection on Day 0. He/she will match this PID # to the study injection assignment in the randomization list (or by opening the sealed envelope). Separate vials of </w:t>
      </w:r>
      <w:r w:rsidR="004D31F5">
        <w:rPr>
          <w:iCs/>
        </w:rPr>
        <w:t>ID9</w:t>
      </w:r>
      <w:r w:rsidRPr="00A058F8">
        <w:rPr>
          <w:iCs/>
        </w:rPr>
        <w:t xml:space="preserve">3 and GLA-SE will be provided. The </w:t>
      </w:r>
      <w:r w:rsidR="00362EC8">
        <w:rPr>
          <w:iCs/>
        </w:rPr>
        <w:t>study vaccine manager</w:t>
      </w:r>
      <w:r w:rsidRPr="00A058F8">
        <w:rPr>
          <w:iCs/>
        </w:rPr>
        <w:t xml:space="preserve"> will mix the contents of the vials and prepare the syringes just prior to each injection based on the assigned treatment for that individual</w:t>
      </w:r>
      <w:r w:rsidR="00176FED">
        <w:rPr>
          <w:iCs/>
        </w:rPr>
        <w:t>.</w:t>
      </w:r>
    </w:p>
    <w:p w14:paraId="0D066B51" w14:textId="49705A9D" w:rsidR="00611849" w:rsidRPr="00611849" w:rsidRDefault="00611849" w:rsidP="005815AE">
      <w:pPr>
        <w:pStyle w:val="BodyText2"/>
        <w:spacing w:before="180" w:after="180" w:line="276" w:lineRule="auto"/>
        <w:ind w:left="0"/>
        <w:rPr>
          <w:iCs/>
        </w:rPr>
      </w:pPr>
      <w:r w:rsidRPr="00611849">
        <w:rPr>
          <w:iCs/>
        </w:rPr>
        <w:t>In order to maintain the blind of the team at the study site(s), the study vaccine manager must be a designated study team member</w:t>
      </w:r>
      <w:r>
        <w:rPr>
          <w:iCs/>
        </w:rPr>
        <w:t>,</w:t>
      </w:r>
      <w:r w:rsidRPr="00611849">
        <w:rPr>
          <w:iCs/>
        </w:rPr>
        <w:t xml:space="preserve"> </w:t>
      </w:r>
      <w:r>
        <w:rPr>
          <w:iCs/>
        </w:rPr>
        <w:t xml:space="preserve">usually the study pharmacist, </w:t>
      </w:r>
      <w:r w:rsidRPr="00611849">
        <w:rPr>
          <w:iCs/>
        </w:rPr>
        <w:t>who will have no clinical or regulatory responsibilities associated with the conduct of the study during the entire study period, other than managing the vaccine.</w:t>
      </w:r>
      <w:r w:rsidR="00883185">
        <w:rPr>
          <w:iCs/>
        </w:rPr>
        <w:t xml:space="preserve"> In addition, in order to maintain blinding, subjects in Cohort 3 who are assigned to </w:t>
      </w:r>
      <w:r w:rsidR="00883185" w:rsidRPr="00AD3D41">
        <w:rPr>
          <w:iCs/>
        </w:rPr>
        <w:t>ID93 + GLA</w:t>
      </w:r>
      <w:r w:rsidR="00883185">
        <w:rPr>
          <w:iCs/>
        </w:rPr>
        <w:t xml:space="preserve">-SE vaccine at Days 0 and 56, will receive a saline </w:t>
      </w:r>
      <w:r w:rsidR="00633984">
        <w:rPr>
          <w:iCs/>
        </w:rPr>
        <w:t xml:space="preserve">study </w:t>
      </w:r>
      <w:r w:rsidR="00883185">
        <w:rPr>
          <w:iCs/>
        </w:rPr>
        <w:t>injection at Day 28.</w:t>
      </w:r>
    </w:p>
    <w:p w14:paraId="6EAB605C" w14:textId="7483BCC7" w:rsidR="00435D2F" w:rsidRDefault="00611849" w:rsidP="005815AE">
      <w:pPr>
        <w:pStyle w:val="BodyText2"/>
        <w:spacing w:before="180" w:after="180" w:line="276" w:lineRule="auto"/>
        <w:ind w:left="0"/>
        <w:rPr>
          <w:iCs/>
        </w:rPr>
      </w:pPr>
      <w:r>
        <w:rPr>
          <w:iCs/>
        </w:rPr>
        <w:t>A subject</w:t>
      </w:r>
      <w:r w:rsidRPr="00611849">
        <w:rPr>
          <w:iCs/>
        </w:rPr>
        <w:t xml:space="preserve"> is considered randomized when the study vaccine </w:t>
      </w:r>
      <w:r>
        <w:rPr>
          <w:iCs/>
        </w:rPr>
        <w:t>manager assigns that subject</w:t>
      </w:r>
      <w:r w:rsidRPr="00611849">
        <w:rPr>
          <w:iCs/>
        </w:rPr>
        <w:t xml:space="preserve"> to the treatment group corresponding to the participant’s assigned </w:t>
      </w:r>
      <w:r w:rsidR="004D31F5">
        <w:rPr>
          <w:iCs/>
        </w:rPr>
        <w:t>PID #</w:t>
      </w:r>
      <w:r>
        <w:rPr>
          <w:iCs/>
        </w:rPr>
        <w:t>. If a subject does not meet all eligibility</w:t>
      </w:r>
      <w:r w:rsidRPr="00611849">
        <w:rPr>
          <w:iCs/>
        </w:rPr>
        <w:t xml:space="preserve"> criteria, </w:t>
      </w:r>
      <w:r>
        <w:rPr>
          <w:iCs/>
        </w:rPr>
        <w:t>randomization</w:t>
      </w:r>
      <w:r w:rsidRPr="00611849">
        <w:rPr>
          <w:iCs/>
        </w:rPr>
        <w:t xml:space="preserve"> sho</w:t>
      </w:r>
      <w:r>
        <w:rPr>
          <w:iCs/>
        </w:rPr>
        <w:t>uld not occur on that day. Subject</w:t>
      </w:r>
      <w:r w:rsidRPr="00611849">
        <w:rPr>
          <w:iCs/>
        </w:rPr>
        <w:t>s may be reconsidered for</w:t>
      </w:r>
      <w:r>
        <w:rPr>
          <w:iCs/>
        </w:rPr>
        <w:t xml:space="preserve"> randomization at a later date if the reason for ineligibility appears self-limiting, </w:t>
      </w:r>
      <w:r w:rsidRPr="00611849">
        <w:rPr>
          <w:iCs/>
        </w:rPr>
        <w:t xml:space="preserve">e.g., pending resolution of an acute illness or after a repeated clinical laboratory evaluation result is shown to be within normal limits, </w:t>
      </w:r>
      <w:r>
        <w:rPr>
          <w:iCs/>
        </w:rPr>
        <w:t xml:space="preserve">but </w:t>
      </w:r>
      <w:r w:rsidRPr="00611849">
        <w:rPr>
          <w:iCs/>
        </w:rPr>
        <w:t>within the allowed time frame for complete screening evaluations.</w:t>
      </w:r>
    </w:p>
    <w:p w14:paraId="37A96939" w14:textId="08EB275A" w:rsidR="004D31F5" w:rsidRPr="00AD3D41" w:rsidRDefault="004D31F5" w:rsidP="001772E7">
      <w:pPr>
        <w:rPr>
          <w:b/>
          <w:iCs/>
        </w:rPr>
      </w:pPr>
      <w:r>
        <w:t xml:space="preserve">IDRI will closely monitor enrollment numbers across </w:t>
      </w:r>
      <w:r w:rsidR="00C12FAA">
        <w:t xml:space="preserve">all </w:t>
      </w:r>
      <w:r>
        <w:t>sites for each cohort in order to assure the correct treatment allocations</w:t>
      </w:r>
      <w:r w:rsidR="00C12FAA">
        <w:t xml:space="preserve"> are met</w:t>
      </w:r>
      <w:r>
        <w:t xml:space="preserve">. In the event that </w:t>
      </w:r>
      <w:r w:rsidR="00C12FAA">
        <w:t xml:space="preserve">the </w:t>
      </w:r>
      <w:r>
        <w:t xml:space="preserve">rate of enrollment is slower </w:t>
      </w:r>
      <w:r w:rsidR="00C12FAA">
        <w:t>tha</w:t>
      </w:r>
      <w:r w:rsidR="00A4391B">
        <w:t>n</w:t>
      </w:r>
      <w:r w:rsidR="00C12FAA">
        <w:t xml:space="preserve"> anticipated </w:t>
      </w:r>
      <w:r>
        <w:t xml:space="preserve">at one or more sites, </w:t>
      </w:r>
      <w:r w:rsidRPr="00A03114">
        <w:t xml:space="preserve">the IDRI </w:t>
      </w:r>
      <w:r w:rsidR="00C12FAA">
        <w:t xml:space="preserve">biostatistician </w:t>
      </w:r>
      <w:r>
        <w:t xml:space="preserve">will provide instructions </w:t>
      </w:r>
      <w:r w:rsidR="00C12FAA">
        <w:t>to ensure the correct enro</w:t>
      </w:r>
      <w:r w:rsidR="00176FED">
        <w:t>l</w:t>
      </w:r>
      <w:r w:rsidR="00C12FAA">
        <w:t xml:space="preserve">lment quota and treatment </w:t>
      </w:r>
      <w:r>
        <w:t xml:space="preserve">assignments </w:t>
      </w:r>
      <w:r w:rsidR="00C12FAA">
        <w:t>are met across all sites for any given</w:t>
      </w:r>
      <w:r>
        <w:t xml:space="preserve"> cohort. </w:t>
      </w:r>
    </w:p>
    <w:p w14:paraId="79DDFB71" w14:textId="77777777" w:rsidR="00F43682" w:rsidRDefault="00F43682" w:rsidP="009E0AB3">
      <w:pPr>
        <w:pStyle w:val="Heading3"/>
      </w:pPr>
      <w:bookmarkStart w:id="165" w:name="_Toc389129963"/>
      <w:bookmarkStart w:id="166" w:name="_Toc440906264"/>
      <w:r>
        <w:t>Masking Procedures</w:t>
      </w:r>
      <w:bookmarkEnd w:id="164"/>
      <w:bookmarkEnd w:id="165"/>
      <w:bookmarkEnd w:id="166"/>
    </w:p>
    <w:p w14:paraId="11D7530A" w14:textId="388260CE" w:rsidR="00A41735" w:rsidRDefault="00C07B9B" w:rsidP="005815AE">
      <w:pPr>
        <w:pStyle w:val="BodyText2"/>
        <w:spacing w:before="180" w:after="180" w:line="276" w:lineRule="auto"/>
        <w:ind w:left="0"/>
      </w:pPr>
      <w:r w:rsidRPr="00C07B9B">
        <w:t>Personnel at the study site(s</w:t>
      </w:r>
      <w:r w:rsidR="00A41735">
        <w:t>) will be blinded to subject</w:t>
      </w:r>
      <w:r w:rsidRPr="00C07B9B">
        <w:t xml:space="preserve"> treatment assignments, with the exception of the study vaccine manager (and designee, if appointed). In addition, since ID93 + GLA-SE and saline for injection (</w:t>
      </w:r>
      <w:r w:rsidR="00176FED">
        <w:t>placebo</w:t>
      </w:r>
      <w:r w:rsidRPr="00C07B9B">
        <w:t xml:space="preserve">) have </w:t>
      </w:r>
      <w:r w:rsidR="00A41735">
        <w:t>a different appearance</w:t>
      </w:r>
      <w:r w:rsidRPr="00C07B9B">
        <w:t xml:space="preserve">, the study injection administrator (the study team member in the clinic who will be administering the injections) will also be unblinded. </w:t>
      </w:r>
      <w:r w:rsidR="00A41735" w:rsidRPr="00C07B9B">
        <w:t xml:space="preserve">Unblinded study personnel must not participate in </w:t>
      </w:r>
      <w:r w:rsidR="00A41735">
        <w:t>safety</w:t>
      </w:r>
      <w:r w:rsidR="00353AF3">
        <w:t xml:space="preserve"> or </w:t>
      </w:r>
      <w:r w:rsidR="00A41735">
        <w:t>immunogenicity</w:t>
      </w:r>
      <w:r w:rsidR="00C12FAA">
        <w:t xml:space="preserve"> evaluations</w:t>
      </w:r>
      <w:r w:rsidR="00A41735">
        <w:t>.</w:t>
      </w:r>
    </w:p>
    <w:p w14:paraId="3739B8AE" w14:textId="4595068E" w:rsidR="00C07B9B" w:rsidRPr="00C07B9B" w:rsidRDefault="00C07B9B" w:rsidP="005815AE">
      <w:pPr>
        <w:pStyle w:val="BodyText2"/>
        <w:spacing w:before="180" w:after="180" w:line="276" w:lineRule="auto"/>
        <w:ind w:left="0"/>
      </w:pPr>
      <w:r w:rsidRPr="00C07B9B">
        <w:t>All unblinded persons must n</w:t>
      </w:r>
      <w:r w:rsidR="00A41735">
        <w:t>ot reveal individual subject</w:t>
      </w:r>
      <w:r w:rsidRPr="00C07B9B">
        <w:t xml:space="preserve"> treatment regimen assignments to any other member of the study t</w:t>
      </w:r>
      <w:r w:rsidR="00A41735">
        <w:t>eam</w:t>
      </w:r>
      <w:r w:rsidRPr="00C07B9B">
        <w:t>. A Delegation of Authority Log will be maintained by the site</w:t>
      </w:r>
      <w:r w:rsidR="00A41735">
        <w:t>(s)</w:t>
      </w:r>
      <w:r w:rsidRPr="00C07B9B">
        <w:t xml:space="preserve"> and will identify the individual(s) authorized to function as the study vaccine manager and study injection administrator, i.e., individuals with access to study </w:t>
      </w:r>
      <w:r w:rsidR="001C5C25">
        <w:t>un</w:t>
      </w:r>
      <w:r w:rsidRPr="00C07B9B">
        <w:t>blinding informat</w:t>
      </w:r>
      <w:r w:rsidR="00A41735">
        <w:t xml:space="preserve">ion. The </w:t>
      </w:r>
      <w:r w:rsidR="00613D64">
        <w:t xml:space="preserve">designated unblinded </w:t>
      </w:r>
      <w:r w:rsidR="00A41735">
        <w:t>pharmacy</w:t>
      </w:r>
      <w:r w:rsidRPr="00C07B9B">
        <w:t xml:space="preserve"> monitor(s</w:t>
      </w:r>
      <w:r w:rsidR="00A41735">
        <w:t>) and the Sponsor</w:t>
      </w:r>
      <w:r w:rsidRPr="00C07B9B">
        <w:t xml:space="preserve"> </w:t>
      </w:r>
      <w:r w:rsidR="00613D64">
        <w:t>biostatistician</w:t>
      </w:r>
      <w:r w:rsidRPr="00C07B9B">
        <w:t xml:space="preserve"> will also have access to unblinded information. </w:t>
      </w:r>
    </w:p>
    <w:p w14:paraId="611258EC" w14:textId="311EACC9" w:rsidR="001445A9" w:rsidRPr="007078D5" w:rsidRDefault="00C07B9B" w:rsidP="005815AE">
      <w:pPr>
        <w:pStyle w:val="BodyText2"/>
        <w:spacing w:before="180" w:after="180" w:line="276" w:lineRule="auto"/>
        <w:ind w:left="0"/>
        <w:rPr>
          <w:szCs w:val="22"/>
        </w:rPr>
      </w:pPr>
      <w:r w:rsidRPr="00C07B9B">
        <w:t xml:space="preserve">The randomization schedule </w:t>
      </w:r>
      <w:r w:rsidR="001C5C25">
        <w:t xml:space="preserve">(or individual opaque, sealed, randomization envelopes) </w:t>
      </w:r>
      <w:r w:rsidRPr="00E81D05">
        <w:rPr>
          <w:szCs w:val="22"/>
        </w:rPr>
        <w:t xml:space="preserve">will be provided to the study vaccine manager </w:t>
      </w:r>
      <w:r w:rsidR="00C94471" w:rsidRPr="00E81D05">
        <w:rPr>
          <w:szCs w:val="22"/>
        </w:rPr>
        <w:t xml:space="preserve">by the unblinded statistician </w:t>
      </w:r>
      <w:r w:rsidRPr="00E81D05">
        <w:rPr>
          <w:szCs w:val="22"/>
        </w:rPr>
        <w:t>in a sealed tamper-evident envelope</w:t>
      </w:r>
      <w:r w:rsidR="00A41735" w:rsidRPr="00E81D05">
        <w:rPr>
          <w:szCs w:val="22"/>
        </w:rPr>
        <w:t xml:space="preserve">. The randomization schedule </w:t>
      </w:r>
      <w:r w:rsidR="001C5C25">
        <w:rPr>
          <w:szCs w:val="22"/>
        </w:rPr>
        <w:t>(or randomization envelopes)</w:t>
      </w:r>
      <w:r w:rsidR="001C5C25" w:rsidRPr="00E81D05">
        <w:rPr>
          <w:szCs w:val="22"/>
        </w:rPr>
        <w:t xml:space="preserve"> </w:t>
      </w:r>
      <w:r w:rsidR="00A41735" w:rsidRPr="00E81D05">
        <w:rPr>
          <w:szCs w:val="22"/>
        </w:rPr>
        <w:t xml:space="preserve">and all pharmacy source documents and dose preparation records that can link a subject identification number with a treatment assignment must remain secure (e.g., in the pharmacy with access limited to only authorized unblinded persons) until notification from the sponsor or its designee that the study has been </w:t>
      </w:r>
      <w:r w:rsidR="001445A9" w:rsidRPr="00E81D05">
        <w:rPr>
          <w:szCs w:val="22"/>
        </w:rPr>
        <w:t>unblinded.</w:t>
      </w:r>
    </w:p>
    <w:p w14:paraId="2E2C7122" w14:textId="6E6FC9D0" w:rsidR="001445A9" w:rsidRPr="007078D5" w:rsidRDefault="007078D5" w:rsidP="005815AE">
      <w:pPr>
        <w:pStyle w:val="BodyText2"/>
        <w:spacing w:before="180" w:after="180" w:line="276" w:lineRule="auto"/>
        <w:ind w:left="0"/>
        <w:rPr>
          <w:szCs w:val="22"/>
        </w:rPr>
      </w:pPr>
      <w:r w:rsidRPr="007078D5">
        <w:rPr>
          <w:szCs w:val="22"/>
        </w:rPr>
        <w:t>If there is an urgent clinical need</w:t>
      </w:r>
      <w:r w:rsidR="001445A9" w:rsidRPr="007078D5">
        <w:rPr>
          <w:szCs w:val="22"/>
        </w:rPr>
        <w:t xml:space="preserve"> to know a subject’s treatment assignment, the investigator (in consultation</w:t>
      </w:r>
      <w:r w:rsidR="00C97ED8" w:rsidRPr="007078D5">
        <w:rPr>
          <w:szCs w:val="22"/>
        </w:rPr>
        <w:t xml:space="preserve"> with the </w:t>
      </w:r>
      <w:r w:rsidR="005C070C">
        <w:rPr>
          <w:szCs w:val="22"/>
        </w:rPr>
        <w:t>LMM</w:t>
      </w:r>
      <w:r w:rsidR="00C97ED8" w:rsidRPr="007078D5">
        <w:rPr>
          <w:szCs w:val="22"/>
        </w:rPr>
        <w:t xml:space="preserve"> and Sponsor</w:t>
      </w:r>
      <w:r w:rsidR="001445A9" w:rsidRPr="007078D5">
        <w:rPr>
          <w:szCs w:val="22"/>
        </w:rPr>
        <w:t xml:space="preserve"> if possible) will make a written request </w:t>
      </w:r>
      <w:r w:rsidR="00C12FAA">
        <w:rPr>
          <w:szCs w:val="22"/>
        </w:rPr>
        <w:t>(</w:t>
      </w:r>
      <w:r w:rsidR="00C87E43">
        <w:rPr>
          <w:szCs w:val="22"/>
        </w:rPr>
        <w:t xml:space="preserve">may be </w:t>
      </w:r>
      <w:r w:rsidR="00C12FAA">
        <w:rPr>
          <w:szCs w:val="22"/>
        </w:rPr>
        <w:t xml:space="preserve">by e-mail) </w:t>
      </w:r>
      <w:r w:rsidR="001445A9" w:rsidRPr="007078D5">
        <w:rPr>
          <w:szCs w:val="22"/>
        </w:rPr>
        <w:t xml:space="preserve">to the study vaccine manager </w:t>
      </w:r>
      <w:r w:rsidR="00C87E43">
        <w:rPr>
          <w:szCs w:val="22"/>
        </w:rPr>
        <w:t xml:space="preserve">(and/or </w:t>
      </w:r>
      <w:r w:rsidR="001772E7">
        <w:rPr>
          <w:szCs w:val="22"/>
        </w:rPr>
        <w:t xml:space="preserve">the unblinded </w:t>
      </w:r>
      <w:r w:rsidR="00C87E43">
        <w:rPr>
          <w:szCs w:val="22"/>
        </w:rPr>
        <w:t xml:space="preserve">IDRI biostatistician) </w:t>
      </w:r>
      <w:r w:rsidR="001445A9" w:rsidRPr="007078D5">
        <w:rPr>
          <w:szCs w:val="22"/>
        </w:rPr>
        <w:t>for urgent Emergency Unblinding of a subject’s treatment</w:t>
      </w:r>
      <w:r w:rsidR="007733C1">
        <w:rPr>
          <w:szCs w:val="22"/>
        </w:rPr>
        <w:t xml:space="preserve"> allocation</w:t>
      </w:r>
      <w:r w:rsidR="001445A9" w:rsidRPr="007078D5">
        <w:rPr>
          <w:szCs w:val="22"/>
        </w:rPr>
        <w:t>. The request must include the subject identification number</w:t>
      </w:r>
      <w:r w:rsidR="006F324C">
        <w:rPr>
          <w:szCs w:val="22"/>
        </w:rPr>
        <w:t xml:space="preserve"> (PID #)</w:t>
      </w:r>
      <w:r w:rsidR="001445A9" w:rsidRPr="007078D5">
        <w:rPr>
          <w:szCs w:val="22"/>
        </w:rPr>
        <w:t xml:space="preserve">, the date, a brief justification of the clinical requirement for unblinding, and the investigator’s signature. The request will be kept in the study file. Upon receipt of proper written request, the vaccine manager or designee will disclose the treatment group to the investigator. </w:t>
      </w:r>
    </w:p>
    <w:p w14:paraId="1073F87C" w14:textId="4B0F9DCA" w:rsidR="00C07B9B" w:rsidRPr="007078D5" w:rsidRDefault="001445A9" w:rsidP="005815AE">
      <w:pPr>
        <w:pStyle w:val="BodyText2"/>
        <w:spacing w:before="180" w:after="180" w:line="276" w:lineRule="auto"/>
        <w:ind w:left="0"/>
        <w:rPr>
          <w:szCs w:val="22"/>
        </w:rPr>
      </w:pPr>
      <w:r w:rsidRPr="007078D5">
        <w:rPr>
          <w:szCs w:val="22"/>
        </w:rPr>
        <w:t>The Sponsor must be notified immedia</w:t>
      </w:r>
      <w:r w:rsidR="00C97ED8" w:rsidRPr="007078D5">
        <w:rPr>
          <w:szCs w:val="22"/>
        </w:rPr>
        <w:t xml:space="preserve">tely of any </w:t>
      </w:r>
      <w:r w:rsidRPr="007078D5">
        <w:rPr>
          <w:szCs w:val="22"/>
        </w:rPr>
        <w:t>break of the study blind</w:t>
      </w:r>
      <w:r w:rsidR="00C97ED8" w:rsidRPr="007078D5">
        <w:rPr>
          <w:szCs w:val="22"/>
        </w:rPr>
        <w:t xml:space="preserve">, whether accidental or </w:t>
      </w:r>
      <w:r w:rsidR="00406FF2" w:rsidRPr="007078D5">
        <w:rPr>
          <w:szCs w:val="22"/>
        </w:rPr>
        <w:t xml:space="preserve">a clinically indicated Emergency Unblinding. </w:t>
      </w:r>
    </w:p>
    <w:p w14:paraId="3D48B284" w14:textId="77777777" w:rsidR="00F43682" w:rsidRDefault="00F43682" w:rsidP="009E0AB3">
      <w:pPr>
        <w:pStyle w:val="Heading3"/>
      </w:pPr>
      <w:bookmarkStart w:id="167" w:name="_Toc389129964"/>
      <w:bookmarkStart w:id="168" w:name="_Toc440906265"/>
      <w:r>
        <w:t>Reasons for Withdrawal</w:t>
      </w:r>
      <w:bookmarkEnd w:id="159"/>
      <w:bookmarkEnd w:id="167"/>
      <w:bookmarkEnd w:id="168"/>
    </w:p>
    <w:p w14:paraId="43944135" w14:textId="77777777" w:rsidR="007733C1" w:rsidRDefault="00E87D3D" w:rsidP="005815AE">
      <w:pPr>
        <w:pStyle w:val="BodyText"/>
        <w:spacing w:before="180" w:after="180" w:line="276" w:lineRule="auto"/>
      </w:pPr>
      <w:r w:rsidRPr="00E87D3D">
        <w:t>Subjects are free to withdraw from participating in the study at any time upon request.</w:t>
      </w:r>
      <w:r>
        <w:t xml:space="preserve"> Subjects wishing to withdraw from participation o</w:t>
      </w:r>
      <w:r w:rsidR="007733C1">
        <w:t>nly in certain study activities</w:t>
      </w:r>
      <w:r>
        <w:t xml:space="preserve"> may remain on study at the d</w:t>
      </w:r>
      <w:r w:rsidR="005141BB">
        <w:t>iscretion of the investigator, so that w</w:t>
      </w:r>
      <w:r>
        <w:t>henever possible, an</w:t>
      </w:r>
      <w:r w:rsidR="007733C1">
        <w:t xml:space="preserve"> End-of-Study (EOS) visit may</w:t>
      </w:r>
      <w:r>
        <w:t xml:space="preserve"> be conducted.</w:t>
      </w:r>
    </w:p>
    <w:p w14:paraId="18C292FA" w14:textId="7F104EEA" w:rsidR="00F43682" w:rsidRPr="00E87D3D" w:rsidRDefault="00C87E43" w:rsidP="005815AE">
      <w:pPr>
        <w:pStyle w:val="BodyText"/>
        <w:spacing w:before="180" w:after="180" w:line="276" w:lineRule="auto"/>
      </w:pPr>
      <w:r>
        <w:t>T</w:t>
      </w:r>
      <w:r w:rsidR="00E87D3D">
        <w:t xml:space="preserve">he investigator </w:t>
      </w:r>
      <w:r>
        <w:t xml:space="preserve">may </w:t>
      </w:r>
      <w:r w:rsidR="00E87D3D">
        <w:t xml:space="preserve">discontinue a subject from the study </w:t>
      </w:r>
      <w:r w:rsidR="009712A8">
        <w:t>if any clinical AE,</w:t>
      </w:r>
      <w:r w:rsidR="00F43682" w:rsidRPr="00E87D3D">
        <w:t xml:space="preserve"> laboratory abnormality, intercurrent illness, or other</w:t>
      </w:r>
      <w:r w:rsidR="009712A8">
        <w:t xml:space="preserve"> medical condition </w:t>
      </w:r>
      <w:r w:rsidR="00F43682" w:rsidRPr="00E87D3D">
        <w:t>occurs such that continued participation in the study would not be in the best interest of the subject.</w:t>
      </w:r>
    </w:p>
    <w:p w14:paraId="3B75E4C4" w14:textId="1E202CE8" w:rsidR="00F43682" w:rsidRDefault="00F43682" w:rsidP="009E0AB3">
      <w:pPr>
        <w:pStyle w:val="Heading3"/>
      </w:pPr>
      <w:bookmarkStart w:id="169" w:name="_Toc389129965"/>
      <w:bookmarkStart w:id="170" w:name="_Toc440906266"/>
      <w:bookmarkStart w:id="171" w:name="_Toc44997918"/>
      <w:r>
        <w:t>Handling of Withdrawals</w:t>
      </w:r>
      <w:bookmarkEnd w:id="169"/>
      <w:bookmarkEnd w:id="170"/>
      <w:r w:rsidR="00C87E43">
        <w:t xml:space="preserve"> </w:t>
      </w:r>
    </w:p>
    <w:p w14:paraId="34D600C1" w14:textId="34865372" w:rsidR="00F43682" w:rsidRDefault="00C87E43" w:rsidP="005815AE">
      <w:pPr>
        <w:pStyle w:val="BodyText"/>
        <w:spacing w:before="180" w:after="180" w:line="276" w:lineRule="auto"/>
      </w:pPr>
      <w:r>
        <w:t>Subjects will be free to withdraw from the study at any time, for any reason, and without prejudice to further treatment. S</w:t>
      </w:r>
      <w:r w:rsidR="005141BB">
        <w:t xml:space="preserve">ubjects who wish to withdraw </w:t>
      </w:r>
      <w:r w:rsidR="0017342D">
        <w:t xml:space="preserve">before their second study injection </w:t>
      </w:r>
      <w:r w:rsidR="005141BB" w:rsidRPr="005141BB">
        <w:t xml:space="preserve">will be encouraged to </w:t>
      </w:r>
      <w:r w:rsidR="005141BB">
        <w:t xml:space="preserve">continue </w:t>
      </w:r>
      <w:r w:rsidR="005141BB" w:rsidRPr="005141BB">
        <w:t xml:space="preserve">safety </w:t>
      </w:r>
      <w:r w:rsidR="00F43682" w:rsidRPr="005141BB">
        <w:t>evalu</w:t>
      </w:r>
      <w:r w:rsidR="005141BB">
        <w:t xml:space="preserve">ations </w:t>
      </w:r>
      <w:r w:rsidR="00F43682" w:rsidRPr="005141BB">
        <w:t xml:space="preserve">and be given appropriate care under medical supervision until </w:t>
      </w:r>
      <w:r w:rsidR="00B5683D">
        <w:t>any</w:t>
      </w:r>
      <w:r w:rsidR="00B5683D" w:rsidRPr="005141BB">
        <w:t xml:space="preserve"> </w:t>
      </w:r>
      <w:r w:rsidR="005141BB">
        <w:t>AE has resolved or become static. Subjects should be encouraged to attend an EOS visit for evaluation of safety</w:t>
      </w:r>
      <w:r w:rsidR="007733C1">
        <w:t>,</w:t>
      </w:r>
      <w:r w:rsidR="005141BB">
        <w:t xml:space="preserve"> and screening for possible recurrent TB disease.</w:t>
      </w:r>
      <w:r w:rsidR="00B5683D">
        <w:t xml:space="preserve"> </w:t>
      </w:r>
      <w:r w:rsidR="00B5683D" w:rsidRPr="00B5683D">
        <w:t>Any subject who withdraws from the study, regardless of reason, will not be allowed to re-enroll in th</w:t>
      </w:r>
      <w:r w:rsidR="00B5683D">
        <w:t xml:space="preserve">e </w:t>
      </w:r>
      <w:r w:rsidR="00B5683D" w:rsidRPr="00B5683D">
        <w:t>study.</w:t>
      </w:r>
    </w:p>
    <w:p w14:paraId="2BC7FF8E" w14:textId="404DAC6F" w:rsidR="00B5683D" w:rsidRDefault="007C0DFD" w:rsidP="005815AE">
      <w:pPr>
        <w:pStyle w:val="BodyText"/>
        <w:spacing w:before="180" w:after="180" w:line="276" w:lineRule="auto"/>
      </w:pPr>
      <w:r>
        <w:t>If the study team is unable to establish contact with a subject who misses a scheduled study visit</w:t>
      </w:r>
      <w:r w:rsidR="00C87E43">
        <w:t>(</w:t>
      </w:r>
      <w:r>
        <w:t>s</w:t>
      </w:r>
      <w:r w:rsidR="00C87E43">
        <w:t>)</w:t>
      </w:r>
      <w:r>
        <w:t xml:space="preserve">, the study team must make every possible effort to re-establish contact and document such efforts. If contact is re-established, then the subject will resume participation in the study. A minimum of 3 attempts </w:t>
      </w:r>
      <w:r w:rsidR="00B5683D">
        <w:t xml:space="preserve">on separate days </w:t>
      </w:r>
      <w:r>
        <w:t xml:space="preserve">should be made. If contact with the subject cannot be re-established by the scheduled Day </w:t>
      </w:r>
      <w:r w:rsidR="00567485">
        <w:t>224</w:t>
      </w:r>
      <w:r w:rsidR="009B5D90">
        <w:t xml:space="preserve"> </w:t>
      </w:r>
      <w:r>
        <w:t>EOS visit date, then a determination of “lost to follow-up (LTFU)</w:t>
      </w:r>
      <w:r w:rsidR="000075E4">
        <w:t>”</w:t>
      </w:r>
      <w:r>
        <w:t xml:space="preserve"> should be made.</w:t>
      </w:r>
      <w:r w:rsidR="00B5683D" w:rsidRPr="00B5683D">
        <w:rPr>
          <w:rFonts w:ascii="Times New Roman" w:hAnsi="Times New Roman"/>
          <w:sz w:val="24"/>
          <w:szCs w:val="24"/>
        </w:rPr>
        <w:t xml:space="preserve"> </w:t>
      </w:r>
    </w:p>
    <w:p w14:paraId="3A3AFB6B" w14:textId="68A0BDF5" w:rsidR="007C0DFD" w:rsidRPr="005141BB" w:rsidRDefault="007C0DFD" w:rsidP="005815AE">
      <w:pPr>
        <w:pStyle w:val="BodyText"/>
        <w:spacing w:before="180" w:after="180" w:line="276" w:lineRule="auto"/>
      </w:pPr>
      <w:r>
        <w:t xml:space="preserve">Subjects who have withdrawn from the study or who have been classified as </w:t>
      </w:r>
      <w:r w:rsidR="000075E4">
        <w:t>LTFU</w:t>
      </w:r>
      <w:r>
        <w:t xml:space="preserve"> will be included in the intent-to-treat analysis.</w:t>
      </w:r>
      <w:r w:rsidR="00FE2048" w:rsidRPr="00FE2048">
        <w:t xml:space="preserve"> </w:t>
      </w:r>
      <w:r w:rsidR="00FE2048" w:rsidRPr="00B5683D">
        <w:t>Reasons for withdrawal will be recorded on the appropriate CRF. The final report will include reasons for withdrawal and any necessary treatment</w:t>
      </w:r>
      <w:r w:rsidR="00FE2048">
        <w:t xml:space="preserve"> when applicable</w:t>
      </w:r>
      <w:r w:rsidR="00FE2048" w:rsidRPr="00B5683D">
        <w:t>.</w:t>
      </w:r>
    </w:p>
    <w:p w14:paraId="6C38EAC9" w14:textId="536770AF" w:rsidR="001D0607" w:rsidRDefault="001D0607" w:rsidP="009E0AB3">
      <w:pPr>
        <w:pStyle w:val="Heading3"/>
      </w:pPr>
      <w:bookmarkStart w:id="172" w:name="_Toc389129966"/>
      <w:bookmarkStart w:id="173" w:name="_Toc440906267"/>
      <w:r>
        <w:t>Subject Replacement</w:t>
      </w:r>
      <w:bookmarkEnd w:id="172"/>
      <w:bookmarkEnd w:id="173"/>
    </w:p>
    <w:p w14:paraId="425AD073" w14:textId="7B50A2C5" w:rsidR="001D0607" w:rsidRPr="001D0607" w:rsidRDefault="00F0692D" w:rsidP="001772E7">
      <w:pPr>
        <w:pStyle w:val="BodyText"/>
      </w:pPr>
      <w:r>
        <w:t>There will be no subject replacements in this study</w:t>
      </w:r>
      <w:r w:rsidR="001D0607" w:rsidRPr="00B5683D">
        <w:t>.</w:t>
      </w:r>
    </w:p>
    <w:p w14:paraId="269F1372" w14:textId="77777777" w:rsidR="00F43682" w:rsidRDefault="00F43682" w:rsidP="009E0AB3">
      <w:pPr>
        <w:pStyle w:val="Heading3"/>
      </w:pPr>
      <w:bookmarkStart w:id="174" w:name="_Toc389129967"/>
      <w:bookmarkStart w:id="175" w:name="_Toc440906268"/>
      <w:r>
        <w:t>Termination of Study</w:t>
      </w:r>
      <w:bookmarkEnd w:id="171"/>
      <w:bookmarkEnd w:id="174"/>
      <w:bookmarkEnd w:id="175"/>
      <w:r>
        <w:t xml:space="preserve"> </w:t>
      </w:r>
    </w:p>
    <w:p w14:paraId="73C3EA78" w14:textId="482AC2C0" w:rsidR="00B114D0" w:rsidRPr="00B114D0" w:rsidRDefault="00616BF9" w:rsidP="005815AE">
      <w:pPr>
        <w:pStyle w:val="BodyText2"/>
        <w:ind w:left="0"/>
      </w:pPr>
      <w:r>
        <w:t xml:space="preserve">The study may be terminated by a decision of the national regulator, institutional ethics committee(s), PI, </w:t>
      </w:r>
      <w:r w:rsidR="00A4391B">
        <w:t>Data and Safety Monitor (</w:t>
      </w:r>
      <w:r w:rsidR="001D0607">
        <w:t>DSM</w:t>
      </w:r>
      <w:r w:rsidR="00A4391B">
        <w:t>)</w:t>
      </w:r>
      <w:r w:rsidR="00906CD6">
        <w:t>,</w:t>
      </w:r>
      <w:r>
        <w:t xml:space="preserve"> or Sponsor. A decision to terminate the study should only be reached after consultation</w:t>
      </w:r>
      <w:r w:rsidR="00B114D0">
        <w:t>,</w:t>
      </w:r>
      <w:r>
        <w:t xml:space="preserve"> and ideally consensus</w:t>
      </w:r>
      <w:r w:rsidR="00B114D0">
        <w:t xml:space="preserve"> agreement,</w:t>
      </w:r>
      <w:r w:rsidR="00D4362B">
        <w:t xml:space="preserve"> among these parties. </w:t>
      </w:r>
      <w:r w:rsidR="00F54F5A">
        <w:t xml:space="preserve">Possible reasons for termination of the study </w:t>
      </w:r>
      <w:r>
        <w:t xml:space="preserve">include </w:t>
      </w:r>
      <w:r w:rsidR="00B114D0" w:rsidRPr="00017D2A">
        <w:rPr>
          <w:iCs/>
        </w:rPr>
        <w:t>if one or more subjects in any treatment group experienc</w:t>
      </w:r>
      <w:r w:rsidR="00B114D0">
        <w:rPr>
          <w:iCs/>
        </w:rPr>
        <w:t>e any of the following related AEs:</w:t>
      </w:r>
    </w:p>
    <w:p w14:paraId="3E06F242" w14:textId="77777777" w:rsidR="00B114D0" w:rsidRPr="00017D2A" w:rsidRDefault="00B114D0" w:rsidP="005815AE">
      <w:pPr>
        <w:pStyle w:val="BodyText"/>
        <w:numPr>
          <w:ilvl w:val="0"/>
          <w:numId w:val="25"/>
        </w:numPr>
        <w:ind w:left="720"/>
        <w:rPr>
          <w:iCs/>
        </w:rPr>
      </w:pPr>
      <w:r w:rsidRPr="00017D2A">
        <w:rPr>
          <w:iCs/>
        </w:rPr>
        <w:t>Anaphylaxis or bronchospasm within 4 hours of study injection indicative of an immediate hypersensitivity reaction to the vaccine and not attributable to another cause.</w:t>
      </w:r>
    </w:p>
    <w:p w14:paraId="2B88A0C6" w14:textId="7C082FF6" w:rsidR="00B114D0" w:rsidRPr="00017D2A" w:rsidRDefault="00B114D0" w:rsidP="005815AE">
      <w:pPr>
        <w:pStyle w:val="BodyText"/>
        <w:numPr>
          <w:ilvl w:val="0"/>
          <w:numId w:val="25"/>
        </w:numPr>
        <w:ind w:left="720"/>
        <w:rPr>
          <w:iCs/>
        </w:rPr>
      </w:pPr>
      <w:r w:rsidRPr="00017D2A">
        <w:rPr>
          <w:iCs/>
        </w:rPr>
        <w:t xml:space="preserve">Any systemic rash, including but not limited to urticaria, generalized petechiae, or erythema multiforme, </w:t>
      </w:r>
      <w:r>
        <w:rPr>
          <w:iCs/>
        </w:rPr>
        <w:t xml:space="preserve">related </w:t>
      </w:r>
      <w:r w:rsidRPr="00017D2A">
        <w:rPr>
          <w:iCs/>
        </w:rPr>
        <w:t xml:space="preserve">to the vaccine </w:t>
      </w:r>
      <w:r>
        <w:rPr>
          <w:iCs/>
        </w:rPr>
        <w:t xml:space="preserve">and </w:t>
      </w:r>
      <w:r w:rsidRPr="00017D2A">
        <w:rPr>
          <w:iCs/>
        </w:rPr>
        <w:t>not attributable to another cause.</w:t>
      </w:r>
    </w:p>
    <w:p w14:paraId="338C9AC1" w14:textId="682E3083" w:rsidR="00B114D0" w:rsidRPr="00017D2A" w:rsidRDefault="00B114D0" w:rsidP="005815AE">
      <w:pPr>
        <w:pStyle w:val="BodyText"/>
        <w:numPr>
          <w:ilvl w:val="0"/>
          <w:numId w:val="25"/>
        </w:numPr>
        <w:ind w:left="720"/>
        <w:rPr>
          <w:iCs/>
        </w:rPr>
      </w:pPr>
      <w:r w:rsidRPr="00017D2A">
        <w:rPr>
          <w:iCs/>
        </w:rPr>
        <w:t xml:space="preserve">Tissue necrosis at the </w:t>
      </w:r>
      <w:r w:rsidR="002C59ED">
        <w:rPr>
          <w:iCs/>
        </w:rPr>
        <w:t>injection</w:t>
      </w:r>
      <w:r w:rsidRPr="00017D2A">
        <w:rPr>
          <w:iCs/>
        </w:rPr>
        <w:t xml:space="preserve"> site.</w:t>
      </w:r>
    </w:p>
    <w:p w14:paraId="3419BB40" w14:textId="66A8BDDF" w:rsidR="00B114D0" w:rsidRPr="00017D2A" w:rsidRDefault="00B114D0" w:rsidP="005815AE">
      <w:pPr>
        <w:pStyle w:val="BodyText"/>
        <w:numPr>
          <w:ilvl w:val="0"/>
          <w:numId w:val="25"/>
        </w:numPr>
        <w:ind w:left="720"/>
        <w:rPr>
          <w:iCs/>
        </w:rPr>
      </w:pPr>
      <w:r>
        <w:rPr>
          <w:iCs/>
        </w:rPr>
        <w:t>Any other SAE</w:t>
      </w:r>
      <w:r w:rsidRPr="00017D2A">
        <w:rPr>
          <w:iCs/>
        </w:rPr>
        <w:t xml:space="preserve"> deemed to be possibly, probably, or definitely attributable to the study injection by the Principal Investigator, IDRI Medical</w:t>
      </w:r>
      <w:r w:rsidR="005C070C">
        <w:rPr>
          <w:iCs/>
        </w:rPr>
        <w:t xml:space="preserve"> Advisor,</w:t>
      </w:r>
      <w:r w:rsidRPr="00017D2A">
        <w:rPr>
          <w:iCs/>
        </w:rPr>
        <w:t xml:space="preserve"> </w:t>
      </w:r>
      <w:r w:rsidR="005C070C">
        <w:rPr>
          <w:iCs/>
        </w:rPr>
        <w:t xml:space="preserve">Local Medical </w:t>
      </w:r>
      <w:r w:rsidRPr="00017D2A">
        <w:rPr>
          <w:iCs/>
        </w:rPr>
        <w:t xml:space="preserve">Monitor, or </w:t>
      </w:r>
      <w:r w:rsidR="001D0607">
        <w:rPr>
          <w:iCs/>
        </w:rPr>
        <w:t>DSM</w:t>
      </w:r>
      <w:r w:rsidRPr="00017D2A">
        <w:rPr>
          <w:iCs/>
        </w:rPr>
        <w:t>, based on close temporal relationship or other factors.</w:t>
      </w:r>
    </w:p>
    <w:p w14:paraId="05882A51" w14:textId="27728E34" w:rsidR="00B114D0" w:rsidRPr="00F54F5A" w:rsidRDefault="00B114D0" w:rsidP="005815AE">
      <w:pPr>
        <w:pStyle w:val="BodyText2"/>
        <w:ind w:left="0"/>
      </w:pPr>
      <w:r w:rsidRPr="00017D2A">
        <w:rPr>
          <w:iCs/>
        </w:rPr>
        <w:t>The study will also be immediately suspended and no additional study injections administered pending review and discussion of all appropriate safety data if three or more subjects fulfill the criteria for discontinuation of study injections in an individual subject and if the dose-limiting AEs are determined to be possibly, probably, or definitely related to study injection</w:t>
      </w:r>
      <w:r w:rsidR="00563F07">
        <w:rPr>
          <w:iCs/>
        </w:rPr>
        <w:t xml:space="preserve"> (see </w:t>
      </w:r>
      <w:r w:rsidR="00725327">
        <w:rPr>
          <w:iCs/>
        </w:rPr>
        <w:t>S</w:t>
      </w:r>
      <w:r w:rsidR="00563F07">
        <w:rPr>
          <w:iCs/>
        </w:rPr>
        <w:t xml:space="preserve">ection </w:t>
      </w:r>
      <w:r w:rsidR="00563F07" w:rsidRPr="00276ADA">
        <w:rPr>
          <w:iCs/>
          <w:color w:val="0000FF"/>
        </w:rPr>
        <w:fldChar w:fldCharType="begin"/>
      </w:r>
      <w:r w:rsidR="00563F07" w:rsidRPr="00276ADA">
        <w:rPr>
          <w:iCs/>
          <w:color w:val="0000FF"/>
        </w:rPr>
        <w:instrText xml:space="preserve"> REF _Ref522512796 \r \h </w:instrText>
      </w:r>
      <w:r w:rsidR="00563F07" w:rsidRPr="00276ADA">
        <w:rPr>
          <w:iCs/>
          <w:color w:val="0000FF"/>
        </w:rPr>
      </w:r>
      <w:r w:rsidR="00563F07" w:rsidRPr="00276ADA">
        <w:rPr>
          <w:iCs/>
          <w:color w:val="0000FF"/>
        </w:rPr>
        <w:fldChar w:fldCharType="separate"/>
      </w:r>
      <w:r w:rsidR="00024E24">
        <w:rPr>
          <w:iCs/>
          <w:color w:val="0000FF"/>
        </w:rPr>
        <w:t>9.8.3</w:t>
      </w:r>
      <w:r w:rsidR="00563F07" w:rsidRPr="00276ADA">
        <w:rPr>
          <w:iCs/>
          <w:color w:val="0000FF"/>
        </w:rPr>
        <w:fldChar w:fldCharType="end"/>
      </w:r>
      <w:r w:rsidR="00563F07">
        <w:rPr>
          <w:iCs/>
        </w:rPr>
        <w:t>)</w:t>
      </w:r>
      <w:r w:rsidRPr="00017D2A">
        <w:rPr>
          <w:iCs/>
        </w:rPr>
        <w:t>.</w:t>
      </w:r>
    </w:p>
    <w:p w14:paraId="522A692A" w14:textId="77777777" w:rsidR="00F43682" w:rsidRPr="00C648A1" w:rsidRDefault="00F43682">
      <w:pPr>
        <w:pStyle w:val="Heading1"/>
      </w:pPr>
      <w:bookmarkStart w:id="176" w:name="_Toc42588981"/>
      <w:bookmarkStart w:id="177" w:name="_Toc53202829"/>
      <w:bookmarkStart w:id="178" w:name="_Toc389129968"/>
      <w:bookmarkStart w:id="179" w:name="_Toc440906269"/>
      <w:bookmarkStart w:id="180" w:name="_Toc42588975"/>
      <w:bookmarkStart w:id="181" w:name="_Toc53202823"/>
      <w:bookmarkStart w:id="182" w:name="_Toc42588970"/>
      <w:bookmarkStart w:id="183" w:name="_Toc53202811"/>
      <w:bookmarkEnd w:id="160"/>
      <w:bookmarkEnd w:id="161"/>
      <w:r w:rsidRPr="00C648A1">
        <w:t>Study Intervention/Investigational Product</w:t>
      </w:r>
      <w:bookmarkEnd w:id="176"/>
      <w:bookmarkEnd w:id="177"/>
      <w:bookmarkEnd w:id="178"/>
      <w:bookmarkEnd w:id="179"/>
    </w:p>
    <w:p w14:paraId="70BF24FC" w14:textId="77777777" w:rsidR="00F43682" w:rsidRPr="00C648A1" w:rsidRDefault="00F43682">
      <w:pPr>
        <w:pStyle w:val="Heading2"/>
      </w:pPr>
      <w:bookmarkStart w:id="184" w:name="_Toc389129969"/>
      <w:bookmarkStart w:id="185" w:name="_Toc440906270"/>
      <w:bookmarkStart w:id="186" w:name="_Toc42588985"/>
      <w:bookmarkStart w:id="187" w:name="_Toc53202833"/>
      <w:bookmarkStart w:id="188" w:name="_Toc42588982"/>
      <w:bookmarkStart w:id="189" w:name="_Toc53202830"/>
      <w:r w:rsidRPr="00C648A1">
        <w:t>Study Product Description</w:t>
      </w:r>
      <w:bookmarkEnd w:id="184"/>
      <w:bookmarkEnd w:id="185"/>
    </w:p>
    <w:p w14:paraId="2EA38877" w14:textId="7F280610" w:rsidR="00C648A1" w:rsidRPr="004F7E2E" w:rsidRDefault="00C648A1" w:rsidP="00C648A1">
      <w:pPr>
        <w:pStyle w:val="BodyText"/>
        <w:spacing w:after="120" w:line="276" w:lineRule="auto"/>
      </w:pPr>
      <w:r w:rsidRPr="00E94A4F">
        <w:t>ID93</w:t>
      </w:r>
      <w:r w:rsidRPr="004F7E2E">
        <w:t xml:space="preserve"> </w:t>
      </w:r>
      <w:r>
        <w:t xml:space="preserve">is </w:t>
      </w:r>
      <w:r w:rsidRPr="00E94A4F">
        <w:t>a recombinant subunit vaccine</w:t>
      </w:r>
      <w:r>
        <w:t xml:space="preserve"> antigen</w:t>
      </w:r>
      <w:r w:rsidRPr="00E94A4F">
        <w:t xml:space="preserve">, which combines four antigens belonging to families of </w:t>
      </w:r>
      <w:r w:rsidR="00E90D64" w:rsidRPr="00007815">
        <w:t>Mtb</w:t>
      </w:r>
      <w:r w:rsidR="00E90D64" w:rsidRPr="00E90D64">
        <w:rPr>
          <w:i/>
        </w:rPr>
        <w:t xml:space="preserve"> </w:t>
      </w:r>
      <w:r w:rsidRPr="00E94A4F">
        <w:t>proteins associated with virulence (Rv2608, Rv3619, Rv3620) or latency (Rv1813).</w:t>
      </w:r>
      <w:r>
        <w:t xml:space="preserve"> ID93 is a lyophilized </w:t>
      </w:r>
      <w:r w:rsidRPr="004F7E2E">
        <w:t xml:space="preserve">formulation containing </w:t>
      </w:r>
      <w:r>
        <w:t>10</w:t>
      </w:r>
      <w:r w:rsidRPr="004F7E2E">
        <w:t xml:space="preserve">0 μg </w:t>
      </w:r>
      <w:r>
        <w:t>ID9</w:t>
      </w:r>
      <w:r w:rsidRPr="004F7E2E">
        <w:t>3 and excipients (mannitol, sucrose, and polysorbate 80).</w:t>
      </w:r>
    </w:p>
    <w:p w14:paraId="52B71A54" w14:textId="4D19461D" w:rsidR="00C648A1" w:rsidRDefault="00C648A1" w:rsidP="00C648A1">
      <w:pPr>
        <w:spacing w:after="120" w:line="276" w:lineRule="auto"/>
      </w:pPr>
      <w:r w:rsidRPr="004F7E2E">
        <w:t>Glucopyranosyl Lipid A (GLA) is a synthetic Toll-like Receptor 4 (TLR4) agonist. GLA is formulated in a stable oil-in-water emulsion (SE) to yield the adjuvant formulation GLA-SE. Due to the TLR4 activity of the GLA molecule, the combination of GLA-SE with a re</w:t>
      </w:r>
      <w:r w:rsidRPr="00EF58FC">
        <w:t>combinant pr</w:t>
      </w:r>
      <w:r w:rsidRPr="004F7E2E">
        <w:t>otein antigen (</w:t>
      </w:r>
      <w:r>
        <w:t>ID9</w:t>
      </w:r>
      <w:r w:rsidRPr="004F7E2E">
        <w:t>3) results in a Th1-type T</w:t>
      </w:r>
      <w:r w:rsidR="00546B91">
        <w:t>-</w:t>
      </w:r>
      <w:r w:rsidRPr="004F7E2E">
        <w:t xml:space="preserve">cell response, which is important for protection from infection </w:t>
      </w:r>
      <w:r>
        <w:t xml:space="preserve">with </w:t>
      </w:r>
      <w:r w:rsidR="00E90D64" w:rsidRPr="00007815">
        <w:t>Mtb</w:t>
      </w:r>
      <w:r w:rsidRPr="004F7E2E">
        <w:t>. GLA-SE appears as a milky-white liquid.</w:t>
      </w:r>
    </w:p>
    <w:p w14:paraId="213D1F48" w14:textId="5A5446EC" w:rsidR="00C555D7" w:rsidRDefault="00C555D7" w:rsidP="00C648A1">
      <w:pPr>
        <w:spacing w:after="120" w:line="276" w:lineRule="auto"/>
      </w:pPr>
      <w:r>
        <w:t>EM060G is a diluent that has the same components as GLA-SE, but without the GLA. EM060G appears as a milky-white liquid.</w:t>
      </w:r>
    </w:p>
    <w:p w14:paraId="3252F9B5" w14:textId="3998D312" w:rsidR="000B033A" w:rsidRPr="00C648A1" w:rsidRDefault="00C648A1" w:rsidP="00C648A1">
      <w:pPr>
        <w:pStyle w:val="BodyText"/>
        <w:spacing w:after="120" w:line="276" w:lineRule="auto"/>
        <w:rPr>
          <w:iCs/>
        </w:rPr>
      </w:pPr>
      <w:r>
        <w:t>Normal saline for injection (0.9% sodium chloride) will be used as a placebo control.</w:t>
      </w:r>
      <w:r w:rsidR="000B033A">
        <w:t xml:space="preserve"> Water for injection will be used to reconstitute the lyophilized ID93.</w:t>
      </w:r>
    </w:p>
    <w:p w14:paraId="05FA0981" w14:textId="77777777" w:rsidR="00F43682" w:rsidRPr="00C648A1" w:rsidRDefault="00F43682" w:rsidP="009E0AB3">
      <w:pPr>
        <w:pStyle w:val="Heading3"/>
      </w:pPr>
      <w:bookmarkStart w:id="190" w:name="_Toc389129970"/>
      <w:bookmarkStart w:id="191" w:name="_Toc440906271"/>
      <w:r w:rsidRPr="00C648A1">
        <w:t>Acquisition</w:t>
      </w:r>
      <w:bookmarkEnd w:id="190"/>
      <w:bookmarkEnd w:id="191"/>
    </w:p>
    <w:p w14:paraId="4833029C" w14:textId="38B9F5E7" w:rsidR="00C648A1" w:rsidRDefault="00C648A1" w:rsidP="005815AE">
      <w:pPr>
        <w:pStyle w:val="BodyText2"/>
        <w:spacing w:line="276" w:lineRule="auto"/>
        <w:ind w:left="0"/>
      </w:pPr>
      <w:r w:rsidRPr="00EF58FC">
        <w:t>Vaccine components will be shipped under refrigerated conditions and must be stored upon arrival at the site in a monitored refrigerator maintained at 2-8ºC (36-46ºF) in a secure, controlled location.</w:t>
      </w:r>
      <w:r>
        <w:t xml:space="preserve"> </w:t>
      </w:r>
      <w:r w:rsidRPr="00770C2A">
        <w:t>Unused product will be returned or destro</w:t>
      </w:r>
      <w:r>
        <w:t>yed per instructions from IDRI.</w:t>
      </w:r>
    </w:p>
    <w:p w14:paraId="2EECA998" w14:textId="4AE01431" w:rsidR="00C648A1" w:rsidRPr="00C648A1" w:rsidRDefault="00C648A1" w:rsidP="005815AE">
      <w:pPr>
        <w:pStyle w:val="BodyText2"/>
        <w:spacing w:line="276" w:lineRule="auto"/>
        <w:ind w:left="0"/>
        <w:rPr>
          <w:color w:val="auto"/>
        </w:rPr>
      </w:pPr>
      <w:r w:rsidRPr="00C648A1">
        <w:rPr>
          <w:color w:val="auto"/>
        </w:rPr>
        <w:t>The clinical site(s) will source their own supply of normal saline for injection</w:t>
      </w:r>
      <w:r w:rsidR="00797F1D">
        <w:rPr>
          <w:color w:val="auto"/>
        </w:rPr>
        <w:t xml:space="preserve"> and water for injection</w:t>
      </w:r>
      <w:r w:rsidRPr="00C648A1">
        <w:rPr>
          <w:color w:val="auto"/>
        </w:rPr>
        <w:t>.</w:t>
      </w:r>
    </w:p>
    <w:p w14:paraId="644B3D27" w14:textId="77777777" w:rsidR="00F43682" w:rsidRPr="00C648A1" w:rsidRDefault="00F43682" w:rsidP="009E0AB3">
      <w:pPr>
        <w:pStyle w:val="Heading3"/>
      </w:pPr>
      <w:bookmarkStart w:id="192" w:name="_Toc42588983"/>
      <w:bookmarkStart w:id="193" w:name="_Toc53202831"/>
      <w:bookmarkStart w:id="194" w:name="_Toc389129971"/>
      <w:bookmarkStart w:id="195" w:name="_Toc440906272"/>
      <w:r w:rsidRPr="00C648A1">
        <w:t>Formulation, Packaging, and Labeling</w:t>
      </w:r>
      <w:bookmarkEnd w:id="192"/>
      <w:bookmarkEnd w:id="193"/>
      <w:bookmarkEnd w:id="194"/>
      <w:bookmarkEnd w:id="195"/>
    </w:p>
    <w:p w14:paraId="5632E6CB" w14:textId="47A41FD9" w:rsidR="00C648A1" w:rsidRPr="00C648A1" w:rsidRDefault="00C648A1" w:rsidP="00C648A1">
      <w:pPr>
        <w:pStyle w:val="Indent2"/>
        <w:spacing w:line="274" w:lineRule="auto"/>
        <w:ind w:left="0"/>
        <w:rPr>
          <w:rFonts w:ascii="Arial" w:hAnsi="Arial" w:cs="Arial"/>
          <w:sz w:val="22"/>
          <w:szCs w:val="22"/>
        </w:rPr>
      </w:pPr>
      <w:r w:rsidRPr="00C648A1">
        <w:rPr>
          <w:rFonts w:ascii="Arial" w:hAnsi="Arial" w:cs="Arial"/>
          <w:sz w:val="22"/>
          <w:szCs w:val="22"/>
        </w:rPr>
        <w:t>Each vaccine component is supplied in glass vials labeled in accordance with South African regulations.</w:t>
      </w:r>
    </w:p>
    <w:p w14:paraId="79CCE15E" w14:textId="383440BB" w:rsidR="00C648A1" w:rsidRPr="00DF2351" w:rsidRDefault="00C648A1" w:rsidP="00C648A1">
      <w:pPr>
        <w:pStyle w:val="Indent2"/>
        <w:spacing w:line="274" w:lineRule="auto"/>
        <w:ind w:left="0"/>
        <w:rPr>
          <w:rFonts w:ascii="Arial" w:hAnsi="Arial" w:cs="Arial"/>
          <w:sz w:val="22"/>
          <w:szCs w:val="22"/>
        </w:rPr>
      </w:pPr>
      <w:r>
        <w:rPr>
          <w:rFonts w:ascii="Arial" w:hAnsi="Arial" w:cs="Arial"/>
          <w:sz w:val="22"/>
          <w:szCs w:val="22"/>
        </w:rPr>
        <w:t>The</w:t>
      </w:r>
      <w:r w:rsidRPr="00DF2351">
        <w:rPr>
          <w:rFonts w:ascii="Arial" w:hAnsi="Arial" w:cs="Arial"/>
          <w:sz w:val="22"/>
          <w:szCs w:val="22"/>
        </w:rPr>
        <w:t xml:space="preserve"> investigational </w:t>
      </w:r>
      <w:r>
        <w:rPr>
          <w:rFonts w:ascii="Arial" w:hAnsi="Arial" w:cs="Arial"/>
          <w:sz w:val="22"/>
          <w:szCs w:val="22"/>
        </w:rPr>
        <w:t>product</w:t>
      </w:r>
      <w:r w:rsidRPr="00DF2351">
        <w:rPr>
          <w:rFonts w:ascii="Arial" w:hAnsi="Arial" w:cs="Arial"/>
          <w:sz w:val="22"/>
          <w:szCs w:val="22"/>
        </w:rPr>
        <w:t xml:space="preserve">s </w:t>
      </w:r>
      <w:r>
        <w:rPr>
          <w:rFonts w:ascii="Arial" w:hAnsi="Arial" w:cs="Arial"/>
          <w:sz w:val="22"/>
          <w:szCs w:val="22"/>
        </w:rPr>
        <w:t>to</w:t>
      </w:r>
      <w:r w:rsidR="006022F9">
        <w:rPr>
          <w:rFonts w:ascii="Arial" w:hAnsi="Arial" w:cs="Arial"/>
          <w:sz w:val="22"/>
          <w:szCs w:val="22"/>
        </w:rPr>
        <w:t xml:space="preserve"> be utilized in this study are </w:t>
      </w:r>
      <w:r>
        <w:rPr>
          <w:rFonts w:ascii="Arial" w:hAnsi="Arial" w:cs="Arial"/>
          <w:sz w:val="22"/>
          <w:szCs w:val="22"/>
        </w:rPr>
        <w:t>listed below.</w:t>
      </w:r>
    </w:p>
    <w:p w14:paraId="43EEDB5E" w14:textId="77777777" w:rsidR="00C648A1" w:rsidRPr="00393A50" w:rsidRDefault="00C648A1" w:rsidP="00C648A1">
      <w:pPr>
        <w:ind w:left="14" w:hanging="14"/>
        <w:rPr>
          <w:b/>
          <w:u w:val="single"/>
        </w:rPr>
      </w:pPr>
      <w:r>
        <w:rPr>
          <w:b/>
          <w:u w:val="single"/>
        </w:rPr>
        <w:t>ID9</w:t>
      </w:r>
      <w:r w:rsidRPr="00EA4A14">
        <w:rPr>
          <w:b/>
          <w:u w:val="single"/>
        </w:rPr>
        <w:t>3 for Injection</w:t>
      </w:r>
    </w:p>
    <w:p w14:paraId="3D6287AE" w14:textId="671BEE91" w:rsidR="00C648A1" w:rsidRDefault="00C648A1" w:rsidP="00C648A1">
      <w:pPr>
        <w:ind w:left="14" w:hanging="14"/>
      </w:pPr>
      <w:r>
        <w:t xml:space="preserve">Part </w:t>
      </w:r>
      <w:r w:rsidRPr="00393A50">
        <w:t xml:space="preserve"># </w:t>
      </w:r>
      <w:r w:rsidR="00C555D7">
        <w:t xml:space="preserve">0193  </w:t>
      </w:r>
      <w:r>
        <w:t xml:space="preserve">Lot </w:t>
      </w:r>
      <w:r w:rsidRPr="00393A50">
        <w:t xml:space="preserve"># </w:t>
      </w:r>
      <w:r w:rsidR="000B033A">
        <w:t>13-993F-001</w:t>
      </w:r>
    </w:p>
    <w:p w14:paraId="07FBF295" w14:textId="77777777" w:rsidR="00C648A1" w:rsidRPr="00B21540" w:rsidRDefault="00C648A1" w:rsidP="00C648A1">
      <w:pPr>
        <w:ind w:left="14" w:hanging="14"/>
      </w:pPr>
      <w:r w:rsidRPr="00B21540">
        <w:t>100 µg/vial lyophilized</w:t>
      </w:r>
    </w:p>
    <w:p w14:paraId="679605D5" w14:textId="7F743981" w:rsidR="00C648A1" w:rsidRDefault="00C648A1" w:rsidP="00C648A1">
      <w:pPr>
        <w:ind w:left="14" w:hanging="14"/>
      </w:pPr>
      <w:r w:rsidRPr="00DF2351">
        <w:t xml:space="preserve">Manufactured </w:t>
      </w:r>
      <w:r>
        <w:t>by</w:t>
      </w:r>
      <w:r w:rsidRPr="00DF2351">
        <w:t xml:space="preserve"> </w:t>
      </w:r>
      <w:r w:rsidR="000B033A">
        <w:t>Aeras</w:t>
      </w:r>
      <w:r>
        <w:t xml:space="preserve"> </w:t>
      </w:r>
    </w:p>
    <w:p w14:paraId="42083D50" w14:textId="77777777" w:rsidR="00C648A1" w:rsidRPr="00DF2351" w:rsidRDefault="00C648A1" w:rsidP="00C648A1">
      <w:pPr>
        <w:ind w:left="14" w:hanging="14"/>
        <w:rPr>
          <w:u w:val="single"/>
        </w:rPr>
      </w:pPr>
    </w:p>
    <w:p w14:paraId="016AB611" w14:textId="77777777" w:rsidR="00C648A1" w:rsidRPr="00DF2351" w:rsidRDefault="00C648A1" w:rsidP="00930E61">
      <w:pPr>
        <w:keepNext/>
        <w:ind w:firstLineChars="1" w:firstLine="2"/>
        <w:rPr>
          <w:b/>
          <w:u w:val="single"/>
        </w:rPr>
      </w:pPr>
      <w:r w:rsidRPr="00DF2351">
        <w:rPr>
          <w:b/>
          <w:u w:val="single"/>
        </w:rPr>
        <w:t>GLA-SE Adjuvant</w:t>
      </w:r>
    </w:p>
    <w:p w14:paraId="75D75D0D" w14:textId="465492C2" w:rsidR="00C648A1" w:rsidRPr="00393A50" w:rsidRDefault="00C648A1" w:rsidP="00930E61">
      <w:pPr>
        <w:keepNext/>
        <w:ind w:firstLineChars="1" w:firstLine="2"/>
      </w:pPr>
      <w:r w:rsidRPr="00393A50">
        <w:t xml:space="preserve">Part # </w:t>
      </w:r>
      <w:r w:rsidR="00C555D7">
        <w:t>0194</w:t>
      </w:r>
      <w:r w:rsidR="00C555D7" w:rsidRPr="00393A50">
        <w:t xml:space="preserve">  </w:t>
      </w:r>
      <w:r w:rsidRPr="00393A50">
        <w:t xml:space="preserve">Lot # </w:t>
      </w:r>
      <w:r w:rsidR="00C555D7">
        <w:t>12H002</w:t>
      </w:r>
    </w:p>
    <w:p w14:paraId="6219A260" w14:textId="4C24C1C1" w:rsidR="00C648A1" w:rsidRPr="00393A50" w:rsidRDefault="00C648A1" w:rsidP="00930E61">
      <w:pPr>
        <w:keepNext/>
        <w:ind w:firstLineChars="1" w:firstLine="2"/>
      </w:pPr>
      <w:r w:rsidRPr="00393A50">
        <w:t>Conc</w:t>
      </w:r>
      <w:r w:rsidR="000B033A">
        <w:t>entration:</w:t>
      </w:r>
      <w:r w:rsidRPr="00393A50">
        <w:t xml:space="preserve"> </w:t>
      </w:r>
      <w:r w:rsidR="000B033A">
        <w:t>20</w:t>
      </w:r>
      <w:r w:rsidRPr="00393A50">
        <w:t xml:space="preserve"> µg/mL  </w:t>
      </w:r>
      <w:r w:rsidR="000B033A">
        <w:t>Fill v</w:t>
      </w:r>
      <w:r w:rsidRPr="00393A50">
        <w:t>ol</w:t>
      </w:r>
      <w:r w:rsidR="000B033A">
        <w:t>ume:</w:t>
      </w:r>
      <w:r w:rsidRPr="00393A50">
        <w:t xml:space="preserve"> </w:t>
      </w:r>
      <w:r w:rsidR="000B033A">
        <w:t>0.4</w:t>
      </w:r>
      <w:r w:rsidRPr="00393A50">
        <w:t xml:space="preserve"> mL</w:t>
      </w:r>
      <w:r w:rsidR="000B033A">
        <w:t>/vial</w:t>
      </w:r>
    </w:p>
    <w:p w14:paraId="0C771C69" w14:textId="77777777" w:rsidR="00C648A1" w:rsidRDefault="00C648A1" w:rsidP="00C648A1">
      <w:r w:rsidRPr="00DF2351">
        <w:t>Manufactured by Infectious Disease Research Institute</w:t>
      </w:r>
    </w:p>
    <w:p w14:paraId="6E0F9D57" w14:textId="77777777" w:rsidR="00C555D7" w:rsidRDefault="00C555D7" w:rsidP="00C555D7">
      <w:pPr>
        <w:ind w:firstLineChars="1" w:firstLine="2"/>
        <w:rPr>
          <w:b/>
          <w:u w:val="single"/>
        </w:rPr>
      </w:pPr>
    </w:p>
    <w:p w14:paraId="3575F036" w14:textId="77777777" w:rsidR="00F43682" w:rsidRPr="00C648A1" w:rsidRDefault="00F43682" w:rsidP="009E0AB3">
      <w:pPr>
        <w:pStyle w:val="Heading3"/>
      </w:pPr>
      <w:bookmarkStart w:id="196" w:name="_Toc42588984"/>
      <w:bookmarkStart w:id="197" w:name="_Toc53202832"/>
      <w:bookmarkStart w:id="198" w:name="_Toc389129972"/>
      <w:bookmarkStart w:id="199" w:name="_Toc440906273"/>
      <w:r w:rsidRPr="00C648A1">
        <w:t>Product Storage and Stability</w:t>
      </w:r>
      <w:bookmarkEnd w:id="196"/>
      <w:bookmarkEnd w:id="197"/>
      <w:bookmarkEnd w:id="198"/>
      <w:bookmarkEnd w:id="199"/>
    </w:p>
    <w:p w14:paraId="115894EC" w14:textId="46DF9B05" w:rsidR="00C648A1" w:rsidRDefault="00C648A1" w:rsidP="00C648A1">
      <w:pPr>
        <w:pStyle w:val="BodyText"/>
        <w:spacing w:after="120" w:line="276" w:lineRule="auto"/>
      </w:pPr>
      <w:r w:rsidRPr="00C648A1">
        <w:t>ID93</w:t>
      </w:r>
      <w:r w:rsidR="00C555D7">
        <w:t>,</w:t>
      </w:r>
      <w:r w:rsidRPr="00C648A1">
        <w:t xml:space="preserve"> GLA-SE</w:t>
      </w:r>
      <w:r w:rsidR="00C555D7">
        <w:t xml:space="preserve"> </w:t>
      </w:r>
      <w:r w:rsidRPr="00C648A1">
        <w:t>must be stored in a monitored refrigerator</w:t>
      </w:r>
      <w:r w:rsidRPr="00EF58FC">
        <w:t xml:space="preserve"> maintained at 2-8ºC (36-46ºF) in a secure, controlled location.</w:t>
      </w:r>
      <w:r>
        <w:t xml:space="preserve"> The vials should be stored in the labeled boxes in which they were shipped.</w:t>
      </w:r>
      <w:r w:rsidR="00725327">
        <w:t xml:space="preserve"> </w:t>
      </w:r>
    </w:p>
    <w:p w14:paraId="0A22FA96" w14:textId="4B175C2A" w:rsidR="00C648A1" w:rsidRPr="00C648A1" w:rsidRDefault="00C648A1" w:rsidP="00C648A1">
      <w:pPr>
        <w:pStyle w:val="BodyText"/>
        <w:spacing w:after="120" w:line="276" w:lineRule="auto"/>
      </w:pPr>
      <w:r>
        <w:t>Stability of clinical lots of ID93</w:t>
      </w:r>
      <w:r w:rsidR="00FD52D9">
        <w:t xml:space="preserve"> </w:t>
      </w:r>
      <w:r w:rsidR="00865B37">
        <w:t xml:space="preserve">and </w:t>
      </w:r>
      <w:r>
        <w:t>GLA-SE</w:t>
      </w:r>
      <w:r w:rsidR="00C555D7">
        <w:t xml:space="preserve">, </w:t>
      </w:r>
      <w:r>
        <w:t>is monitored in real time in accordance with ICH recommendations.</w:t>
      </w:r>
    </w:p>
    <w:p w14:paraId="3496BC06" w14:textId="77777777" w:rsidR="00F43682" w:rsidRPr="00C648A1" w:rsidRDefault="00F43682">
      <w:pPr>
        <w:pStyle w:val="Heading2"/>
      </w:pPr>
      <w:bookmarkStart w:id="200" w:name="_Toc389129973"/>
      <w:bookmarkStart w:id="201" w:name="_Toc440906274"/>
      <w:r w:rsidRPr="00C648A1">
        <w:t>Dosage, Preparation and Administration of Study Intervention/Investigational Product</w:t>
      </w:r>
      <w:bookmarkEnd w:id="186"/>
      <w:bookmarkEnd w:id="187"/>
      <w:bookmarkEnd w:id="200"/>
      <w:bookmarkEnd w:id="201"/>
    </w:p>
    <w:p w14:paraId="1AB5AF43" w14:textId="4227173A" w:rsidR="004B465F" w:rsidRDefault="00954E40" w:rsidP="00C648A1">
      <w:pPr>
        <w:spacing w:before="120" w:after="120"/>
      </w:pPr>
      <w:bookmarkStart w:id="202" w:name="_Toc511638907"/>
      <w:r>
        <w:t>All</w:t>
      </w:r>
      <w:r w:rsidR="004B465F" w:rsidRPr="004B465F">
        <w:t xml:space="preserve"> study injection</w:t>
      </w:r>
      <w:r>
        <w:t>s</w:t>
      </w:r>
      <w:r w:rsidR="004B465F" w:rsidRPr="004B465F">
        <w:t xml:space="preserve"> will be prepared </w:t>
      </w:r>
      <w:bookmarkEnd w:id="202"/>
      <w:r>
        <w:t>within 2 hours of administration. Complete details for dose preparation and administration are</w:t>
      </w:r>
      <w:r w:rsidR="004B465F" w:rsidRPr="004B465F">
        <w:t xml:space="preserve"> described in the Pharmacy and </w:t>
      </w:r>
      <w:r w:rsidR="004B465F">
        <w:t xml:space="preserve">Study </w:t>
      </w:r>
      <w:r w:rsidR="004B465F" w:rsidRPr="004B465F">
        <w:t>Injection Preparation section of the S</w:t>
      </w:r>
      <w:r w:rsidR="004B465F">
        <w:t xml:space="preserve">tudy </w:t>
      </w:r>
      <w:r w:rsidR="004B465F" w:rsidRPr="004B465F">
        <w:t>S</w:t>
      </w:r>
      <w:r w:rsidR="004B465F">
        <w:t xml:space="preserve">pecific </w:t>
      </w:r>
      <w:r w:rsidR="004B465F" w:rsidRPr="004B465F">
        <w:t>P</w:t>
      </w:r>
      <w:r w:rsidR="004B465F">
        <w:t>rocedures</w:t>
      </w:r>
      <w:r w:rsidR="004B465F" w:rsidRPr="004B465F">
        <w:t xml:space="preserve"> Manual.</w:t>
      </w:r>
      <w:r w:rsidR="004B465F">
        <w:t xml:space="preserve"> </w:t>
      </w:r>
    </w:p>
    <w:p w14:paraId="40E55EED" w14:textId="5A37A567" w:rsidR="00C648A1" w:rsidRDefault="00C648A1" w:rsidP="00C648A1">
      <w:pPr>
        <w:spacing w:before="120" w:after="120"/>
      </w:pPr>
      <w:r>
        <w:t xml:space="preserve">The study personnel assigned to administer the study injections will be supplied with a loaded syringe labeled with the </w:t>
      </w:r>
      <w:r w:rsidR="00FE2048">
        <w:t>P</w:t>
      </w:r>
      <w:r>
        <w:t xml:space="preserve">ID #. </w:t>
      </w:r>
      <w:r w:rsidR="00FE2048" w:rsidRPr="00FE2048">
        <w:t>Study injections will be given on Day 0</w:t>
      </w:r>
      <w:r w:rsidR="00FD52D9">
        <w:t>, 28</w:t>
      </w:r>
      <w:r w:rsidR="00FE2048">
        <w:t xml:space="preserve"> and </w:t>
      </w:r>
      <w:r w:rsidR="00FE2048" w:rsidRPr="00FE2048">
        <w:t xml:space="preserve">Day </w:t>
      </w:r>
      <w:r w:rsidR="00FA5477">
        <w:t>56</w:t>
      </w:r>
      <w:r w:rsidR="00FE2048" w:rsidRPr="00FE2048">
        <w:t>. All injections will be given intramuscularly</w:t>
      </w:r>
      <w:r w:rsidR="004E1552">
        <w:t xml:space="preserve"> </w:t>
      </w:r>
      <w:r w:rsidR="00FE2048" w:rsidRPr="00FE2048">
        <w:t>in</w:t>
      </w:r>
      <w:r w:rsidR="004E1552">
        <w:t>to</w:t>
      </w:r>
      <w:r w:rsidR="00FE2048" w:rsidRPr="00FE2048">
        <w:t xml:space="preserve"> the deltoid muscle. </w:t>
      </w:r>
    </w:p>
    <w:p w14:paraId="18B8D064" w14:textId="07FD34D6" w:rsidR="00C648A1" w:rsidRPr="00C648A1" w:rsidRDefault="00C648A1" w:rsidP="00C648A1">
      <w:pPr>
        <w:spacing w:before="120" w:after="120"/>
      </w:pPr>
      <w:r>
        <w:t xml:space="preserve">All used vials for each participant should be placed in a </w:t>
      </w:r>
      <w:r w:rsidR="00F909A8">
        <w:t>sealable</w:t>
      </w:r>
      <w:r>
        <w:t xml:space="preserve"> </w:t>
      </w:r>
      <w:r w:rsidR="00954E40">
        <w:t xml:space="preserve">plastic </w:t>
      </w:r>
      <w:r>
        <w:t xml:space="preserve">bag labeled with the </w:t>
      </w:r>
      <w:r w:rsidR="00FE2048">
        <w:t>P</w:t>
      </w:r>
      <w:r>
        <w:t>ID</w:t>
      </w:r>
      <w:r w:rsidR="00FE2048">
        <w:t xml:space="preserve"> </w:t>
      </w:r>
      <w:r>
        <w:t xml:space="preserve"># and the date of injection. The used vials must be kept in a secured location. Used vials may be kept at room temperature or refrigerated until drug accountability is completed by the </w:t>
      </w:r>
      <w:r w:rsidR="006022F9">
        <w:t>study</w:t>
      </w:r>
      <w:r w:rsidR="00FE2048">
        <w:t xml:space="preserve"> </w:t>
      </w:r>
      <w:r>
        <w:t>monitor.</w:t>
      </w:r>
      <w:r w:rsidR="00954E40">
        <w:t xml:space="preserve"> </w:t>
      </w:r>
    </w:p>
    <w:p w14:paraId="4EB52461" w14:textId="77777777" w:rsidR="00F43682" w:rsidRPr="00B111A4" w:rsidRDefault="00F43682">
      <w:pPr>
        <w:pStyle w:val="Heading2"/>
      </w:pPr>
      <w:bookmarkStart w:id="203" w:name="_Toc53202841"/>
      <w:bookmarkStart w:id="204" w:name="_Toc389129974"/>
      <w:bookmarkStart w:id="205" w:name="_Toc440906275"/>
      <w:bookmarkStart w:id="206" w:name="_Toc53202834"/>
      <w:bookmarkEnd w:id="188"/>
      <w:bookmarkEnd w:id="189"/>
      <w:r w:rsidRPr="00B111A4">
        <w:t>Modification of Study Intervention/Investigational Product for a Participant</w:t>
      </w:r>
      <w:bookmarkEnd w:id="203"/>
      <w:bookmarkEnd w:id="204"/>
      <w:bookmarkEnd w:id="205"/>
    </w:p>
    <w:p w14:paraId="10F1C498" w14:textId="7D1608A4" w:rsidR="00B111A4" w:rsidRPr="00B111A4" w:rsidRDefault="00B111A4" w:rsidP="00B111A4">
      <w:pPr>
        <w:pStyle w:val="BodyText3"/>
        <w:spacing w:before="240" w:after="120" w:line="276" w:lineRule="auto"/>
        <w:ind w:left="0"/>
      </w:pPr>
      <w:r>
        <w:t xml:space="preserve">Not applicable. No dose modifications are planned. If toxicity is noted, study injections may be </w:t>
      </w:r>
      <w:r w:rsidRPr="00B111A4">
        <w:t>discontinued as described in</w:t>
      </w:r>
      <w:r w:rsidR="00072B81">
        <w:t xml:space="preserve"> Sec</w:t>
      </w:r>
      <w:r w:rsidR="00954E40">
        <w:t>tion</w:t>
      </w:r>
      <w:r w:rsidRPr="00B111A4">
        <w:t xml:space="preserve"> </w:t>
      </w:r>
      <w:r w:rsidR="00954E40" w:rsidRPr="00276ADA">
        <w:rPr>
          <w:color w:val="0000FF"/>
          <w:highlight w:val="yellow"/>
        </w:rPr>
        <w:fldChar w:fldCharType="begin"/>
      </w:r>
      <w:r w:rsidR="00954E40" w:rsidRPr="00276ADA">
        <w:rPr>
          <w:color w:val="0000FF"/>
        </w:rPr>
        <w:instrText xml:space="preserve"> REF _Ref376869600 \r \h </w:instrText>
      </w:r>
      <w:r w:rsidR="00954E40" w:rsidRPr="00276ADA">
        <w:rPr>
          <w:color w:val="0000FF"/>
          <w:highlight w:val="yellow"/>
        </w:rPr>
      </w:r>
      <w:r w:rsidR="00954E40" w:rsidRPr="00276ADA">
        <w:rPr>
          <w:color w:val="0000FF"/>
          <w:highlight w:val="yellow"/>
        </w:rPr>
        <w:fldChar w:fldCharType="separate"/>
      </w:r>
      <w:r w:rsidR="00024E24">
        <w:rPr>
          <w:color w:val="0000FF"/>
        </w:rPr>
        <w:t>9.8.2</w:t>
      </w:r>
      <w:r w:rsidR="00954E40" w:rsidRPr="00276ADA">
        <w:rPr>
          <w:color w:val="0000FF"/>
          <w:highlight w:val="yellow"/>
        </w:rPr>
        <w:fldChar w:fldCharType="end"/>
      </w:r>
      <w:r w:rsidRPr="00B111A4">
        <w:t>.</w:t>
      </w:r>
    </w:p>
    <w:p w14:paraId="6884EBCE" w14:textId="77777777" w:rsidR="00F43682" w:rsidRPr="00B111A4" w:rsidRDefault="00F43682">
      <w:pPr>
        <w:pStyle w:val="Heading2"/>
      </w:pPr>
      <w:bookmarkStart w:id="207" w:name="_Toc389129975"/>
      <w:bookmarkStart w:id="208" w:name="_Toc440906276"/>
      <w:r w:rsidRPr="00B111A4">
        <w:t>Accountability Procedures for the Study Intervention/Investigational Product(s)</w:t>
      </w:r>
      <w:bookmarkEnd w:id="207"/>
      <w:bookmarkEnd w:id="208"/>
    </w:p>
    <w:p w14:paraId="1CD2C22C" w14:textId="1F1C4E4A" w:rsidR="00B111A4" w:rsidRPr="00AE09AA" w:rsidRDefault="00B111A4" w:rsidP="00B111A4">
      <w:pPr>
        <w:pStyle w:val="BodyText"/>
        <w:spacing w:before="60" w:after="120"/>
        <w:rPr>
          <w:rFonts w:cs="Arial"/>
          <w:szCs w:val="22"/>
        </w:rPr>
      </w:pPr>
      <w:r>
        <w:rPr>
          <w:rFonts w:cs="Arial"/>
          <w:szCs w:val="22"/>
        </w:rPr>
        <w:t xml:space="preserve">Study products will be shipped </w:t>
      </w:r>
      <w:r w:rsidR="00234705">
        <w:rPr>
          <w:rFonts w:cs="Arial"/>
          <w:szCs w:val="22"/>
        </w:rPr>
        <w:t>by the Sponsor</w:t>
      </w:r>
      <w:r>
        <w:rPr>
          <w:rFonts w:cs="Arial"/>
          <w:szCs w:val="22"/>
        </w:rPr>
        <w:t xml:space="preserve"> to the clinical site(s). </w:t>
      </w:r>
      <w:r w:rsidRPr="00AE09AA">
        <w:rPr>
          <w:rFonts w:cs="Arial"/>
          <w:szCs w:val="22"/>
        </w:rPr>
        <w:t>Afte</w:t>
      </w:r>
      <w:r>
        <w:rPr>
          <w:rFonts w:cs="Arial"/>
          <w:szCs w:val="22"/>
        </w:rPr>
        <w:t>r receipt</w:t>
      </w:r>
      <w:r w:rsidRPr="003169F3">
        <w:rPr>
          <w:rFonts w:cs="Arial"/>
          <w:szCs w:val="22"/>
        </w:rPr>
        <w:t>,</w:t>
      </w:r>
      <w:r w:rsidRPr="00AE09AA">
        <w:rPr>
          <w:rFonts w:cs="Arial"/>
          <w:szCs w:val="22"/>
        </w:rPr>
        <w:t xml:space="preserve"> the </w:t>
      </w:r>
      <w:r w:rsidR="00FA7537">
        <w:rPr>
          <w:rFonts w:cs="Arial"/>
          <w:szCs w:val="22"/>
        </w:rPr>
        <w:t xml:space="preserve">site </w:t>
      </w:r>
      <w:r w:rsidR="005C070C">
        <w:rPr>
          <w:rFonts w:cs="Arial"/>
          <w:szCs w:val="22"/>
        </w:rPr>
        <w:t>PI</w:t>
      </w:r>
      <w:r w:rsidRPr="00AE09AA">
        <w:rPr>
          <w:rFonts w:cs="Arial"/>
          <w:szCs w:val="22"/>
        </w:rPr>
        <w:t xml:space="preserve"> is responsible for </w:t>
      </w:r>
      <w:r w:rsidR="00FA7537">
        <w:rPr>
          <w:rFonts w:cs="Arial"/>
          <w:szCs w:val="22"/>
        </w:rPr>
        <w:t xml:space="preserve">cold-chain </w:t>
      </w:r>
      <w:r w:rsidRPr="00AE09AA">
        <w:rPr>
          <w:rFonts w:cs="Arial"/>
          <w:szCs w:val="22"/>
        </w:rPr>
        <w:t xml:space="preserve">distribution </w:t>
      </w:r>
      <w:r w:rsidR="00FA7537">
        <w:rPr>
          <w:rFonts w:cs="Arial"/>
          <w:szCs w:val="22"/>
        </w:rPr>
        <w:t xml:space="preserve">and storage </w:t>
      </w:r>
      <w:r w:rsidRPr="00AE09AA">
        <w:rPr>
          <w:rFonts w:cs="Arial"/>
          <w:szCs w:val="22"/>
        </w:rPr>
        <w:t>of these study products and has ultimate responsibility for drug accountability.</w:t>
      </w:r>
      <w:r w:rsidR="00725327">
        <w:rPr>
          <w:rFonts w:cs="Arial"/>
          <w:szCs w:val="22"/>
        </w:rPr>
        <w:t xml:space="preserve"> </w:t>
      </w:r>
      <w:r w:rsidRPr="00AE09AA">
        <w:rPr>
          <w:rFonts w:cs="Arial"/>
          <w:szCs w:val="22"/>
        </w:rPr>
        <w:t xml:space="preserve">Logs of receipt, </w:t>
      </w:r>
      <w:r w:rsidR="00D715C0">
        <w:rPr>
          <w:rFonts w:cs="Arial"/>
          <w:szCs w:val="22"/>
        </w:rPr>
        <w:t xml:space="preserve">storage </w:t>
      </w:r>
      <w:r w:rsidRPr="00AE09AA">
        <w:rPr>
          <w:rFonts w:cs="Arial"/>
          <w:szCs w:val="22"/>
        </w:rPr>
        <w:t xml:space="preserve">temperature, </w:t>
      </w:r>
      <w:r w:rsidR="00D715C0">
        <w:rPr>
          <w:rFonts w:cs="Arial"/>
          <w:szCs w:val="22"/>
        </w:rPr>
        <w:t xml:space="preserve">transportation cold-chain (when applicable), </w:t>
      </w:r>
      <w:r w:rsidRPr="00AE09AA">
        <w:rPr>
          <w:rFonts w:cs="Arial"/>
          <w:szCs w:val="22"/>
        </w:rPr>
        <w:t>maintenance,</w:t>
      </w:r>
      <w:r w:rsidR="006022F9">
        <w:rPr>
          <w:rFonts w:cs="Arial"/>
          <w:szCs w:val="22"/>
        </w:rPr>
        <w:t xml:space="preserve"> and</w:t>
      </w:r>
      <w:r w:rsidRPr="00AE09AA">
        <w:rPr>
          <w:rFonts w:cs="Arial"/>
          <w:szCs w:val="22"/>
        </w:rPr>
        <w:t xml:space="preserve"> documentation of vaccine </w:t>
      </w:r>
      <w:r>
        <w:rPr>
          <w:rFonts w:cs="Arial"/>
          <w:szCs w:val="22"/>
        </w:rPr>
        <w:t>preparat</w:t>
      </w:r>
      <w:r w:rsidRPr="00AE09AA">
        <w:rPr>
          <w:rFonts w:cs="Arial"/>
          <w:szCs w:val="22"/>
        </w:rPr>
        <w:t>ion and disposal must be maintained in the study file.</w:t>
      </w:r>
      <w:r w:rsidR="00725327">
        <w:rPr>
          <w:rFonts w:cs="Arial"/>
          <w:szCs w:val="22"/>
        </w:rPr>
        <w:t xml:space="preserve"> </w:t>
      </w:r>
    </w:p>
    <w:p w14:paraId="5C6FC47C" w14:textId="701FB7A6" w:rsidR="00B111A4" w:rsidRPr="00276ADA" w:rsidRDefault="00B111A4" w:rsidP="00B111A4">
      <w:pPr>
        <w:pStyle w:val="NormalWeb"/>
        <w:spacing w:before="240" w:beforeAutospacing="0" w:after="0" w:afterAutospacing="0" w:line="274" w:lineRule="auto"/>
      </w:pPr>
      <w:r>
        <w:rPr>
          <w:rFonts w:ascii="Arial" w:hAnsi="Arial" w:cs="Arial"/>
          <w:sz w:val="22"/>
          <w:szCs w:val="22"/>
        </w:rPr>
        <w:t>Used and unused vials of vaccine antigen and adjuvant</w:t>
      </w:r>
      <w:r w:rsidRPr="00AE09AA">
        <w:rPr>
          <w:rFonts w:ascii="Arial" w:hAnsi="Arial" w:cs="Arial"/>
          <w:sz w:val="22"/>
          <w:szCs w:val="22"/>
        </w:rPr>
        <w:t xml:space="preserve"> will be retained until </w:t>
      </w:r>
      <w:r>
        <w:rPr>
          <w:rFonts w:ascii="Arial" w:hAnsi="Arial" w:cs="Arial"/>
          <w:sz w:val="22"/>
          <w:szCs w:val="22"/>
        </w:rPr>
        <w:t>monitored</w:t>
      </w:r>
      <w:r w:rsidR="00D35726">
        <w:rPr>
          <w:rFonts w:ascii="Arial" w:hAnsi="Arial" w:cs="Arial"/>
          <w:sz w:val="22"/>
          <w:szCs w:val="22"/>
        </w:rPr>
        <w:t xml:space="preserve"> by the designated unblinded monitor</w:t>
      </w:r>
      <w:r w:rsidRPr="00AE09AA">
        <w:rPr>
          <w:rFonts w:ascii="Arial" w:hAnsi="Arial" w:cs="Arial"/>
          <w:sz w:val="22"/>
          <w:szCs w:val="22"/>
        </w:rPr>
        <w:t xml:space="preserve"> </w:t>
      </w:r>
      <w:r>
        <w:rPr>
          <w:rFonts w:ascii="Arial" w:hAnsi="Arial" w:cs="Arial"/>
          <w:sz w:val="22"/>
          <w:szCs w:val="22"/>
        </w:rPr>
        <w:t>for accountability and released for disposition. Study</w:t>
      </w:r>
      <w:r w:rsidRPr="00D522D3">
        <w:rPr>
          <w:rFonts w:ascii="Arial" w:hAnsi="Arial" w:cs="Arial"/>
          <w:sz w:val="22"/>
          <w:szCs w:val="22"/>
        </w:rPr>
        <w:t xml:space="preserve"> product will be returned or destroyed per instructions from </w:t>
      </w:r>
      <w:r w:rsidR="00234705">
        <w:rPr>
          <w:rFonts w:ascii="Arial" w:hAnsi="Arial" w:cs="Arial"/>
          <w:sz w:val="22"/>
          <w:szCs w:val="22"/>
        </w:rPr>
        <w:t>the Sponsor</w:t>
      </w:r>
      <w:r w:rsidRPr="00D522D3">
        <w:rPr>
          <w:rFonts w:ascii="Arial" w:hAnsi="Arial" w:cs="Arial"/>
          <w:sz w:val="22"/>
          <w:szCs w:val="22"/>
        </w:rPr>
        <w:t>.</w:t>
      </w:r>
    </w:p>
    <w:p w14:paraId="03447F33" w14:textId="77777777" w:rsidR="00F43682" w:rsidRPr="00B111A4" w:rsidRDefault="00F43682">
      <w:pPr>
        <w:pStyle w:val="Heading2"/>
      </w:pPr>
      <w:bookmarkStart w:id="209" w:name="_Toc389129976"/>
      <w:bookmarkStart w:id="210" w:name="_Toc440906277"/>
      <w:r w:rsidRPr="00B111A4">
        <w:t>Assessment of Subject Compliance with Study Intervention/Investigational Product</w:t>
      </w:r>
      <w:bookmarkEnd w:id="206"/>
      <w:bookmarkEnd w:id="209"/>
      <w:bookmarkEnd w:id="210"/>
      <w:r w:rsidRPr="00B111A4">
        <w:t xml:space="preserve"> </w:t>
      </w:r>
    </w:p>
    <w:p w14:paraId="418B524A" w14:textId="1CAF618C" w:rsidR="00B111A4" w:rsidRPr="00B111A4" w:rsidRDefault="00B111A4" w:rsidP="00B111A4">
      <w:pPr>
        <w:pStyle w:val="BodyText"/>
        <w:spacing w:after="120" w:line="276" w:lineRule="auto"/>
      </w:pPr>
      <w:r w:rsidRPr="00B111A4">
        <w:t xml:space="preserve">All study injections will be administered by </w:t>
      </w:r>
      <w:r w:rsidR="00234705">
        <w:t>the designated injection administrator</w:t>
      </w:r>
      <w:r w:rsidR="00103CE7">
        <w:t>(s)</w:t>
      </w:r>
      <w:r w:rsidRPr="00B111A4">
        <w:t xml:space="preserve"> and </w:t>
      </w:r>
      <w:r w:rsidRPr="00B111A4">
        <w:rPr>
          <w:szCs w:val="22"/>
        </w:rPr>
        <w:t>documented in the participant’s source documentation and Case Report Form.</w:t>
      </w:r>
    </w:p>
    <w:p w14:paraId="5170C05B" w14:textId="77777777" w:rsidR="00F43682" w:rsidRPr="00B111A4" w:rsidRDefault="00F43682">
      <w:pPr>
        <w:pStyle w:val="Heading2"/>
      </w:pPr>
      <w:bookmarkStart w:id="211" w:name="_Toc42588972"/>
      <w:bookmarkStart w:id="212" w:name="_Toc53202813"/>
      <w:bookmarkStart w:id="213" w:name="_Toc389129977"/>
      <w:bookmarkStart w:id="214" w:name="_Toc440906278"/>
      <w:r w:rsidRPr="00B111A4">
        <w:t>Concomitant Medications/Treatments</w:t>
      </w:r>
      <w:bookmarkEnd w:id="211"/>
      <w:bookmarkEnd w:id="212"/>
      <w:bookmarkEnd w:id="213"/>
      <w:bookmarkEnd w:id="214"/>
    </w:p>
    <w:p w14:paraId="2179F5E3" w14:textId="4A97738D" w:rsidR="00B111A4" w:rsidRPr="003E4C28" w:rsidRDefault="00B111A4" w:rsidP="00B111A4">
      <w:pPr>
        <w:pStyle w:val="Default"/>
        <w:spacing w:before="60" w:after="60" w:line="276" w:lineRule="auto"/>
        <w:rPr>
          <w:sz w:val="22"/>
          <w:szCs w:val="22"/>
        </w:rPr>
      </w:pPr>
      <w:r w:rsidRPr="003E4C28">
        <w:rPr>
          <w:sz w:val="22"/>
          <w:szCs w:val="22"/>
        </w:rPr>
        <w:t xml:space="preserve">Administration of any medications, therapies, or vaccines will be documented in the </w:t>
      </w:r>
      <w:r>
        <w:rPr>
          <w:sz w:val="22"/>
          <w:szCs w:val="22"/>
        </w:rPr>
        <w:t>participant</w:t>
      </w:r>
      <w:r w:rsidRPr="003E4C28">
        <w:rPr>
          <w:sz w:val="22"/>
          <w:szCs w:val="22"/>
        </w:rPr>
        <w:t xml:space="preserve">’s source documentation and </w:t>
      </w:r>
      <w:r>
        <w:rPr>
          <w:sz w:val="22"/>
          <w:szCs w:val="22"/>
        </w:rPr>
        <w:t>Case Report Form</w:t>
      </w:r>
      <w:r w:rsidRPr="003E4C28">
        <w:rPr>
          <w:sz w:val="22"/>
          <w:szCs w:val="22"/>
        </w:rPr>
        <w:t xml:space="preserve">. Concomitant medications will include all medications, vitamins, and supplements taken within the </w:t>
      </w:r>
      <w:r w:rsidR="006F5E76">
        <w:rPr>
          <w:sz w:val="22"/>
          <w:szCs w:val="22"/>
        </w:rPr>
        <w:t>28</w:t>
      </w:r>
      <w:r w:rsidR="006F5E76" w:rsidRPr="003E4C28">
        <w:rPr>
          <w:sz w:val="22"/>
          <w:szCs w:val="22"/>
        </w:rPr>
        <w:t xml:space="preserve"> </w:t>
      </w:r>
      <w:r w:rsidRPr="003E4C28">
        <w:rPr>
          <w:sz w:val="22"/>
          <w:szCs w:val="22"/>
        </w:rPr>
        <w:t xml:space="preserve">days before </w:t>
      </w:r>
      <w:r w:rsidR="00103CE7">
        <w:rPr>
          <w:sz w:val="22"/>
          <w:szCs w:val="22"/>
        </w:rPr>
        <w:t>randomization</w:t>
      </w:r>
      <w:r w:rsidR="00103CE7" w:rsidRPr="003E4C28">
        <w:rPr>
          <w:sz w:val="22"/>
          <w:szCs w:val="22"/>
        </w:rPr>
        <w:t xml:space="preserve"> </w:t>
      </w:r>
      <w:r w:rsidRPr="003E4C28">
        <w:rPr>
          <w:sz w:val="22"/>
          <w:szCs w:val="22"/>
        </w:rPr>
        <w:t xml:space="preserve">and through 28 days after the last </w:t>
      </w:r>
      <w:r w:rsidR="00103CE7">
        <w:rPr>
          <w:sz w:val="22"/>
          <w:szCs w:val="22"/>
        </w:rPr>
        <w:t xml:space="preserve">injection </w:t>
      </w:r>
      <w:r w:rsidRPr="003E4C28">
        <w:rPr>
          <w:sz w:val="22"/>
          <w:szCs w:val="22"/>
        </w:rPr>
        <w:t xml:space="preserve">(approximately Day </w:t>
      </w:r>
      <w:r w:rsidR="005E6C23">
        <w:rPr>
          <w:sz w:val="22"/>
          <w:szCs w:val="22"/>
        </w:rPr>
        <w:t>84</w:t>
      </w:r>
      <w:r w:rsidRPr="003E4C28">
        <w:rPr>
          <w:sz w:val="22"/>
          <w:szCs w:val="22"/>
        </w:rPr>
        <w:t>) or early termi</w:t>
      </w:r>
      <w:r>
        <w:rPr>
          <w:sz w:val="22"/>
          <w:szCs w:val="22"/>
        </w:rPr>
        <w:t>nation, whichever occurs first.</w:t>
      </w:r>
      <w:r w:rsidR="006F5E76">
        <w:rPr>
          <w:sz w:val="22"/>
          <w:szCs w:val="22"/>
        </w:rPr>
        <w:t xml:space="preserve"> </w:t>
      </w:r>
      <w:r w:rsidR="008A6826">
        <w:rPr>
          <w:sz w:val="22"/>
          <w:szCs w:val="22"/>
        </w:rPr>
        <w:t>After Day 84, concomitant medications will only be documented for SAEs and AESIs.</w:t>
      </w:r>
    </w:p>
    <w:p w14:paraId="5EDABE55" w14:textId="3B5C6A16" w:rsidR="00B111A4" w:rsidRDefault="00B111A4" w:rsidP="00B111A4">
      <w:pPr>
        <w:pStyle w:val="BodyText"/>
        <w:spacing w:line="276" w:lineRule="auto"/>
        <w:rPr>
          <w:szCs w:val="22"/>
        </w:rPr>
      </w:pPr>
      <w:r w:rsidRPr="003E4C28">
        <w:rPr>
          <w:szCs w:val="22"/>
        </w:rPr>
        <w:t>Medications that might interfere with the evaluation of the investigational product should not be used unless absolutely necessary. Medications in this category include, but are not limited to, glucocorticoids (i.e., oral, parenteral and high-dose inhaled steroids), and immunosuppressive or cytotoxic drugs.</w:t>
      </w:r>
      <w:r w:rsidR="00725327">
        <w:rPr>
          <w:szCs w:val="22"/>
        </w:rPr>
        <w:t xml:space="preserve"> </w:t>
      </w:r>
    </w:p>
    <w:p w14:paraId="003E0618" w14:textId="67F46105" w:rsidR="00D715C0" w:rsidRPr="00D715C0" w:rsidRDefault="00D715C0" w:rsidP="00B111A4">
      <w:pPr>
        <w:pStyle w:val="BodyText"/>
        <w:spacing w:line="276" w:lineRule="auto"/>
        <w:rPr>
          <w:iCs/>
          <w:szCs w:val="22"/>
        </w:rPr>
      </w:pPr>
      <w:r>
        <w:rPr>
          <w:iCs/>
          <w:szCs w:val="22"/>
        </w:rPr>
        <w:t xml:space="preserve">Standard-of-care TB treatment received </w:t>
      </w:r>
      <w:r w:rsidR="006F5E76">
        <w:rPr>
          <w:iCs/>
          <w:szCs w:val="22"/>
        </w:rPr>
        <w:t>prior to and during screening,</w:t>
      </w:r>
      <w:r>
        <w:rPr>
          <w:iCs/>
          <w:szCs w:val="22"/>
        </w:rPr>
        <w:t xml:space="preserve"> </w:t>
      </w:r>
      <w:r w:rsidR="00BE2B64">
        <w:rPr>
          <w:iCs/>
          <w:szCs w:val="22"/>
        </w:rPr>
        <w:t xml:space="preserve">as well as any </w:t>
      </w:r>
      <w:r w:rsidR="006F5E76">
        <w:rPr>
          <w:iCs/>
          <w:szCs w:val="22"/>
        </w:rPr>
        <w:t xml:space="preserve">subsequent </w:t>
      </w:r>
      <w:r w:rsidR="00BE2B64">
        <w:rPr>
          <w:iCs/>
          <w:szCs w:val="22"/>
        </w:rPr>
        <w:t xml:space="preserve">TB treatment </w:t>
      </w:r>
      <w:r w:rsidR="006F5E76">
        <w:rPr>
          <w:iCs/>
          <w:szCs w:val="22"/>
        </w:rPr>
        <w:t xml:space="preserve">that may be </w:t>
      </w:r>
      <w:r w:rsidR="00BE2B64">
        <w:rPr>
          <w:iCs/>
          <w:szCs w:val="22"/>
        </w:rPr>
        <w:t>started post-randomization</w:t>
      </w:r>
      <w:r w:rsidR="006F5E76">
        <w:rPr>
          <w:iCs/>
          <w:szCs w:val="22"/>
        </w:rPr>
        <w:t xml:space="preserve">, </w:t>
      </w:r>
      <w:r>
        <w:rPr>
          <w:iCs/>
          <w:szCs w:val="22"/>
        </w:rPr>
        <w:t xml:space="preserve">will be documented in the appropriate source document and summarized in the </w:t>
      </w:r>
      <w:r w:rsidR="0055384F">
        <w:rPr>
          <w:iCs/>
          <w:szCs w:val="22"/>
        </w:rPr>
        <w:t xml:space="preserve">TB Medical History </w:t>
      </w:r>
      <w:r w:rsidR="00B31423">
        <w:rPr>
          <w:iCs/>
          <w:szCs w:val="22"/>
        </w:rPr>
        <w:t>and</w:t>
      </w:r>
      <w:r w:rsidR="0055384F">
        <w:rPr>
          <w:iCs/>
          <w:szCs w:val="22"/>
        </w:rPr>
        <w:t xml:space="preserve"> </w:t>
      </w:r>
      <w:r w:rsidR="00B7302F">
        <w:rPr>
          <w:iCs/>
          <w:szCs w:val="22"/>
        </w:rPr>
        <w:t xml:space="preserve">Treatment Summary </w:t>
      </w:r>
      <w:r w:rsidR="008E3468">
        <w:rPr>
          <w:iCs/>
          <w:szCs w:val="22"/>
        </w:rPr>
        <w:t xml:space="preserve">CRF (prior to randomization) and </w:t>
      </w:r>
      <w:r>
        <w:rPr>
          <w:iCs/>
          <w:szCs w:val="22"/>
        </w:rPr>
        <w:t xml:space="preserve">TB Treatment </w:t>
      </w:r>
      <w:r w:rsidR="00B31423">
        <w:rPr>
          <w:iCs/>
          <w:szCs w:val="22"/>
        </w:rPr>
        <w:t xml:space="preserve">Medications Taken On Study </w:t>
      </w:r>
      <w:r>
        <w:rPr>
          <w:iCs/>
          <w:szCs w:val="22"/>
        </w:rPr>
        <w:t>CRF</w:t>
      </w:r>
      <w:r w:rsidR="00B7302F">
        <w:rPr>
          <w:iCs/>
          <w:szCs w:val="22"/>
        </w:rPr>
        <w:t xml:space="preserve"> (for post-randomization)</w:t>
      </w:r>
      <w:r w:rsidR="00A6244F">
        <w:rPr>
          <w:iCs/>
          <w:szCs w:val="22"/>
        </w:rPr>
        <w:t>.</w:t>
      </w:r>
      <w:r>
        <w:rPr>
          <w:iCs/>
          <w:szCs w:val="22"/>
        </w:rPr>
        <w:t xml:space="preserve"> </w:t>
      </w:r>
    </w:p>
    <w:p w14:paraId="6405543D" w14:textId="77777777" w:rsidR="00F43682" w:rsidRPr="00C24B2A" w:rsidRDefault="00F43682">
      <w:pPr>
        <w:pStyle w:val="Heading1"/>
      </w:pPr>
      <w:bookmarkStart w:id="215" w:name="_Toc389129978"/>
      <w:bookmarkStart w:id="216" w:name="_Toc440906279"/>
      <w:r w:rsidRPr="00C24B2A">
        <w:t>Study Schedule</w:t>
      </w:r>
      <w:bookmarkEnd w:id="180"/>
      <w:bookmarkEnd w:id="181"/>
      <w:bookmarkEnd w:id="215"/>
      <w:bookmarkEnd w:id="216"/>
    </w:p>
    <w:p w14:paraId="1031C530" w14:textId="77777777" w:rsidR="00F43682" w:rsidRDefault="00F43682">
      <w:pPr>
        <w:pStyle w:val="Heading2"/>
      </w:pPr>
      <w:bookmarkStart w:id="217" w:name="_Toc389129979"/>
      <w:bookmarkStart w:id="218" w:name="_Toc440906280"/>
      <w:bookmarkStart w:id="219" w:name="_Toc42588976"/>
      <w:bookmarkStart w:id="220" w:name="_Toc53202824"/>
      <w:r>
        <w:t>Screening</w:t>
      </w:r>
      <w:bookmarkEnd w:id="217"/>
      <w:bookmarkEnd w:id="218"/>
      <w:r>
        <w:t xml:space="preserve"> </w:t>
      </w:r>
      <w:bookmarkEnd w:id="219"/>
      <w:bookmarkEnd w:id="220"/>
    </w:p>
    <w:p w14:paraId="56845553" w14:textId="65A007BD" w:rsidR="00021049" w:rsidRPr="001772E7" w:rsidRDefault="00021049" w:rsidP="001772E7">
      <w:pPr>
        <w:rPr>
          <w:szCs w:val="22"/>
        </w:rPr>
      </w:pPr>
      <w:r w:rsidRPr="001772E7">
        <w:rPr>
          <w:szCs w:val="22"/>
        </w:rPr>
        <w:t xml:space="preserve">Recently diagnosed </w:t>
      </w:r>
      <w:r w:rsidR="007A4F49" w:rsidRPr="001772E7">
        <w:rPr>
          <w:szCs w:val="22"/>
        </w:rPr>
        <w:t xml:space="preserve">TB </w:t>
      </w:r>
      <w:r w:rsidRPr="001772E7">
        <w:rPr>
          <w:szCs w:val="22"/>
        </w:rPr>
        <w:t xml:space="preserve">patients who have </w:t>
      </w:r>
      <w:r w:rsidR="009945B4" w:rsidRPr="001772E7">
        <w:rPr>
          <w:szCs w:val="22"/>
        </w:rPr>
        <w:t xml:space="preserve">completed </w:t>
      </w:r>
      <w:r w:rsidR="00865B37">
        <w:rPr>
          <w:szCs w:val="22"/>
        </w:rPr>
        <w:t>approximately</w:t>
      </w:r>
      <w:r w:rsidR="009945B4" w:rsidRPr="00865B37">
        <w:rPr>
          <w:szCs w:val="22"/>
        </w:rPr>
        <w:t xml:space="preserve"> </w:t>
      </w:r>
      <w:r w:rsidR="00B604C1" w:rsidRPr="00865B37">
        <w:rPr>
          <w:szCs w:val="22"/>
        </w:rPr>
        <w:t>4</w:t>
      </w:r>
      <w:r w:rsidR="009945B4" w:rsidRPr="00865B37">
        <w:rPr>
          <w:szCs w:val="22"/>
        </w:rPr>
        <w:t xml:space="preserve"> months</w:t>
      </w:r>
      <w:r w:rsidR="001772E7">
        <w:rPr>
          <w:szCs w:val="22"/>
        </w:rPr>
        <w:t xml:space="preserve"> </w:t>
      </w:r>
      <w:r w:rsidRPr="001772E7">
        <w:rPr>
          <w:szCs w:val="22"/>
        </w:rPr>
        <w:t>standard-of-care treatment for pulmonary TB will be identified at local clinics and hospitals by review of medical registers and laboratory records, and liaison with health service staff, and</w:t>
      </w:r>
      <w:r w:rsidR="008D3873" w:rsidRPr="001772E7">
        <w:rPr>
          <w:szCs w:val="22"/>
        </w:rPr>
        <w:t xml:space="preserve"> invited to participate in the informed consent process. </w:t>
      </w:r>
      <w:r w:rsidR="001772E7">
        <w:rPr>
          <w:szCs w:val="22"/>
        </w:rPr>
        <w:t xml:space="preserve">Adequate </w:t>
      </w:r>
      <w:r w:rsidR="009A26B2" w:rsidRPr="001772E7">
        <w:t>TB treatment adherence</w:t>
      </w:r>
      <w:r w:rsidR="00FC3F9C">
        <w:t xml:space="preserve">, </w:t>
      </w:r>
      <w:r w:rsidR="009A26B2" w:rsidRPr="001772E7">
        <w:t xml:space="preserve">prior to signing informed consent must be </w:t>
      </w:r>
      <w:r w:rsidR="001772E7" w:rsidRPr="001772E7">
        <w:t>assessed (</w:t>
      </w:r>
      <w:r w:rsidR="001772E7">
        <w:t xml:space="preserve">either </w:t>
      </w:r>
      <w:r w:rsidR="001772E7" w:rsidRPr="001772E7">
        <w:t xml:space="preserve">through review of </w:t>
      </w:r>
      <w:r w:rsidR="009A26B2" w:rsidRPr="001772E7">
        <w:t>the patient’s medical records</w:t>
      </w:r>
      <w:r w:rsidR="001772E7" w:rsidRPr="001772E7">
        <w:t xml:space="preserve"> or </w:t>
      </w:r>
      <w:r w:rsidR="001772E7">
        <w:t>confirm</w:t>
      </w:r>
      <w:r w:rsidR="001772E7" w:rsidRPr="001772E7">
        <w:t>ed by the TB clinic staff)</w:t>
      </w:r>
      <w:r w:rsidR="009A26B2" w:rsidRPr="001772E7">
        <w:t>.</w:t>
      </w:r>
      <w:r w:rsidR="009A26B2">
        <w:t xml:space="preserve"> </w:t>
      </w:r>
      <w:r w:rsidR="008D3873" w:rsidRPr="001772E7">
        <w:rPr>
          <w:szCs w:val="22"/>
        </w:rPr>
        <w:t>Informed consent will be obtained by the use of a written consent form approved by the Institutional Review Board (IRB) or Independent Ethics Committee (IEC) and sig</w:t>
      </w:r>
      <w:r w:rsidRPr="001772E7">
        <w:rPr>
          <w:szCs w:val="22"/>
        </w:rPr>
        <w:t>ned and dated by the subject</w:t>
      </w:r>
      <w:r w:rsidR="008D3873" w:rsidRPr="001772E7">
        <w:rPr>
          <w:szCs w:val="22"/>
        </w:rPr>
        <w:t xml:space="preserve"> at the time o</w:t>
      </w:r>
      <w:r w:rsidRPr="001772E7">
        <w:rPr>
          <w:szCs w:val="22"/>
        </w:rPr>
        <w:t xml:space="preserve">f consent. </w:t>
      </w:r>
    </w:p>
    <w:p w14:paraId="1AC4D6F2" w14:textId="46765413" w:rsidR="006058AE" w:rsidRPr="00120A71" w:rsidRDefault="00021049" w:rsidP="006058AE">
      <w:pPr>
        <w:pStyle w:val="BodyText"/>
        <w:rPr>
          <w:szCs w:val="22"/>
        </w:rPr>
      </w:pPr>
      <w:r w:rsidRPr="003C47F3">
        <w:rPr>
          <w:szCs w:val="22"/>
        </w:rPr>
        <w:t>Potential subject</w:t>
      </w:r>
      <w:r w:rsidR="008D3873" w:rsidRPr="003C47F3">
        <w:rPr>
          <w:szCs w:val="22"/>
        </w:rPr>
        <w:t>s will be interviewed to ensure that they meet all entry cri</w:t>
      </w:r>
      <w:r w:rsidRPr="003C47F3">
        <w:rPr>
          <w:szCs w:val="22"/>
        </w:rPr>
        <w:t xml:space="preserve">teria relating to </w:t>
      </w:r>
      <w:r w:rsidR="007A4F49" w:rsidRPr="003C47F3">
        <w:rPr>
          <w:szCs w:val="22"/>
        </w:rPr>
        <w:t xml:space="preserve">medical </w:t>
      </w:r>
      <w:r w:rsidRPr="003C47F3">
        <w:rPr>
          <w:szCs w:val="22"/>
        </w:rPr>
        <w:t>history. The study staff member delegated to perform the informed consent process</w:t>
      </w:r>
      <w:r w:rsidR="008D3873" w:rsidRPr="003C47F3">
        <w:rPr>
          <w:szCs w:val="22"/>
        </w:rPr>
        <w:t xml:space="preserve"> will conduct the consent discussion on an indivi</w:t>
      </w:r>
      <w:r w:rsidR="00204853" w:rsidRPr="003C47F3">
        <w:rPr>
          <w:szCs w:val="22"/>
        </w:rPr>
        <w:t>dual basis with each subject</w:t>
      </w:r>
      <w:r w:rsidR="007A4F49" w:rsidRPr="003C47F3">
        <w:rPr>
          <w:szCs w:val="22"/>
        </w:rPr>
        <w:t xml:space="preserve">, </w:t>
      </w:r>
      <w:r w:rsidR="008D3873" w:rsidRPr="003C47F3">
        <w:rPr>
          <w:szCs w:val="22"/>
        </w:rPr>
        <w:t>allow adequate time fo</w:t>
      </w:r>
      <w:r w:rsidR="007A4F49" w:rsidRPr="003C47F3">
        <w:rPr>
          <w:szCs w:val="22"/>
        </w:rPr>
        <w:t>r all questions to be addressed, and document any questions in the source documents.</w:t>
      </w:r>
      <w:r w:rsidR="008D3873" w:rsidRPr="003C47F3">
        <w:rPr>
          <w:szCs w:val="22"/>
        </w:rPr>
        <w:t xml:space="preserve"> Written informed consent will be obtained prior to conducting any study-related procedures. A </w:t>
      </w:r>
      <w:r w:rsidR="008D3873" w:rsidRPr="001772E7">
        <w:rPr>
          <w:szCs w:val="22"/>
        </w:rPr>
        <w:t>copy of the signed consent form shall be given to the participant</w:t>
      </w:r>
      <w:r w:rsidR="00204853" w:rsidRPr="001772E7">
        <w:rPr>
          <w:szCs w:val="22"/>
        </w:rPr>
        <w:t>.</w:t>
      </w:r>
      <w:r w:rsidR="006058AE" w:rsidRPr="00120A71">
        <w:rPr>
          <w:szCs w:val="22"/>
        </w:rPr>
        <w:t xml:space="preserve"> </w:t>
      </w:r>
    </w:p>
    <w:p w14:paraId="182E01E9" w14:textId="3785FDA3" w:rsidR="006058AE" w:rsidRDefault="006058AE" w:rsidP="006058AE">
      <w:pPr>
        <w:pStyle w:val="BodyText"/>
        <w:rPr>
          <w:szCs w:val="22"/>
        </w:rPr>
      </w:pPr>
      <w:r w:rsidRPr="001772E7">
        <w:rPr>
          <w:szCs w:val="22"/>
        </w:rPr>
        <w:t xml:space="preserve">After informed consent has been obtained, a screening number </w:t>
      </w:r>
      <w:r w:rsidR="00C24B2A" w:rsidRPr="001772E7">
        <w:rPr>
          <w:szCs w:val="22"/>
        </w:rPr>
        <w:t xml:space="preserve">(SID #) </w:t>
      </w:r>
      <w:r w:rsidRPr="001772E7">
        <w:rPr>
          <w:szCs w:val="22"/>
        </w:rPr>
        <w:t>will be assigned to each subject for identification purposes, and the subject will be screened to assess eligibility for enrol</w:t>
      </w:r>
      <w:r w:rsidR="000075E4">
        <w:rPr>
          <w:szCs w:val="22"/>
        </w:rPr>
        <w:t>l</w:t>
      </w:r>
      <w:r w:rsidRPr="001772E7">
        <w:rPr>
          <w:szCs w:val="22"/>
        </w:rPr>
        <w:t xml:space="preserve">ment in the study. A screening log will be maintained by the site that records all subjects for whom consent was obtained and who entered the screening process. At a minimum, the screening log will document the subject’s date of consent, screening number, initials, and year of birth. </w:t>
      </w:r>
      <w:r w:rsidR="00103CE7" w:rsidRPr="001772E7">
        <w:rPr>
          <w:szCs w:val="22"/>
        </w:rPr>
        <w:t>T</w:t>
      </w:r>
      <w:r w:rsidRPr="001772E7">
        <w:rPr>
          <w:szCs w:val="22"/>
        </w:rPr>
        <w:t xml:space="preserve">he screening log will provide details </w:t>
      </w:r>
      <w:r w:rsidR="00103CE7" w:rsidRPr="001772E7">
        <w:rPr>
          <w:szCs w:val="22"/>
        </w:rPr>
        <w:t xml:space="preserve">of screen failure </w:t>
      </w:r>
      <w:r w:rsidRPr="001772E7">
        <w:rPr>
          <w:szCs w:val="22"/>
        </w:rPr>
        <w:t xml:space="preserve">as to why </w:t>
      </w:r>
      <w:r w:rsidR="00103CE7" w:rsidRPr="001772E7">
        <w:rPr>
          <w:szCs w:val="22"/>
        </w:rPr>
        <w:t>a subject</w:t>
      </w:r>
      <w:r w:rsidRPr="001772E7">
        <w:rPr>
          <w:szCs w:val="22"/>
        </w:rPr>
        <w:t xml:space="preserve"> did not enter the study (e.g., ineligibility due to screening laboratory abnormality, </w:t>
      </w:r>
      <w:r w:rsidR="00D71A3D" w:rsidRPr="001772E7">
        <w:rPr>
          <w:szCs w:val="22"/>
        </w:rPr>
        <w:t xml:space="preserve">drug-resistant TB, </w:t>
      </w:r>
      <w:r w:rsidRPr="001772E7">
        <w:rPr>
          <w:szCs w:val="22"/>
        </w:rPr>
        <w:t xml:space="preserve">new illness, or new clinical finding; withdrawal of consent; or failure to return to the study site). Abnormal results and findings resulting in ineligibility will be discussed with the </w:t>
      </w:r>
      <w:r w:rsidR="00103CE7" w:rsidRPr="001772E7">
        <w:rPr>
          <w:szCs w:val="22"/>
        </w:rPr>
        <w:t>subject</w:t>
      </w:r>
      <w:r w:rsidRPr="001772E7">
        <w:rPr>
          <w:szCs w:val="22"/>
        </w:rPr>
        <w:t>, who will be referred for follow-up care with their healthcare provider if necessary.</w:t>
      </w:r>
    </w:p>
    <w:p w14:paraId="04C13FA3" w14:textId="760827BD" w:rsidR="009A26B2" w:rsidRPr="001772E7" w:rsidRDefault="009A26B2" w:rsidP="004A7F6C">
      <w:pPr>
        <w:pStyle w:val="BodyText"/>
      </w:pPr>
      <w:r w:rsidRPr="001772E7">
        <w:t xml:space="preserve">After signing informed consent, a TB symptom questionnaire will be administered by study staff and sputum samples will be collected for Xpert MTB/RIF </w:t>
      </w:r>
      <w:r w:rsidR="000075E4">
        <w:t>and MTB liquid culture</w:t>
      </w:r>
      <w:r w:rsidRPr="001772E7">
        <w:t xml:space="preserve"> (see</w:t>
      </w:r>
      <w:r w:rsidR="003C47F3">
        <w:t xml:space="preserve"> </w:t>
      </w:r>
      <w:r w:rsidR="00276ADA" w:rsidRPr="00276ADA">
        <w:rPr>
          <w:color w:val="0000FF"/>
        </w:rPr>
        <w:fldChar w:fldCharType="begin"/>
      </w:r>
      <w:r w:rsidR="00276ADA" w:rsidRPr="00276ADA">
        <w:rPr>
          <w:color w:val="0000FF"/>
        </w:rPr>
        <w:instrText xml:space="preserve"> REF  _Ref389468943 \h  \* MERGEFORMAT </w:instrText>
      </w:r>
      <w:r w:rsidR="00276ADA" w:rsidRPr="00276ADA">
        <w:rPr>
          <w:color w:val="0000FF"/>
        </w:rPr>
      </w:r>
      <w:r w:rsidR="00276ADA" w:rsidRPr="00276ADA">
        <w:rPr>
          <w:color w:val="0000FF"/>
        </w:rPr>
        <w:fldChar w:fldCharType="separate"/>
      </w:r>
      <w:r w:rsidR="00024E24" w:rsidRPr="00024E24">
        <w:rPr>
          <w:color w:val="0000FF"/>
          <w:szCs w:val="22"/>
        </w:rPr>
        <w:t>Appendix</w:t>
      </w:r>
      <w:r w:rsidR="00024E24" w:rsidRPr="00024E24">
        <w:rPr>
          <w:caps/>
          <w:color w:val="0000FF"/>
          <w:szCs w:val="22"/>
        </w:rPr>
        <w:t xml:space="preserve"> </w:t>
      </w:r>
      <w:r w:rsidR="00024E24" w:rsidRPr="00024E24">
        <w:rPr>
          <w:caps/>
          <w:noProof/>
          <w:color w:val="0000FF"/>
          <w:szCs w:val="22"/>
        </w:rPr>
        <w:t>3</w:t>
      </w:r>
      <w:r w:rsidR="00276ADA" w:rsidRPr="00276ADA">
        <w:rPr>
          <w:color w:val="0000FF"/>
        </w:rPr>
        <w:fldChar w:fldCharType="end"/>
      </w:r>
      <w:r w:rsidRPr="001772E7">
        <w:t xml:space="preserve">). Subjects with new or worsening symptoms </w:t>
      </w:r>
      <w:r w:rsidR="00B604C1">
        <w:t xml:space="preserve">consistent with </w:t>
      </w:r>
      <w:r w:rsidR="00A54718">
        <w:t xml:space="preserve">TB treatment failure </w:t>
      </w:r>
      <w:r w:rsidRPr="001772E7">
        <w:t>during screening evaluations will be</w:t>
      </w:r>
      <w:r w:rsidR="00B604C1">
        <w:t xml:space="preserve"> excluded</w:t>
      </w:r>
      <w:r w:rsidRPr="001772E7">
        <w:t>. Subjects who are not eligible for randomization, for example due to TB treatment failure</w:t>
      </w:r>
      <w:r w:rsidR="008C4F23">
        <w:t>,</w:t>
      </w:r>
      <w:r w:rsidRPr="001772E7">
        <w:t xml:space="preserve"> will be referred for appropriate management by the health services.</w:t>
      </w:r>
    </w:p>
    <w:p w14:paraId="04B30EA2" w14:textId="5D6F23FA" w:rsidR="009A26B2" w:rsidRPr="001772E7" w:rsidRDefault="009A26B2" w:rsidP="009A26B2">
      <w:pPr>
        <w:pStyle w:val="BodyText"/>
      </w:pPr>
      <w:r w:rsidRPr="001772E7">
        <w:t xml:space="preserve">Bacteriologic cure will be assessed on a minimum of 2 sequential </w:t>
      </w:r>
      <w:r w:rsidRPr="00865B37">
        <w:t xml:space="preserve">occasions at least </w:t>
      </w:r>
      <w:r w:rsidR="00865B37">
        <w:t>14</w:t>
      </w:r>
      <w:r w:rsidRPr="00865B37">
        <w:t xml:space="preserve"> days</w:t>
      </w:r>
      <w:r w:rsidRPr="001772E7">
        <w:t xml:space="preserve"> apart. Since a false positive Xpert MTB/RIF may occur due to the presence of non-viable, killed bacilli, MGIT culture will also be performed. Bacteriologic cure will be defined as two consecutive </w:t>
      </w:r>
      <w:r w:rsidR="005C70E0">
        <w:t xml:space="preserve">(at least 14 days apart) </w:t>
      </w:r>
      <w:r w:rsidRPr="001772E7">
        <w:t>negative Xpert MTB/RIF, or if Xpert MTB/RIF remains persistently positive, as negative MGIT culture.</w:t>
      </w:r>
    </w:p>
    <w:p w14:paraId="2B4F47CD" w14:textId="0204F3AB" w:rsidR="00A35962" w:rsidRPr="00A35962" w:rsidRDefault="00CC300C" w:rsidP="00A35962">
      <w:pPr>
        <w:pStyle w:val="BodyText"/>
      </w:pPr>
      <w:r>
        <w:rPr>
          <w:bCs/>
        </w:rPr>
        <w:t>Subjects with b</w:t>
      </w:r>
      <w:r w:rsidR="008527A6" w:rsidRPr="008527A6">
        <w:rPr>
          <w:bCs/>
        </w:rPr>
        <w:t xml:space="preserve">acteriologic confirmation of cure at approximately 4 and 5 </w:t>
      </w:r>
      <w:r>
        <w:rPr>
          <w:bCs/>
        </w:rPr>
        <w:t>months after starting treatment</w:t>
      </w:r>
      <w:r w:rsidR="008527A6" w:rsidRPr="008527A6">
        <w:rPr>
          <w:bCs/>
        </w:rPr>
        <w:t xml:space="preserve"> </w:t>
      </w:r>
      <w:r w:rsidRPr="00A35962">
        <w:t>(as defined above)</w:t>
      </w:r>
      <w:r>
        <w:t>,</w:t>
      </w:r>
      <w:r w:rsidRPr="00A35962">
        <w:t xml:space="preserve"> and meeting all other inclusion and exclusion criteria described in </w:t>
      </w:r>
      <w:r w:rsidR="00725327">
        <w:t>S</w:t>
      </w:r>
      <w:r w:rsidRPr="00A35962">
        <w:t xml:space="preserve">ections </w:t>
      </w:r>
      <w:r w:rsidR="0099222D" w:rsidRPr="00276ADA">
        <w:rPr>
          <w:color w:val="0000FF"/>
        </w:rPr>
        <w:fldChar w:fldCharType="begin"/>
      </w:r>
      <w:r w:rsidR="0099222D" w:rsidRPr="00276ADA">
        <w:rPr>
          <w:color w:val="0000FF"/>
        </w:rPr>
        <w:instrText xml:space="preserve"> REF _Ref389061455 \r \h </w:instrText>
      </w:r>
      <w:r w:rsidR="0099222D" w:rsidRPr="00276ADA">
        <w:rPr>
          <w:color w:val="0000FF"/>
        </w:rPr>
      </w:r>
      <w:r w:rsidR="0099222D" w:rsidRPr="00276ADA">
        <w:rPr>
          <w:color w:val="0000FF"/>
        </w:rPr>
        <w:fldChar w:fldCharType="separate"/>
      </w:r>
      <w:r w:rsidR="00024E24">
        <w:rPr>
          <w:color w:val="0000FF"/>
        </w:rPr>
        <w:t>5.1</w:t>
      </w:r>
      <w:r w:rsidR="0099222D" w:rsidRPr="00276ADA">
        <w:rPr>
          <w:color w:val="0000FF"/>
        </w:rPr>
        <w:fldChar w:fldCharType="end"/>
      </w:r>
      <w:r w:rsidR="0099222D">
        <w:t xml:space="preserve"> </w:t>
      </w:r>
      <w:r w:rsidRPr="00A35962">
        <w:t>and</w:t>
      </w:r>
      <w:r w:rsidR="0099222D">
        <w:t xml:space="preserve"> </w:t>
      </w:r>
      <w:r w:rsidR="0099222D" w:rsidRPr="00276ADA">
        <w:rPr>
          <w:color w:val="0000FF"/>
        </w:rPr>
        <w:fldChar w:fldCharType="begin"/>
      </w:r>
      <w:r w:rsidR="0099222D" w:rsidRPr="00276ADA">
        <w:rPr>
          <w:color w:val="0000FF"/>
        </w:rPr>
        <w:instrText xml:space="preserve"> REF _Ref389061491 \r \h </w:instrText>
      </w:r>
      <w:r w:rsidR="0099222D" w:rsidRPr="00276ADA">
        <w:rPr>
          <w:color w:val="0000FF"/>
        </w:rPr>
      </w:r>
      <w:r w:rsidR="0099222D" w:rsidRPr="00276ADA">
        <w:rPr>
          <w:color w:val="0000FF"/>
        </w:rPr>
        <w:fldChar w:fldCharType="separate"/>
      </w:r>
      <w:r w:rsidR="00024E24">
        <w:rPr>
          <w:color w:val="0000FF"/>
        </w:rPr>
        <w:t>5.2</w:t>
      </w:r>
      <w:r w:rsidR="0099222D" w:rsidRPr="00276ADA">
        <w:rPr>
          <w:color w:val="0000FF"/>
        </w:rPr>
        <w:fldChar w:fldCharType="end"/>
      </w:r>
      <w:r w:rsidR="00A662FE">
        <w:t>,</w:t>
      </w:r>
      <w:r w:rsidR="00B65710">
        <w:rPr>
          <w:bCs/>
        </w:rPr>
        <w:t xml:space="preserve"> will be eligible</w:t>
      </w:r>
      <w:r w:rsidR="008527A6" w:rsidRPr="008527A6">
        <w:rPr>
          <w:bCs/>
        </w:rPr>
        <w:t xml:space="preserve"> to be randomized </w:t>
      </w:r>
      <w:r w:rsidR="000637DE">
        <w:rPr>
          <w:bCs/>
        </w:rPr>
        <w:t>within 28 days of</w:t>
      </w:r>
      <w:r w:rsidR="001E01AA">
        <w:rPr>
          <w:bCs/>
        </w:rPr>
        <w:t xml:space="preserve"> </w:t>
      </w:r>
      <w:r w:rsidR="000637DE">
        <w:rPr>
          <w:bCs/>
        </w:rPr>
        <w:t xml:space="preserve">completing </w:t>
      </w:r>
      <w:r w:rsidR="001E01AA">
        <w:rPr>
          <w:bCs/>
        </w:rPr>
        <w:t xml:space="preserve">TB treatment </w:t>
      </w:r>
      <w:r w:rsidR="008527A6" w:rsidRPr="008527A6">
        <w:rPr>
          <w:bCs/>
        </w:rPr>
        <w:t xml:space="preserve">to receive the first study </w:t>
      </w:r>
      <w:r w:rsidR="001E01AA">
        <w:rPr>
          <w:bCs/>
        </w:rPr>
        <w:t>injec</w:t>
      </w:r>
      <w:r w:rsidR="001E01AA" w:rsidRPr="008527A6">
        <w:rPr>
          <w:bCs/>
        </w:rPr>
        <w:t xml:space="preserve">tion </w:t>
      </w:r>
      <w:r w:rsidR="008527A6" w:rsidRPr="008527A6">
        <w:rPr>
          <w:bCs/>
        </w:rPr>
        <w:t xml:space="preserve">with either </w:t>
      </w:r>
      <w:r w:rsidR="008527A6" w:rsidRPr="008527A6">
        <w:t xml:space="preserve">ID93 + GLA-SE vaccine, or </w:t>
      </w:r>
      <w:r w:rsidR="008527A6" w:rsidRPr="008527A6">
        <w:rPr>
          <w:bCs/>
        </w:rPr>
        <w:t>saline placebo</w:t>
      </w:r>
      <w:r w:rsidR="00A35962" w:rsidRPr="00A35962">
        <w:t>.</w:t>
      </w:r>
    </w:p>
    <w:p w14:paraId="2570F9BD" w14:textId="1170501F" w:rsidR="008527A6" w:rsidRDefault="008527A6" w:rsidP="008527A6">
      <w:pPr>
        <w:pStyle w:val="BodyText"/>
        <w:rPr>
          <w:bCs/>
        </w:rPr>
      </w:pPr>
      <w:r w:rsidRPr="008527A6">
        <w:t>All subjects must also complete t</w:t>
      </w:r>
      <w:r w:rsidRPr="008527A6">
        <w:rPr>
          <w:bCs/>
        </w:rPr>
        <w:t xml:space="preserve">he full course of scheduled TB treatment </w:t>
      </w:r>
      <w:r w:rsidR="001E01AA">
        <w:rPr>
          <w:bCs/>
        </w:rPr>
        <w:t xml:space="preserve">prior to Day 0 </w:t>
      </w:r>
      <w:r w:rsidRPr="008527A6">
        <w:rPr>
          <w:bCs/>
        </w:rPr>
        <w:t>as per the prevailing current South African National Tuberculosis Management Guidelines (2009 Guideline: 2 months isoniazid, rifampicin, pyrazinamide, and ethambutol [intensive phase], followed by 4 months isoniazid and rifampicin)</w:t>
      </w:r>
      <w:r w:rsidR="0099222D">
        <w:rPr>
          <w:bCs/>
        </w:rPr>
        <w:t>.</w:t>
      </w:r>
    </w:p>
    <w:p w14:paraId="7A9E06CA" w14:textId="09713681" w:rsidR="008527A6" w:rsidRPr="008527A6" w:rsidRDefault="008527A6" w:rsidP="008527A6">
      <w:pPr>
        <w:pStyle w:val="BodyText"/>
      </w:pPr>
      <w:r w:rsidRPr="00865B37">
        <w:rPr>
          <w:bCs/>
        </w:rPr>
        <w:t xml:space="preserve">An </w:t>
      </w:r>
      <w:r w:rsidRPr="000B7056">
        <w:rPr>
          <w:bCs/>
        </w:rPr>
        <w:t xml:space="preserve">end of treatment </w:t>
      </w:r>
      <w:r w:rsidRPr="00865B37">
        <w:rPr>
          <w:bCs/>
        </w:rPr>
        <w:t>sputum sample will be collected for MTB liquid culture</w:t>
      </w:r>
      <w:r w:rsidR="00393727" w:rsidRPr="00865B37">
        <w:rPr>
          <w:bCs/>
        </w:rPr>
        <w:t xml:space="preserve"> at the 3</w:t>
      </w:r>
      <w:r w:rsidR="00393727" w:rsidRPr="000B7056">
        <w:rPr>
          <w:bCs/>
          <w:vertAlign w:val="superscript"/>
        </w:rPr>
        <w:t>rd</w:t>
      </w:r>
      <w:r w:rsidR="00393727" w:rsidRPr="00865B37">
        <w:rPr>
          <w:bCs/>
        </w:rPr>
        <w:t xml:space="preserve"> screening visit </w:t>
      </w:r>
      <w:r w:rsidR="00152606" w:rsidRPr="00865B37">
        <w:rPr>
          <w:bCs/>
        </w:rPr>
        <w:t>(a</w:t>
      </w:r>
      <w:r w:rsidR="000F708E">
        <w:rPr>
          <w:bCs/>
        </w:rPr>
        <w:t>t or shortly after</w:t>
      </w:r>
      <w:r w:rsidR="00152606" w:rsidRPr="00865B37">
        <w:rPr>
          <w:bCs/>
        </w:rPr>
        <w:t xml:space="preserve"> the end of treatment)</w:t>
      </w:r>
      <w:r w:rsidR="00152606">
        <w:rPr>
          <w:bCs/>
        </w:rPr>
        <w:t xml:space="preserve"> or on Day 0 prior to study injection</w:t>
      </w:r>
      <w:r w:rsidRPr="00865B37">
        <w:rPr>
          <w:bCs/>
        </w:rPr>
        <w:t>. Development of a positive MTB liquid culture at</w:t>
      </w:r>
      <w:r w:rsidR="007C0BDD" w:rsidRPr="00865B37">
        <w:rPr>
          <w:bCs/>
        </w:rPr>
        <w:t>, or after,</w:t>
      </w:r>
      <w:r w:rsidRPr="00865B37">
        <w:rPr>
          <w:bCs/>
        </w:rPr>
        <w:t xml:space="preserve"> end of treatment will constitute a late exclusion criterion and such subjects will be</w:t>
      </w:r>
      <w:r w:rsidRPr="008527A6">
        <w:rPr>
          <w:bCs/>
        </w:rPr>
        <w:t xml:space="preserve"> excluded from receiving further study </w:t>
      </w:r>
      <w:r w:rsidR="001E01AA">
        <w:rPr>
          <w:bCs/>
        </w:rPr>
        <w:t>injec</w:t>
      </w:r>
      <w:r w:rsidR="001E01AA" w:rsidRPr="008527A6">
        <w:rPr>
          <w:bCs/>
        </w:rPr>
        <w:t>tions</w:t>
      </w:r>
      <w:r w:rsidRPr="008527A6">
        <w:rPr>
          <w:bCs/>
        </w:rPr>
        <w:t>.</w:t>
      </w:r>
    </w:p>
    <w:p w14:paraId="1F8492E9" w14:textId="646C48F5" w:rsidR="009A26B2" w:rsidRPr="00A74D0A" w:rsidRDefault="009A26B2" w:rsidP="009A26B2">
      <w:pPr>
        <w:pStyle w:val="BodyText"/>
        <w:rPr>
          <w:szCs w:val="22"/>
        </w:rPr>
      </w:pPr>
      <w:bookmarkStart w:id="221" w:name="_Toc385264309"/>
      <w:bookmarkStart w:id="222" w:name="_Toc385264310"/>
      <w:bookmarkStart w:id="223" w:name="_Toc385264311"/>
      <w:bookmarkStart w:id="224" w:name="_Toc385264312"/>
      <w:bookmarkStart w:id="225" w:name="_Toc385264313"/>
      <w:bookmarkStart w:id="226" w:name="_Toc385264314"/>
      <w:bookmarkStart w:id="227" w:name="_Toc385264315"/>
      <w:bookmarkEnd w:id="221"/>
      <w:bookmarkEnd w:id="222"/>
      <w:bookmarkEnd w:id="223"/>
      <w:bookmarkEnd w:id="224"/>
      <w:bookmarkEnd w:id="225"/>
      <w:bookmarkEnd w:id="226"/>
      <w:bookmarkEnd w:id="227"/>
      <w:r w:rsidRPr="00A74D0A">
        <w:rPr>
          <w:szCs w:val="22"/>
        </w:rPr>
        <w:t xml:space="preserve">Eligibility will be based on the inclusion and exclusion criteria described in </w:t>
      </w:r>
      <w:r w:rsidR="00725327">
        <w:rPr>
          <w:szCs w:val="22"/>
        </w:rPr>
        <w:t>S</w:t>
      </w:r>
      <w:r w:rsidRPr="00A74D0A">
        <w:rPr>
          <w:szCs w:val="22"/>
        </w:rPr>
        <w:t xml:space="preserve">ections </w:t>
      </w:r>
      <w:r w:rsidR="0099222D" w:rsidRPr="00276ADA">
        <w:rPr>
          <w:color w:val="0000FF"/>
          <w:szCs w:val="22"/>
        </w:rPr>
        <w:fldChar w:fldCharType="begin"/>
      </w:r>
      <w:r w:rsidR="0099222D" w:rsidRPr="00276ADA">
        <w:rPr>
          <w:color w:val="0000FF"/>
          <w:szCs w:val="22"/>
        </w:rPr>
        <w:instrText xml:space="preserve"> REF _Ref389061512 \r \h </w:instrText>
      </w:r>
      <w:r w:rsidR="0099222D" w:rsidRPr="00276ADA">
        <w:rPr>
          <w:color w:val="0000FF"/>
          <w:szCs w:val="22"/>
        </w:rPr>
      </w:r>
      <w:r w:rsidR="0099222D" w:rsidRPr="00276ADA">
        <w:rPr>
          <w:color w:val="0000FF"/>
          <w:szCs w:val="22"/>
        </w:rPr>
        <w:fldChar w:fldCharType="separate"/>
      </w:r>
      <w:r w:rsidR="00024E24">
        <w:rPr>
          <w:color w:val="0000FF"/>
          <w:szCs w:val="22"/>
        </w:rPr>
        <w:t>5.1</w:t>
      </w:r>
      <w:r w:rsidR="0099222D" w:rsidRPr="00276ADA">
        <w:rPr>
          <w:color w:val="0000FF"/>
          <w:szCs w:val="22"/>
        </w:rPr>
        <w:fldChar w:fldCharType="end"/>
      </w:r>
      <w:r w:rsidRPr="00A74D0A">
        <w:rPr>
          <w:szCs w:val="22"/>
        </w:rPr>
        <w:t xml:space="preserve"> and </w:t>
      </w:r>
      <w:r w:rsidR="0099222D" w:rsidRPr="00276ADA">
        <w:rPr>
          <w:color w:val="0000FF"/>
          <w:szCs w:val="22"/>
        </w:rPr>
        <w:fldChar w:fldCharType="begin"/>
      </w:r>
      <w:r w:rsidR="0099222D" w:rsidRPr="00276ADA">
        <w:rPr>
          <w:color w:val="0000FF"/>
          <w:szCs w:val="22"/>
        </w:rPr>
        <w:instrText xml:space="preserve"> REF _Ref389061521 \r \h </w:instrText>
      </w:r>
      <w:r w:rsidR="0099222D" w:rsidRPr="00276ADA">
        <w:rPr>
          <w:color w:val="0000FF"/>
          <w:szCs w:val="22"/>
        </w:rPr>
      </w:r>
      <w:r w:rsidR="0099222D" w:rsidRPr="00276ADA">
        <w:rPr>
          <w:color w:val="0000FF"/>
          <w:szCs w:val="22"/>
        </w:rPr>
        <w:fldChar w:fldCharType="separate"/>
      </w:r>
      <w:r w:rsidR="00024E24">
        <w:rPr>
          <w:color w:val="0000FF"/>
          <w:szCs w:val="22"/>
        </w:rPr>
        <w:t>5.2</w:t>
      </w:r>
      <w:r w:rsidR="0099222D" w:rsidRPr="00276ADA">
        <w:rPr>
          <w:color w:val="0000FF"/>
          <w:szCs w:val="22"/>
        </w:rPr>
        <w:fldChar w:fldCharType="end"/>
      </w:r>
      <w:r w:rsidRPr="00A74D0A">
        <w:rPr>
          <w:szCs w:val="22"/>
        </w:rPr>
        <w:t xml:space="preserve"> above. The investigator must document confirmation of eligibility prior to </w:t>
      </w:r>
      <w:r>
        <w:rPr>
          <w:szCs w:val="22"/>
        </w:rPr>
        <w:t>randomization</w:t>
      </w:r>
      <w:r w:rsidRPr="00A74D0A">
        <w:rPr>
          <w:szCs w:val="22"/>
        </w:rPr>
        <w:t>.</w:t>
      </w:r>
    </w:p>
    <w:p w14:paraId="0FE1ACC4" w14:textId="6BCBD475" w:rsidR="004A355C" w:rsidRDefault="004A355C" w:rsidP="004A355C">
      <w:pPr>
        <w:pStyle w:val="BodyText"/>
      </w:pPr>
      <w:r>
        <w:t xml:space="preserve">Upon determination of eligibility for randomization, a subject will be assigned the next consecutive </w:t>
      </w:r>
      <w:r w:rsidR="000E54DD">
        <w:t>subject PID</w:t>
      </w:r>
      <w:r>
        <w:t xml:space="preserve"> #</w:t>
      </w:r>
      <w:r w:rsidR="000E54DD">
        <w:t xml:space="preserve"> </w:t>
      </w:r>
      <w:r w:rsidR="009A26B2">
        <w:t xml:space="preserve">immediately </w:t>
      </w:r>
      <w:r w:rsidR="000E54DD">
        <w:t>prior to baseline immunology blood draw</w:t>
      </w:r>
      <w:r w:rsidR="009A26B2">
        <w:t xml:space="preserve"> and first study injection</w:t>
      </w:r>
      <w:r>
        <w:t xml:space="preserve">. Subjects will be considered randomized into the study upon issue of the </w:t>
      </w:r>
      <w:r w:rsidR="000E54DD">
        <w:t>PID</w:t>
      </w:r>
      <w:r>
        <w:t xml:space="preserve"> #. </w:t>
      </w:r>
      <w:r w:rsidR="009A26B2">
        <w:t>Subjects who develop any late exclusion criterion after randomization</w:t>
      </w:r>
      <w:r w:rsidR="00F34896">
        <w:t xml:space="preserve"> </w:t>
      </w:r>
      <w:r w:rsidR="009A26B2">
        <w:t xml:space="preserve">will be </w:t>
      </w:r>
      <w:r w:rsidR="00152606">
        <w:rPr>
          <w:bCs/>
        </w:rPr>
        <w:t>excluded from receiving further study injections</w:t>
      </w:r>
      <w:r w:rsidR="008211B4">
        <w:rPr>
          <w:bCs/>
        </w:rPr>
        <w:t xml:space="preserve">, </w:t>
      </w:r>
      <w:r w:rsidR="00291C78">
        <w:rPr>
          <w:bCs/>
        </w:rPr>
        <w:t>have no further immunology blood draws</w:t>
      </w:r>
      <w:r w:rsidR="00152606">
        <w:rPr>
          <w:bCs/>
        </w:rPr>
        <w:t xml:space="preserve">, remain in </w:t>
      </w:r>
      <w:r w:rsidR="00291C78">
        <w:rPr>
          <w:bCs/>
        </w:rPr>
        <w:t xml:space="preserve">reduced visit </w:t>
      </w:r>
      <w:r w:rsidR="00152606">
        <w:rPr>
          <w:bCs/>
        </w:rPr>
        <w:t xml:space="preserve">follow-up </w:t>
      </w:r>
      <w:r w:rsidR="00291C78">
        <w:rPr>
          <w:bCs/>
        </w:rPr>
        <w:t xml:space="preserve">through Day 168 </w:t>
      </w:r>
      <w:r w:rsidR="00152606">
        <w:rPr>
          <w:bCs/>
        </w:rPr>
        <w:t>for safety evaluation</w:t>
      </w:r>
      <w:r w:rsidR="00291C78">
        <w:rPr>
          <w:bCs/>
        </w:rPr>
        <w:t>s</w:t>
      </w:r>
      <w:r w:rsidR="0099456B">
        <w:rPr>
          <w:bCs/>
        </w:rPr>
        <w:t xml:space="preserve"> of AEs, SAEs or AESIs,</w:t>
      </w:r>
      <w:r w:rsidR="00152606">
        <w:rPr>
          <w:bCs/>
        </w:rPr>
        <w:t xml:space="preserve"> </w:t>
      </w:r>
      <w:r w:rsidR="009A26B2">
        <w:t xml:space="preserve">and </w:t>
      </w:r>
      <w:r w:rsidR="00152606">
        <w:t xml:space="preserve">be </w:t>
      </w:r>
      <w:r w:rsidR="009A26B2">
        <w:t>referred for the appropriate medical management.</w:t>
      </w:r>
    </w:p>
    <w:p w14:paraId="0EC357C6" w14:textId="664D73F7" w:rsidR="00757C9D" w:rsidRPr="00CF52F1" w:rsidRDefault="005F3987" w:rsidP="000073A7">
      <w:pPr>
        <w:pStyle w:val="Heading2"/>
      </w:pPr>
      <w:bookmarkStart w:id="228" w:name="_Toc389129980"/>
      <w:bookmarkStart w:id="229" w:name="_Toc440906281"/>
      <w:r>
        <w:t xml:space="preserve">Study Injection </w:t>
      </w:r>
      <w:r w:rsidR="00757C9D" w:rsidRPr="00CF52F1">
        <w:t>Phase</w:t>
      </w:r>
      <w:bookmarkEnd w:id="228"/>
      <w:bookmarkEnd w:id="229"/>
    </w:p>
    <w:p w14:paraId="42D9A6C5" w14:textId="70A32712" w:rsidR="005821EE" w:rsidRDefault="009873B7" w:rsidP="005821EE">
      <w:pPr>
        <w:pStyle w:val="BodyText"/>
      </w:pPr>
      <w:r>
        <w:t>After randomization, s</w:t>
      </w:r>
      <w:r w:rsidR="00757C9D">
        <w:t xml:space="preserve">ubjects in </w:t>
      </w:r>
      <w:r w:rsidR="003B413D">
        <w:t>Cohorts 1 and 2</w:t>
      </w:r>
      <w:r w:rsidR="00757C9D">
        <w:t xml:space="preserve"> will receive a total of two intramuscular study injections, one injec</w:t>
      </w:r>
      <w:r w:rsidR="00E55FB6">
        <w:t xml:space="preserve">tion on each of Days 0 and </w:t>
      </w:r>
      <w:r w:rsidR="005E6C23">
        <w:t>56</w:t>
      </w:r>
      <w:r w:rsidR="00E55FB6">
        <w:t xml:space="preserve">, </w:t>
      </w:r>
      <w:r w:rsidR="003B413D">
        <w:t>and subjects in Cohort 3 will receive a total of three intramuscular study injections, one injection on each of Days 0, 28 and 56. All subjects</w:t>
      </w:r>
      <w:r w:rsidR="00E55FB6">
        <w:t xml:space="preserve"> will be followed for safety</w:t>
      </w:r>
      <w:r w:rsidR="00F34896">
        <w:t xml:space="preserve"> and</w:t>
      </w:r>
      <w:r w:rsidR="00E55FB6">
        <w:t xml:space="preserve"> immunogenicity</w:t>
      </w:r>
      <w:r w:rsidR="00F34896">
        <w:t xml:space="preserve"> </w:t>
      </w:r>
      <w:r w:rsidR="00E55FB6">
        <w:t xml:space="preserve">through </w:t>
      </w:r>
      <w:r w:rsidR="00567485">
        <w:t>224</w:t>
      </w:r>
      <w:r w:rsidR="00E55FB6">
        <w:t xml:space="preserve"> days after the first study injection.</w:t>
      </w:r>
    </w:p>
    <w:p w14:paraId="18F00A1A" w14:textId="53F7B472" w:rsidR="005821EE" w:rsidRPr="00857778" w:rsidRDefault="005821EE" w:rsidP="005821EE">
      <w:pPr>
        <w:pStyle w:val="BodyText"/>
      </w:pPr>
      <w:r>
        <w:t>E</w:t>
      </w:r>
      <w:r w:rsidRPr="00857778">
        <w:t>ach su</w:t>
      </w:r>
      <w:r>
        <w:t xml:space="preserve">bject will be evaluated </w:t>
      </w:r>
      <w:r w:rsidRPr="00857778">
        <w:t xml:space="preserve">on Days </w:t>
      </w:r>
      <w:r w:rsidRPr="000551C5">
        <w:t>0, 3, 7,</w:t>
      </w:r>
      <w:r w:rsidR="00AF5CB1">
        <w:t>14, 28,</w:t>
      </w:r>
      <w:r w:rsidRPr="000551C5">
        <w:t xml:space="preserve"> </w:t>
      </w:r>
      <w:r w:rsidR="00233C55">
        <w:t xml:space="preserve">31, 35, 42, </w:t>
      </w:r>
      <w:r w:rsidR="005E6C23">
        <w:t>56</w:t>
      </w:r>
      <w:r w:rsidRPr="00857778">
        <w:t xml:space="preserve">, </w:t>
      </w:r>
      <w:r w:rsidR="005E6C23">
        <w:t>59</w:t>
      </w:r>
      <w:r w:rsidR="00E75AC0">
        <w:t xml:space="preserve">, </w:t>
      </w:r>
      <w:r w:rsidR="005E6C23">
        <w:t>63</w:t>
      </w:r>
      <w:r>
        <w:t>,</w:t>
      </w:r>
      <w:r w:rsidR="00D64885">
        <w:t xml:space="preserve"> </w:t>
      </w:r>
      <w:r w:rsidR="00AF5CB1">
        <w:t>70</w:t>
      </w:r>
      <w:r w:rsidR="00D64885">
        <w:t>,</w:t>
      </w:r>
      <w:r>
        <w:t xml:space="preserve"> </w:t>
      </w:r>
      <w:r w:rsidR="005E6C23">
        <w:t>84</w:t>
      </w:r>
      <w:r w:rsidRPr="00857778">
        <w:t xml:space="preserve">, 112, 168, </w:t>
      </w:r>
      <w:r w:rsidR="0088770E">
        <w:t xml:space="preserve">and </w:t>
      </w:r>
      <w:r w:rsidR="00567485">
        <w:t>224</w:t>
      </w:r>
      <w:r w:rsidR="00725327">
        <w:t xml:space="preserve"> </w:t>
      </w:r>
      <w:r w:rsidR="00E64F23">
        <w:t>(EOS)</w:t>
      </w:r>
      <w:r w:rsidRPr="00857778">
        <w:t xml:space="preserve">. </w:t>
      </w:r>
    </w:p>
    <w:p w14:paraId="5E21BA59" w14:textId="57F7C8AD" w:rsidR="00757C9D" w:rsidRPr="00757C9D" w:rsidRDefault="005821EE" w:rsidP="00757C9D">
      <w:pPr>
        <w:pStyle w:val="BodyText"/>
      </w:pPr>
      <w:r>
        <w:t>See</w:t>
      </w:r>
      <w:r w:rsidR="005815AE">
        <w:t xml:space="preserve"> </w:t>
      </w:r>
      <w:r w:rsidR="005E13C1" w:rsidRPr="00276ADA">
        <w:rPr>
          <w:color w:val="0000FF"/>
        </w:rPr>
        <w:fldChar w:fldCharType="begin"/>
      </w:r>
      <w:r w:rsidR="005E13C1" w:rsidRPr="00276ADA">
        <w:rPr>
          <w:color w:val="0000FF"/>
        </w:rPr>
        <w:instrText xml:space="preserve"> REF  _Ref377990419 \h  \* MERGEFORMAT </w:instrText>
      </w:r>
      <w:r w:rsidR="005E13C1" w:rsidRPr="00276ADA">
        <w:rPr>
          <w:color w:val="0000FF"/>
        </w:rPr>
      </w:r>
      <w:r w:rsidR="005E13C1" w:rsidRPr="00276ADA">
        <w:rPr>
          <w:color w:val="0000FF"/>
        </w:rPr>
        <w:fldChar w:fldCharType="separate"/>
      </w:r>
      <w:r w:rsidR="00024E24" w:rsidRPr="00024E24">
        <w:rPr>
          <w:color w:val="0000FF"/>
          <w:szCs w:val="24"/>
        </w:rPr>
        <w:t xml:space="preserve">Appendix </w:t>
      </w:r>
      <w:r w:rsidR="00024E24" w:rsidRPr="00024E24">
        <w:rPr>
          <w:caps/>
          <w:noProof/>
          <w:color w:val="0000FF"/>
          <w:szCs w:val="24"/>
        </w:rPr>
        <w:t>1</w:t>
      </w:r>
      <w:r w:rsidR="005E13C1" w:rsidRPr="00276ADA">
        <w:rPr>
          <w:color w:val="0000FF"/>
        </w:rPr>
        <w:fldChar w:fldCharType="end"/>
      </w:r>
      <w:r w:rsidR="005815AE">
        <w:t xml:space="preserve"> </w:t>
      </w:r>
      <w:r w:rsidR="000073A7">
        <w:t>for the Schedule of Visits and Procedures</w:t>
      </w:r>
      <w:r w:rsidRPr="005821EE">
        <w:rPr>
          <w:b/>
        </w:rPr>
        <w:t>.</w:t>
      </w:r>
    </w:p>
    <w:p w14:paraId="71B232C6" w14:textId="77777777" w:rsidR="00F43682" w:rsidRDefault="00F43682">
      <w:pPr>
        <w:pStyle w:val="Heading2"/>
      </w:pPr>
      <w:bookmarkStart w:id="230" w:name="_Toc42588979"/>
      <w:bookmarkStart w:id="231" w:name="_Toc53202827"/>
      <w:bookmarkStart w:id="232" w:name="_Toc389129981"/>
      <w:bookmarkStart w:id="233" w:name="_Toc440906282"/>
      <w:r>
        <w:t>Final Study Visit</w:t>
      </w:r>
      <w:bookmarkEnd w:id="230"/>
      <w:bookmarkEnd w:id="231"/>
      <w:bookmarkEnd w:id="232"/>
      <w:bookmarkEnd w:id="233"/>
    </w:p>
    <w:p w14:paraId="6EF2AE70" w14:textId="34434766" w:rsidR="003010D2" w:rsidRDefault="003010D2" w:rsidP="003010D2">
      <w:pPr>
        <w:pStyle w:val="BodyText"/>
      </w:pPr>
      <w:r>
        <w:t>All subjects remaining on</w:t>
      </w:r>
      <w:r w:rsidR="00996D27">
        <w:t xml:space="preserve"> study should have an EOS visit at </w:t>
      </w:r>
      <w:r w:rsidR="00996D27" w:rsidRPr="00D64885">
        <w:t xml:space="preserve">Day </w:t>
      </w:r>
      <w:r w:rsidR="00567485">
        <w:t>224</w:t>
      </w:r>
      <w:r w:rsidR="00996D27" w:rsidRPr="00D64885">
        <w:t>.</w:t>
      </w:r>
      <w:r>
        <w:t xml:space="preserve"> Every effort should be made to perform an EOS visit for </w:t>
      </w:r>
      <w:r w:rsidR="009862EB">
        <w:t xml:space="preserve">all </w:t>
      </w:r>
      <w:r>
        <w:t xml:space="preserve">subjects. </w:t>
      </w:r>
    </w:p>
    <w:p w14:paraId="4809A304" w14:textId="79906D1D" w:rsidR="00996D27" w:rsidRPr="003010D2" w:rsidRDefault="003010D2" w:rsidP="003010D2">
      <w:pPr>
        <w:pStyle w:val="BodyText"/>
      </w:pPr>
      <w:r>
        <w:t>Subjects will be assessed for resolution of any ongoing AEs and screened for possible recurrent TB disease. Every effort should be made to obtain at least 2 EOS sputum samples for any subject with suspected recurrent TB disease.</w:t>
      </w:r>
      <w:r w:rsidR="00996D27">
        <w:t xml:space="preserve"> Subjects with ongoing AEs at the EOS visit will be referred to the appropriate health care provider for ongoing management.</w:t>
      </w:r>
    </w:p>
    <w:p w14:paraId="13A39E21" w14:textId="77777777" w:rsidR="00F43682" w:rsidRDefault="00F43682">
      <w:pPr>
        <w:pStyle w:val="Heading2"/>
      </w:pPr>
      <w:bookmarkStart w:id="234" w:name="_Toc42588980"/>
      <w:bookmarkStart w:id="235" w:name="_Toc53202828"/>
      <w:bookmarkStart w:id="236" w:name="_Toc389129982"/>
      <w:bookmarkStart w:id="237" w:name="_Toc440906283"/>
      <w:r>
        <w:t>Early Termination Visit</w:t>
      </w:r>
      <w:bookmarkEnd w:id="234"/>
      <w:bookmarkEnd w:id="235"/>
      <w:bookmarkEnd w:id="236"/>
      <w:bookmarkEnd w:id="237"/>
    </w:p>
    <w:p w14:paraId="1C095679" w14:textId="4E32C18E" w:rsidR="00996D27" w:rsidRPr="00996D27" w:rsidRDefault="00996D27" w:rsidP="00996D27">
      <w:pPr>
        <w:pStyle w:val="BodyText"/>
      </w:pPr>
      <w:r>
        <w:t xml:space="preserve">Subjects who permanently discontinue </w:t>
      </w:r>
      <w:r w:rsidR="002B6E6E">
        <w:t xml:space="preserve">participation on </w:t>
      </w:r>
      <w:r>
        <w:t xml:space="preserve">the study prior to the Day </w:t>
      </w:r>
      <w:r w:rsidR="00567485">
        <w:t>224</w:t>
      </w:r>
      <w:r>
        <w:t xml:space="preserve"> visit </w:t>
      </w:r>
      <w:r w:rsidR="00194ACF">
        <w:t xml:space="preserve">should have an </w:t>
      </w:r>
      <w:r w:rsidR="002B6E6E">
        <w:t>EOS Early Termination Visit for assessment of resolution of any ongoing AEs</w:t>
      </w:r>
      <w:r w:rsidR="00194ACF">
        <w:t>, referral for ongoing medical care if appropriate,</w:t>
      </w:r>
      <w:r w:rsidR="002B6E6E">
        <w:t xml:space="preserve"> and screening for possible recurrent TB disease as above.</w:t>
      </w:r>
      <w:r w:rsidR="00B929B8">
        <w:t xml:space="preserve"> </w:t>
      </w:r>
    </w:p>
    <w:p w14:paraId="2C38F6D4" w14:textId="77777777" w:rsidR="00F43682" w:rsidRDefault="00F43682">
      <w:pPr>
        <w:pStyle w:val="Heading2"/>
      </w:pPr>
      <w:bookmarkStart w:id="238" w:name="_Toc389129983"/>
      <w:bookmarkStart w:id="239" w:name="_Toc440906284"/>
      <w:r>
        <w:t>Unscheduled Visit</w:t>
      </w:r>
      <w:bookmarkEnd w:id="238"/>
      <w:bookmarkEnd w:id="239"/>
      <w:r>
        <w:t xml:space="preserve"> </w:t>
      </w:r>
    </w:p>
    <w:p w14:paraId="22146A30" w14:textId="025E923B" w:rsidR="00434BB2" w:rsidRDefault="00434BB2" w:rsidP="00434BB2">
      <w:pPr>
        <w:pStyle w:val="BodyText"/>
      </w:pPr>
      <w:r>
        <w:t>Subjects may attend an unsche</w:t>
      </w:r>
      <w:r w:rsidR="00194ACF">
        <w:t xml:space="preserve">duled visit in the event of </w:t>
      </w:r>
      <w:r>
        <w:t>safety concerns, or reported symptoms consistent with suspected recurrent TB disease. Additional clinical and laboratory investigations may be requested at the discretion of the investigator.</w:t>
      </w:r>
    </w:p>
    <w:p w14:paraId="272B3FD1" w14:textId="77777777" w:rsidR="00434BB2" w:rsidRPr="00434BB2" w:rsidRDefault="00434BB2" w:rsidP="00434BB2">
      <w:pPr>
        <w:pStyle w:val="BodyText"/>
      </w:pPr>
    </w:p>
    <w:p w14:paraId="698776BB" w14:textId="77777777" w:rsidR="00F43682" w:rsidRDefault="00F43682">
      <w:pPr>
        <w:pStyle w:val="Heading1"/>
      </w:pPr>
      <w:bookmarkStart w:id="240" w:name="_Ref102891490"/>
      <w:bookmarkStart w:id="241" w:name="_Toc389129984"/>
      <w:bookmarkStart w:id="242" w:name="_Toc440906285"/>
      <w:r>
        <w:t>Study Procedures/Evaluations</w:t>
      </w:r>
      <w:bookmarkEnd w:id="182"/>
      <w:bookmarkEnd w:id="183"/>
      <w:bookmarkEnd w:id="240"/>
      <w:bookmarkEnd w:id="241"/>
      <w:bookmarkEnd w:id="242"/>
    </w:p>
    <w:p w14:paraId="40F3D53F" w14:textId="69C66C54" w:rsidR="00E11C3C" w:rsidRPr="00E11C3C" w:rsidRDefault="00083DB2" w:rsidP="007030F1">
      <w:pPr>
        <w:pStyle w:val="Heading2"/>
        <w:rPr>
          <w:rFonts w:cs="Arial"/>
          <w:szCs w:val="22"/>
        </w:rPr>
      </w:pPr>
      <w:bookmarkStart w:id="243" w:name="_Toc389129985"/>
      <w:bookmarkStart w:id="244" w:name="_Toc440906286"/>
      <w:r w:rsidRPr="00752D5E">
        <w:t>Screening Visit</w:t>
      </w:r>
      <w:bookmarkEnd w:id="243"/>
      <w:bookmarkEnd w:id="244"/>
    </w:p>
    <w:p w14:paraId="2E7CB357" w14:textId="46FA1839" w:rsidR="00C26076" w:rsidRPr="00E11C3C" w:rsidRDefault="00E11C3C" w:rsidP="001772E7">
      <w:r>
        <w:t>More than one clinic visit will be required to complete screening</w:t>
      </w:r>
      <w:r w:rsidR="00D64885">
        <w:t>.</w:t>
      </w:r>
      <w:r>
        <w:t xml:space="preserve"> Screening will </w:t>
      </w:r>
      <w:r w:rsidR="00097AE0">
        <w:t>begin</w:t>
      </w:r>
      <w:r w:rsidRPr="00E11C3C">
        <w:t xml:space="preserve"> </w:t>
      </w:r>
      <w:r w:rsidRPr="00040765">
        <w:t xml:space="preserve">at </w:t>
      </w:r>
      <w:r w:rsidR="00040765">
        <w:t>approximately</w:t>
      </w:r>
      <w:r w:rsidR="00040765" w:rsidRPr="00040765">
        <w:t xml:space="preserve"> </w:t>
      </w:r>
      <w:r w:rsidRPr="00040765">
        <w:t xml:space="preserve">4 months </w:t>
      </w:r>
      <w:r w:rsidR="00040765">
        <w:t xml:space="preserve">(16 weeks +/- 1 week) </w:t>
      </w:r>
      <w:r w:rsidRPr="00040765">
        <w:t>after initiation of standard TB treatment</w:t>
      </w:r>
      <w:r w:rsidR="004118CA" w:rsidRPr="00040765">
        <w:t>.</w:t>
      </w:r>
    </w:p>
    <w:p w14:paraId="39EE0DA8" w14:textId="59ACC326" w:rsidR="007030F1" w:rsidRPr="009E0AB3" w:rsidRDefault="00434BB2" w:rsidP="009E0AB3">
      <w:pPr>
        <w:pStyle w:val="Heading3"/>
      </w:pPr>
      <w:bookmarkStart w:id="245" w:name="_Toc389129986"/>
      <w:bookmarkStart w:id="246" w:name="_Toc440906287"/>
      <w:r w:rsidRPr="009E0AB3">
        <w:t>First</w:t>
      </w:r>
      <w:r w:rsidR="007030F1" w:rsidRPr="009E0AB3">
        <w:t xml:space="preserve"> Screening Visit</w:t>
      </w:r>
      <w:bookmarkEnd w:id="245"/>
      <w:bookmarkEnd w:id="246"/>
      <w:r w:rsidR="00E50468" w:rsidRPr="009E0AB3">
        <w:t xml:space="preserve"> </w:t>
      </w:r>
    </w:p>
    <w:p w14:paraId="5D02829B" w14:textId="5C969FA2" w:rsidR="00752D5E" w:rsidRPr="001772E7" w:rsidRDefault="00752D5E" w:rsidP="009E0AB3">
      <w:pPr>
        <w:spacing w:before="120" w:after="120" w:line="276" w:lineRule="auto"/>
        <w:contextualSpacing/>
        <w:rPr>
          <w:rFonts w:cs="Arial"/>
          <w:b/>
          <w:szCs w:val="22"/>
        </w:rPr>
      </w:pPr>
      <w:r w:rsidRPr="001772E7">
        <w:rPr>
          <w:rFonts w:cs="Arial"/>
          <w:szCs w:val="22"/>
        </w:rPr>
        <w:t>The following procedures will take place</w:t>
      </w:r>
      <w:r w:rsidR="004118CA" w:rsidRPr="001772E7">
        <w:rPr>
          <w:rFonts w:cs="Arial"/>
          <w:szCs w:val="22"/>
        </w:rPr>
        <w:t xml:space="preserve"> </w:t>
      </w:r>
      <w:r w:rsidR="00040765">
        <w:t>approximately</w:t>
      </w:r>
      <w:r w:rsidR="00040765" w:rsidRPr="00040765">
        <w:t xml:space="preserve"> 4 months </w:t>
      </w:r>
      <w:r w:rsidR="00040765">
        <w:t xml:space="preserve">(16 weeks +/- 1 week) </w:t>
      </w:r>
      <w:r w:rsidR="00040765" w:rsidRPr="00040765">
        <w:t>after initiation of standard TB treatment</w:t>
      </w:r>
      <w:r w:rsidRPr="001772E7">
        <w:rPr>
          <w:rFonts w:cs="Arial"/>
          <w:szCs w:val="22"/>
        </w:rPr>
        <w:t>:</w:t>
      </w:r>
    </w:p>
    <w:p w14:paraId="7C8EC051" w14:textId="3926119A" w:rsidR="007030F1" w:rsidRPr="001772E7" w:rsidRDefault="00752D5E" w:rsidP="00DC5D25">
      <w:pPr>
        <w:pStyle w:val="ListParagraph"/>
        <w:numPr>
          <w:ilvl w:val="0"/>
          <w:numId w:val="5"/>
        </w:numPr>
        <w:spacing w:before="120" w:after="120"/>
        <w:ind w:left="720"/>
        <w:rPr>
          <w:rFonts w:ascii="Arial" w:hAnsi="Arial" w:cs="Arial"/>
        </w:rPr>
      </w:pPr>
      <w:r w:rsidRPr="001772E7">
        <w:rPr>
          <w:rFonts w:ascii="Arial" w:hAnsi="Arial" w:cs="Arial"/>
        </w:rPr>
        <w:t>Obtain w</w:t>
      </w:r>
      <w:r w:rsidR="007030F1" w:rsidRPr="001772E7">
        <w:rPr>
          <w:rFonts w:ascii="Arial" w:hAnsi="Arial" w:cs="Arial"/>
        </w:rPr>
        <w:t>ritten informed consent process</w:t>
      </w:r>
      <w:r w:rsidR="0099222D">
        <w:rPr>
          <w:rFonts w:ascii="Arial" w:hAnsi="Arial" w:cs="Arial"/>
        </w:rPr>
        <w:t>.</w:t>
      </w:r>
    </w:p>
    <w:p w14:paraId="0B74DEE9" w14:textId="047E0249" w:rsidR="007030F1" w:rsidRPr="001772E7" w:rsidRDefault="007030F1" w:rsidP="00DC5D25">
      <w:pPr>
        <w:pStyle w:val="ListParagraph"/>
        <w:numPr>
          <w:ilvl w:val="0"/>
          <w:numId w:val="5"/>
        </w:numPr>
        <w:spacing w:before="120" w:after="120"/>
        <w:ind w:left="720"/>
        <w:rPr>
          <w:rFonts w:ascii="Arial" w:hAnsi="Arial" w:cs="Arial"/>
        </w:rPr>
      </w:pPr>
      <w:r w:rsidRPr="001772E7">
        <w:rPr>
          <w:rFonts w:ascii="Arial" w:hAnsi="Arial" w:cs="Arial"/>
        </w:rPr>
        <w:t xml:space="preserve">Assign </w:t>
      </w:r>
      <w:r w:rsidR="00DB375A" w:rsidRPr="001772E7">
        <w:rPr>
          <w:rFonts w:ascii="Arial" w:hAnsi="Arial" w:cs="Arial"/>
        </w:rPr>
        <w:t xml:space="preserve">initial screening </w:t>
      </w:r>
      <w:r w:rsidRPr="001772E7">
        <w:rPr>
          <w:rFonts w:ascii="Arial" w:hAnsi="Arial" w:cs="Arial"/>
        </w:rPr>
        <w:t>SID</w:t>
      </w:r>
      <w:r w:rsidR="004A355C" w:rsidRPr="001772E7">
        <w:rPr>
          <w:rFonts w:ascii="Arial" w:hAnsi="Arial" w:cs="Arial"/>
        </w:rPr>
        <w:t xml:space="preserve"> #</w:t>
      </w:r>
      <w:r w:rsidR="0099222D">
        <w:rPr>
          <w:rFonts w:ascii="Arial" w:hAnsi="Arial" w:cs="Arial"/>
        </w:rPr>
        <w:t>.</w:t>
      </w:r>
    </w:p>
    <w:p w14:paraId="60EAF842" w14:textId="712A6CFA" w:rsidR="00421446" w:rsidRPr="001772E7" w:rsidRDefault="00421446" w:rsidP="00DC5D25">
      <w:pPr>
        <w:pStyle w:val="ListParagraph"/>
        <w:numPr>
          <w:ilvl w:val="0"/>
          <w:numId w:val="5"/>
        </w:numPr>
        <w:spacing w:before="120" w:after="120"/>
        <w:ind w:left="720"/>
        <w:rPr>
          <w:rFonts w:ascii="Arial" w:hAnsi="Arial" w:cs="Arial"/>
        </w:rPr>
      </w:pPr>
      <w:r w:rsidRPr="001772E7">
        <w:rPr>
          <w:rFonts w:ascii="Arial" w:hAnsi="Arial" w:cs="Arial"/>
        </w:rPr>
        <w:t xml:space="preserve">Review the </w:t>
      </w:r>
      <w:r w:rsidR="00F34896" w:rsidRPr="001772E7">
        <w:rPr>
          <w:rFonts w:ascii="Arial" w:hAnsi="Arial" w:cs="Arial"/>
        </w:rPr>
        <w:t>clinic</w:t>
      </w:r>
      <w:r w:rsidRPr="001772E7">
        <w:rPr>
          <w:rFonts w:ascii="Arial" w:hAnsi="Arial" w:cs="Arial"/>
        </w:rPr>
        <w:t xml:space="preserve"> medical records</w:t>
      </w:r>
      <w:r w:rsidR="0099222D">
        <w:rPr>
          <w:rFonts w:ascii="Arial" w:hAnsi="Arial" w:cs="Arial"/>
        </w:rPr>
        <w:t>.</w:t>
      </w:r>
    </w:p>
    <w:p w14:paraId="4FACF8C5" w14:textId="4B54A679" w:rsidR="00364B2D" w:rsidRDefault="00364B2D" w:rsidP="00DC5D25">
      <w:pPr>
        <w:pStyle w:val="ListParagraph"/>
        <w:numPr>
          <w:ilvl w:val="0"/>
          <w:numId w:val="5"/>
        </w:numPr>
        <w:spacing w:before="120" w:after="120"/>
        <w:ind w:left="720"/>
        <w:rPr>
          <w:rFonts w:ascii="Arial" w:hAnsi="Arial" w:cs="Arial"/>
        </w:rPr>
      </w:pPr>
      <w:r>
        <w:rPr>
          <w:rFonts w:ascii="Arial" w:hAnsi="Arial" w:cs="Arial"/>
        </w:rPr>
        <w:t>Confirm MTB diagnosis by Xpert or MGIT</w:t>
      </w:r>
    </w:p>
    <w:p w14:paraId="2A8A275C" w14:textId="499E0EDC" w:rsidR="00421446" w:rsidRPr="001772E7" w:rsidRDefault="00AA73C4" w:rsidP="00DC5D25">
      <w:pPr>
        <w:pStyle w:val="ListParagraph"/>
        <w:numPr>
          <w:ilvl w:val="0"/>
          <w:numId w:val="5"/>
        </w:numPr>
        <w:spacing w:before="120" w:after="120"/>
        <w:ind w:left="720"/>
        <w:rPr>
          <w:rFonts w:ascii="Arial" w:hAnsi="Arial" w:cs="Arial"/>
        </w:rPr>
      </w:pPr>
      <w:r>
        <w:rPr>
          <w:rFonts w:ascii="Arial" w:hAnsi="Arial" w:cs="Arial"/>
        </w:rPr>
        <w:t>Assess treatment adherence</w:t>
      </w:r>
      <w:r w:rsidRPr="001772E7">
        <w:rPr>
          <w:rFonts w:ascii="Arial" w:hAnsi="Arial" w:cs="Arial"/>
        </w:rPr>
        <w:t xml:space="preserve"> </w:t>
      </w:r>
      <w:r>
        <w:rPr>
          <w:rFonts w:ascii="Arial" w:hAnsi="Arial" w:cs="Arial"/>
        </w:rPr>
        <w:t>and d</w:t>
      </w:r>
      <w:r w:rsidR="00421446" w:rsidRPr="001772E7">
        <w:rPr>
          <w:rFonts w:ascii="Arial" w:hAnsi="Arial" w:cs="Arial"/>
        </w:rPr>
        <w:t>ocument</w:t>
      </w:r>
      <w:r>
        <w:rPr>
          <w:rFonts w:ascii="Arial" w:hAnsi="Arial" w:cs="Arial"/>
        </w:rPr>
        <w:t xml:space="preserve"> </w:t>
      </w:r>
      <w:r w:rsidR="00040765">
        <w:rPr>
          <w:rFonts w:ascii="Arial" w:hAnsi="Arial" w:cs="Arial"/>
        </w:rPr>
        <w:t xml:space="preserve">the start of TB treatment and </w:t>
      </w:r>
      <w:r w:rsidR="00421446" w:rsidRPr="001772E7">
        <w:rPr>
          <w:rFonts w:ascii="Arial" w:hAnsi="Arial" w:cs="Arial"/>
        </w:rPr>
        <w:t xml:space="preserve">the total number of </w:t>
      </w:r>
      <w:r w:rsidR="00364B2D">
        <w:rPr>
          <w:rFonts w:ascii="Arial" w:hAnsi="Arial" w:cs="Arial"/>
        </w:rPr>
        <w:t xml:space="preserve">weeks or </w:t>
      </w:r>
      <w:r w:rsidR="00421446" w:rsidRPr="001772E7">
        <w:rPr>
          <w:rFonts w:ascii="Arial" w:hAnsi="Arial" w:cs="Arial"/>
        </w:rPr>
        <w:t xml:space="preserve">days TB treatment </w:t>
      </w:r>
      <w:r w:rsidR="00E155A7" w:rsidRPr="001772E7">
        <w:rPr>
          <w:rFonts w:ascii="Arial" w:hAnsi="Arial" w:cs="Arial"/>
        </w:rPr>
        <w:t>received to date.</w:t>
      </w:r>
    </w:p>
    <w:p w14:paraId="6745F674" w14:textId="03A3B773" w:rsidR="004118CA" w:rsidRDefault="00421446" w:rsidP="00DC5D25">
      <w:pPr>
        <w:pStyle w:val="ListParagraph"/>
        <w:numPr>
          <w:ilvl w:val="0"/>
          <w:numId w:val="5"/>
        </w:numPr>
        <w:spacing w:before="120" w:after="120"/>
        <w:ind w:left="720"/>
        <w:rPr>
          <w:rFonts w:ascii="Arial" w:hAnsi="Arial" w:cs="Arial"/>
        </w:rPr>
      </w:pPr>
      <w:r w:rsidRPr="001772E7">
        <w:rPr>
          <w:rFonts w:ascii="Arial" w:hAnsi="Arial" w:cs="Arial"/>
        </w:rPr>
        <w:t xml:space="preserve">Obtain </w:t>
      </w:r>
      <w:r w:rsidR="00952F15">
        <w:rPr>
          <w:rFonts w:ascii="Arial" w:hAnsi="Arial" w:cs="Arial"/>
        </w:rPr>
        <w:t xml:space="preserve">screening </w:t>
      </w:r>
      <w:r w:rsidR="004118CA" w:rsidRPr="001772E7">
        <w:rPr>
          <w:rFonts w:ascii="Arial" w:hAnsi="Arial" w:cs="Arial"/>
        </w:rPr>
        <w:t>history including TB symptoms (confirm methods of contraception for females)</w:t>
      </w:r>
      <w:r w:rsidR="0099222D">
        <w:rPr>
          <w:rFonts w:ascii="Arial" w:hAnsi="Arial" w:cs="Arial"/>
        </w:rPr>
        <w:t>.</w:t>
      </w:r>
      <w:r w:rsidR="004118CA" w:rsidRPr="001772E7">
        <w:rPr>
          <w:rFonts w:ascii="Arial" w:hAnsi="Arial" w:cs="Arial"/>
        </w:rPr>
        <w:t xml:space="preserve"> </w:t>
      </w:r>
    </w:p>
    <w:p w14:paraId="2606D90B" w14:textId="77777777" w:rsidR="00A946AA" w:rsidRDefault="002F76CF" w:rsidP="00DC5D25">
      <w:pPr>
        <w:pStyle w:val="ListParagraph"/>
        <w:numPr>
          <w:ilvl w:val="0"/>
          <w:numId w:val="5"/>
        </w:numPr>
        <w:spacing w:before="120" w:after="120"/>
        <w:ind w:left="720"/>
        <w:rPr>
          <w:rFonts w:ascii="Arial" w:hAnsi="Arial" w:cs="Arial"/>
        </w:rPr>
      </w:pPr>
      <w:r w:rsidRPr="005178B6">
        <w:rPr>
          <w:rFonts w:ascii="Arial" w:hAnsi="Arial" w:cs="Arial"/>
        </w:rPr>
        <w:t xml:space="preserve">Obtain </w:t>
      </w:r>
      <w:r w:rsidR="00F45F34" w:rsidRPr="005178B6">
        <w:rPr>
          <w:rFonts w:ascii="Arial" w:hAnsi="Arial" w:cs="Arial"/>
        </w:rPr>
        <w:t xml:space="preserve">two </w:t>
      </w:r>
      <w:r w:rsidRPr="005178B6">
        <w:rPr>
          <w:rFonts w:ascii="Arial" w:hAnsi="Arial" w:cs="Arial"/>
        </w:rPr>
        <w:t>s</w:t>
      </w:r>
      <w:r w:rsidR="00DB375A" w:rsidRPr="005178B6">
        <w:rPr>
          <w:rFonts w:ascii="Arial" w:hAnsi="Arial" w:cs="Arial"/>
        </w:rPr>
        <w:t>putum sample</w:t>
      </w:r>
      <w:r w:rsidR="00F45F34" w:rsidRPr="005178B6">
        <w:rPr>
          <w:rFonts w:ascii="Arial" w:hAnsi="Arial" w:cs="Arial"/>
        </w:rPr>
        <w:t>s</w:t>
      </w:r>
      <w:r w:rsidR="00DB375A" w:rsidRPr="005178B6">
        <w:rPr>
          <w:rFonts w:ascii="Arial" w:hAnsi="Arial" w:cs="Arial"/>
        </w:rPr>
        <w:t xml:space="preserve"> (</w:t>
      </w:r>
      <w:r w:rsidR="00F45F34" w:rsidRPr="005178B6">
        <w:rPr>
          <w:rFonts w:ascii="Arial" w:hAnsi="Arial" w:cs="Arial"/>
        </w:rPr>
        <w:t>Xpert</w:t>
      </w:r>
      <w:r w:rsidR="00F45F34" w:rsidRPr="005178B6">
        <w:rPr>
          <w:rFonts w:ascii="Arial" w:hAnsi="Arial" w:cs="Arial"/>
          <w:sz w:val="20"/>
        </w:rPr>
        <w:t xml:space="preserve"> </w:t>
      </w:r>
      <w:r w:rsidR="00F45F34" w:rsidRPr="00DC58B2">
        <w:rPr>
          <w:rFonts w:ascii="Arial" w:hAnsi="Arial" w:cs="Arial"/>
        </w:rPr>
        <w:t>MTB/RIF</w:t>
      </w:r>
      <w:r w:rsidR="00DB375A" w:rsidRPr="00DC58B2">
        <w:rPr>
          <w:rFonts w:ascii="Arial" w:hAnsi="Arial" w:cs="Arial"/>
        </w:rPr>
        <w:t xml:space="preserve"> and MG</w:t>
      </w:r>
      <w:r w:rsidR="00DB375A" w:rsidRPr="005178B6">
        <w:rPr>
          <w:rFonts w:ascii="Arial" w:hAnsi="Arial" w:cs="Arial"/>
        </w:rPr>
        <w:t>IT culture)</w:t>
      </w:r>
      <w:r w:rsidR="00421446" w:rsidRPr="005178B6">
        <w:rPr>
          <w:rFonts w:ascii="Arial" w:hAnsi="Arial" w:cs="Arial"/>
        </w:rPr>
        <w:t xml:space="preserve"> to assess cure.</w:t>
      </w:r>
    </w:p>
    <w:p w14:paraId="2BAFC5CE" w14:textId="3AC15739" w:rsidR="004118CA" w:rsidRPr="001772E7" w:rsidRDefault="00421446" w:rsidP="00DC5D25">
      <w:pPr>
        <w:pStyle w:val="ListParagraph"/>
        <w:numPr>
          <w:ilvl w:val="0"/>
          <w:numId w:val="5"/>
        </w:numPr>
        <w:spacing w:before="120" w:after="120"/>
        <w:ind w:left="720"/>
        <w:rPr>
          <w:rFonts w:ascii="Arial" w:hAnsi="Arial" w:cs="Arial"/>
        </w:rPr>
      </w:pPr>
      <w:r w:rsidRPr="001772E7">
        <w:rPr>
          <w:rFonts w:ascii="Arial" w:hAnsi="Arial" w:cs="Arial"/>
        </w:rPr>
        <w:t xml:space="preserve">Provide </w:t>
      </w:r>
      <w:r w:rsidR="004118CA" w:rsidRPr="001772E7">
        <w:rPr>
          <w:rFonts w:ascii="Arial" w:hAnsi="Arial" w:cs="Arial"/>
        </w:rPr>
        <w:t>HIV counselling</w:t>
      </w:r>
      <w:r w:rsidR="0099222D">
        <w:rPr>
          <w:rFonts w:ascii="Arial" w:hAnsi="Arial" w:cs="Arial"/>
        </w:rPr>
        <w:t>.</w:t>
      </w:r>
      <w:r w:rsidR="004118CA" w:rsidRPr="001772E7">
        <w:rPr>
          <w:rFonts w:ascii="Arial" w:hAnsi="Arial" w:cs="Arial"/>
        </w:rPr>
        <w:t xml:space="preserve"> </w:t>
      </w:r>
    </w:p>
    <w:p w14:paraId="2A913C68" w14:textId="09FB86FB" w:rsidR="004118CA" w:rsidRPr="001772E7" w:rsidRDefault="004118CA" w:rsidP="00DC5D25">
      <w:pPr>
        <w:pStyle w:val="ListParagraph"/>
        <w:numPr>
          <w:ilvl w:val="0"/>
          <w:numId w:val="5"/>
        </w:numPr>
        <w:spacing w:before="120" w:after="120"/>
        <w:ind w:left="720"/>
        <w:rPr>
          <w:rFonts w:ascii="Arial" w:hAnsi="Arial" w:cs="Arial"/>
        </w:rPr>
      </w:pPr>
      <w:r w:rsidRPr="001772E7">
        <w:rPr>
          <w:rFonts w:ascii="Arial" w:hAnsi="Arial" w:cs="Arial"/>
        </w:rPr>
        <w:t>HIV serology</w:t>
      </w:r>
      <w:r w:rsidR="0099222D">
        <w:rPr>
          <w:rFonts w:ascii="Arial" w:hAnsi="Arial" w:cs="Arial"/>
        </w:rPr>
        <w:t>.</w:t>
      </w:r>
    </w:p>
    <w:p w14:paraId="20C72A3D" w14:textId="64C4E6AE" w:rsidR="004118CA" w:rsidRDefault="004118CA" w:rsidP="00DC5D25">
      <w:pPr>
        <w:pStyle w:val="ListParagraph"/>
        <w:numPr>
          <w:ilvl w:val="0"/>
          <w:numId w:val="5"/>
        </w:numPr>
        <w:spacing w:before="120" w:after="120"/>
        <w:ind w:left="720"/>
        <w:rPr>
          <w:rFonts w:ascii="Arial" w:hAnsi="Arial" w:cs="Arial"/>
        </w:rPr>
      </w:pPr>
      <w:r w:rsidRPr="001772E7">
        <w:rPr>
          <w:rFonts w:ascii="Arial" w:hAnsi="Arial" w:cs="Arial"/>
        </w:rPr>
        <w:t>Pregnancy test (serum BHCG)</w:t>
      </w:r>
      <w:r w:rsidR="0099222D">
        <w:rPr>
          <w:rFonts w:ascii="Arial" w:hAnsi="Arial" w:cs="Arial"/>
        </w:rPr>
        <w:t>.</w:t>
      </w:r>
    </w:p>
    <w:p w14:paraId="5F16020C" w14:textId="2549DD93" w:rsidR="006B328C" w:rsidRPr="001772E7" w:rsidRDefault="006B328C" w:rsidP="00DC5D25">
      <w:pPr>
        <w:pStyle w:val="ListParagraph"/>
        <w:numPr>
          <w:ilvl w:val="0"/>
          <w:numId w:val="5"/>
        </w:numPr>
        <w:spacing w:before="120" w:after="120"/>
        <w:ind w:left="720"/>
        <w:rPr>
          <w:rFonts w:ascii="Arial" w:hAnsi="Arial" w:cs="Arial"/>
        </w:rPr>
      </w:pPr>
      <w:r>
        <w:rPr>
          <w:rFonts w:ascii="Arial" w:hAnsi="Arial" w:cs="Arial"/>
        </w:rPr>
        <w:t xml:space="preserve">Perform symptom directed physical exam </w:t>
      </w:r>
      <w:r w:rsidR="00040765">
        <w:rPr>
          <w:rFonts w:ascii="Arial" w:hAnsi="Arial" w:cs="Arial"/>
        </w:rPr>
        <w:t xml:space="preserve">including </w:t>
      </w:r>
      <w:r>
        <w:rPr>
          <w:rFonts w:ascii="Arial" w:hAnsi="Arial" w:cs="Arial"/>
        </w:rPr>
        <w:t>vital</w:t>
      </w:r>
      <w:r w:rsidR="00040765">
        <w:rPr>
          <w:rFonts w:ascii="Arial" w:hAnsi="Arial" w:cs="Arial"/>
        </w:rPr>
        <w:t xml:space="preserve"> signs</w:t>
      </w:r>
    </w:p>
    <w:p w14:paraId="3B36B8F9" w14:textId="70D2835D" w:rsidR="007030F1" w:rsidRPr="001772E7" w:rsidRDefault="007030F1" w:rsidP="00DC5D25">
      <w:pPr>
        <w:pStyle w:val="ListParagraph"/>
        <w:numPr>
          <w:ilvl w:val="0"/>
          <w:numId w:val="5"/>
        </w:numPr>
        <w:spacing w:before="120" w:after="120"/>
        <w:ind w:left="720"/>
        <w:rPr>
          <w:rFonts w:ascii="Arial" w:hAnsi="Arial" w:cs="Arial"/>
        </w:rPr>
      </w:pPr>
      <w:r w:rsidRPr="001772E7">
        <w:rPr>
          <w:rFonts w:ascii="Arial" w:hAnsi="Arial" w:cs="Arial"/>
        </w:rPr>
        <w:t>Concomitant medications</w:t>
      </w:r>
      <w:r w:rsidR="0099222D">
        <w:rPr>
          <w:rFonts w:ascii="Arial" w:hAnsi="Arial" w:cs="Arial"/>
        </w:rPr>
        <w:t>.</w:t>
      </w:r>
    </w:p>
    <w:p w14:paraId="6A42565C" w14:textId="262A783B" w:rsidR="00DB375A" w:rsidRPr="009E0AB3" w:rsidRDefault="002F76CF" w:rsidP="00DC5D25">
      <w:pPr>
        <w:pStyle w:val="ListParagraph"/>
        <w:numPr>
          <w:ilvl w:val="0"/>
          <w:numId w:val="5"/>
        </w:numPr>
        <w:spacing w:before="120" w:after="120"/>
        <w:ind w:left="720"/>
        <w:rPr>
          <w:rFonts w:ascii="Arial" w:hAnsi="Arial" w:cs="Arial"/>
          <w:b/>
        </w:rPr>
      </w:pPr>
      <w:r w:rsidRPr="009E0AB3">
        <w:rPr>
          <w:rFonts w:ascii="Arial" w:hAnsi="Arial" w:cs="Arial"/>
        </w:rPr>
        <w:t xml:space="preserve">Upon receipt of sputum and </w:t>
      </w:r>
      <w:r w:rsidR="00B258F1" w:rsidRPr="009E0AB3">
        <w:rPr>
          <w:rFonts w:ascii="Arial" w:hAnsi="Arial" w:cs="Arial"/>
        </w:rPr>
        <w:t xml:space="preserve">serology </w:t>
      </w:r>
      <w:r w:rsidRPr="009E0AB3">
        <w:rPr>
          <w:rFonts w:ascii="Arial" w:hAnsi="Arial" w:cs="Arial"/>
        </w:rPr>
        <w:t>results, v</w:t>
      </w:r>
      <w:r w:rsidR="00DB375A" w:rsidRPr="009E0AB3">
        <w:rPr>
          <w:rFonts w:ascii="Arial" w:hAnsi="Arial" w:cs="Arial"/>
        </w:rPr>
        <w:t>erify eligibility criteria</w:t>
      </w:r>
      <w:r w:rsidR="0099222D" w:rsidRPr="009E0AB3">
        <w:rPr>
          <w:rFonts w:ascii="Arial" w:hAnsi="Arial" w:cs="Arial"/>
        </w:rPr>
        <w:t>.</w:t>
      </w:r>
      <w:r w:rsidR="00DB375A" w:rsidRPr="009E0AB3">
        <w:rPr>
          <w:rFonts w:ascii="Arial" w:hAnsi="Arial" w:cs="Arial"/>
        </w:rPr>
        <w:t xml:space="preserve"> </w:t>
      </w:r>
    </w:p>
    <w:p w14:paraId="6C5B0EEE" w14:textId="2FAC5149" w:rsidR="007030F1" w:rsidRDefault="004118CA" w:rsidP="009E0AB3">
      <w:pPr>
        <w:pStyle w:val="Heading3"/>
      </w:pPr>
      <w:bookmarkStart w:id="247" w:name="_Toc389129987"/>
      <w:bookmarkStart w:id="248" w:name="_Toc440906288"/>
      <w:r>
        <w:t>Second Screening Visit</w:t>
      </w:r>
      <w:bookmarkEnd w:id="247"/>
      <w:bookmarkEnd w:id="248"/>
    </w:p>
    <w:p w14:paraId="73646764" w14:textId="77777777" w:rsidR="00DA486E" w:rsidRPr="00C26076" w:rsidRDefault="00DA486E" w:rsidP="00DA486E">
      <w:pPr>
        <w:pStyle w:val="BodyText2"/>
        <w:spacing w:before="120" w:after="120" w:line="276" w:lineRule="auto"/>
        <w:ind w:left="0"/>
        <w:contextualSpacing/>
        <w:rPr>
          <w:rFonts w:cs="Arial"/>
        </w:rPr>
      </w:pPr>
      <w:r>
        <w:rPr>
          <w:rFonts w:cs="Arial"/>
        </w:rPr>
        <w:t>Note on timing of 2</w:t>
      </w:r>
      <w:r w:rsidRPr="00A25BA0">
        <w:rPr>
          <w:rFonts w:cs="Arial"/>
          <w:vertAlign w:val="superscript"/>
        </w:rPr>
        <w:t>nd</w:t>
      </w:r>
      <w:r>
        <w:rPr>
          <w:rFonts w:cs="Arial"/>
        </w:rPr>
        <w:t xml:space="preserve"> screening visit: sufficient time must be allowed to obtain a confirmatory MGIT culture result, if necessary, prior to the anticipated end of TB treatment + 28 days.</w:t>
      </w:r>
    </w:p>
    <w:p w14:paraId="361654DA" w14:textId="77777777" w:rsidR="00722319" w:rsidRDefault="00722319" w:rsidP="009E0AB3">
      <w:pPr>
        <w:pStyle w:val="BodyText2"/>
        <w:spacing w:before="120" w:after="120" w:line="276" w:lineRule="auto"/>
        <w:ind w:left="0"/>
        <w:contextualSpacing/>
      </w:pPr>
    </w:p>
    <w:p w14:paraId="7C58C2FC" w14:textId="61FDA0AF" w:rsidR="007030F1" w:rsidRDefault="00E155A7" w:rsidP="009E0AB3">
      <w:pPr>
        <w:pStyle w:val="BodyText2"/>
        <w:spacing w:before="120" w:after="120" w:line="276" w:lineRule="auto"/>
        <w:ind w:left="0"/>
        <w:contextualSpacing/>
      </w:pPr>
      <w:r>
        <w:t xml:space="preserve">The following procedures will take place </w:t>
      </w:r>
      <w:r w:rsidR="00040765">
        <w:t>14</w:t>
      </w:r>
      <w:r w:rsidR="00722319">
        <w:t xml:space="preserve"> to 28</w:t>
      </w:r>
      <w:r w:rsidR="00040765">
        <w:t xml:space="preserve"> </w:t>
      </w:r>
      <w:r>
        <w:t>days after the first screening evaluation</w:t>
      </w:r>
      <w:r w:rsidR="00945E6B">
        <w:t>:</w:t>
      </w:r>
    </w:p>
    <w:p w14:paraId="07058FEA" w14:textId="703C713B" w:rsidR="00AA73C4" w:rsidRDefault="00D3740A" w:rsidP="00DC5D25">
      <w:pPr>
        <w:pStyle w:val="ListParagraph"/>
        <w:numPr>
          <w:ilvl w:val="0"/>
          <w:numId w:val="7"/>
        </w:numPr>
        <w:spacing w:before="120" w:after="120"/>
        <w:ind w:left="720"/>
        <w:rPr>
          <w:rFonts w:ascii="Arial" w:hAnsi="Arial" w:cs="Arial"/>
        </w:rPr>
      </w:pPr>
      <w:r>
        <w:rPr>
          <w:rFonts w:ascii="Arial" w:hAnsi="Arial" w:cs="Arial"/>
        </w:rPr>
        <w:t xml:space="preserve">Screen for </w:t>
      </w:r>
      <w:r w:rsidR="00AA73C4" w:rsidRPr="00AA73C4">
        <w:rPr>
          <w:rFonts w:ascii="Arial" w:hAnsi="Arial" w:cs="Arial"/>
        </w:rPr>
        <w:t xml:space="preserve">TB symptoms </w:t>
      </w:r>
      <w:r>
        <w:rPr>
          <w:rFonts w:ascii="Arial" w:hAnsi="Arial" w:cs="Arial"/>
        </w:rPr>
        <w:t>and confirm TB treatment adherence</w:t>
      </w:r>
      <w:r w:rsidR="0099222D">
        <w:rPr>
          <w:rFonts w:ascii="Arial" w:hAnsi="Arial" w:cs="Arial"/>
        </w:rPr>
        <w:t>.</w:t>
      </w:r>
    </w:p>
    <w:p w14:paraId="480BFDAF" w14:textId="77777777" w:rsidR="006B328C" w:rsidRDefault="00092E80" w:rsidP="000B7056">
      <w:pPr>
        <w:pStyle w:val="ListParagraph"/>
        <w:numPr>
          <w:ilvl w:val="0"/>
          <w:numId w:val="7"/>
        </w:numPr>
        <w:spacing w:before="120" w:after="120"/>
        <w:ind w:left="720"/>
        <w:rPr>
          <w:rFonts w:ascii="Arial" w:hAnsi="Arial" w:cs="Arial"/>
        </w:rPr>
      </w:pPr>
      <w:r>
        <w:rPr>
          <w:rFonts w:ascii="Arial" w:hAnsi="Arial" w:cs="Arial"/>
        </w:rPr>
        <w:t>Pregnancy test (urine BHCG).</w:t>
      </w:r>
    </w:p>
    <w:p w14:paraId="285DAF57" w14:textId="6C0486A4" w:rsidR="006B328C" w:rsidRPr="006B328C" w:rsidRDefault="006B328C" w:rsidP="006B328C">
      <w:pPr>
        <w:pStyle w:val="ListParagraph"/>
        <w:numPr>
          <w:ilvl w:val="0"/>
          <w:numId w:val="7"/>
        </w:numPr>
        <w:spacing w:before="120" w:after="120"/>
        <w:ind w:left="720"/>
        <w:rPr>
          <w:rFonts w:ascii="Arial" w:hAnsi="Arial" w:cs="Arial"/>
        </w:rPr>
      </w:pPr>
      <w:r w:rsidRPr="006B328C">
        <w:rPr>
          <w:rFonts w:ascii="Arial" w:hAnsi="Arial" w:cs="Arial"/>
        </w:rPr>
        <w:t xml:space="preserve">Perform symptom directed physical exam </w:t>
      </w:r>
      <w:r w:rsidR="00040765">
        <w:rPr>
          <w:rFonts w:ascii="Arial" w:hAnsi="Arial" w:cs="Arial"/>
        </w:rPr>
        <w:t>including</w:t>
      </w:r>
      <w:r w:rsidRPr="006B328C">
        <w:rPr>
          <w:rFonts w:ascii="Arial" w:hAnsi="Arial" w:cs="Arial"/>
        </w:rPr>
        <w:t xml:space="preserve"> vital</w:t>
      </w:r>
      <w:r w:rsidR="00040765">
        <w:rPr>
          <w:rFonts w:ascii="Arial" w:hAnsi="Arial" w:cs="Arial"/>
        </w:rPr>
        <w:t xml:space="preserve"> signs</w:t>
      </w:r>
    </w:p>
    <w:p w14:paraId="101417E4" w14:textId="0D305E62" w:rsidR="002D39E9" w:rsidRPr="00AA73C4" w:rsidRDefault="002D39E9" w:rsidP="00DC5D25">
      <w:pPr>
        <w:pStyle w:val="ListParagraph"/>
        <w:numPr>
          <w:ilvl w:val="0"/>
          <w:numId w:val="7"/>
        </w:numPr>
        <w:spacing w:before="120" w:after="120"/>
        <w:ind w:left="720"/>
        <w:rPr>
          <w:rFonts w:ascii="Arial" w:hAnsi="Arial" w:cs="Arial"/>
        </w:rPr>
      </w:pPr>
      <w:r w:rsidRPr="00C26076">
        <w:rPr>
          <w:rFonts w:ascii="Arial" w:hAnsi="Arial" w:cs="Arial"/>
        </w:rPr>
        <w:t xml:space="preserve">Concomitant </w:t>
      </w:r>
      <w:r>
        <w:rPr>
          <w:rFonts w:ascii="Arial" w:hAnsi="Arial" w:cs="Arial"/>
        </w:rPr>
        <w:t>medications.</w:t>
      </w:r>
    </w:p>
    <w:p w14:paraId="11BC9566" w14:textId="4E927DE4" w:rsidR="00801892" w:rsidRDefault="00801892" w:rsidP="00DC5D25">
      <w:pPr>
        <w:pStyle w:val="ListParagraph"/>
        <w:numPr>
          <w:ilvl w:val="0"/>
          <w:numId w:val="6"/>
        </w:numPr>
        <w:spacing w:before="120" w:after="120"/>
        <w:ind w:left="720"/>
        <w:rPr>
          <w:rFonts w:ascii="Arial" w:hAnsi="Arial" w:cs="Arial"/>
        </w:rPr>
      </w:pPr>
      <w:r>
        <w:rPr>
          <w:rFonts w:ascii="Arial" w:hAnsi="Arial" w:cs="Arial"/>
        </w:rPr>
        <w:t>Two s</w:t>
      </w:r>
      <w:r w:rsidR="007030F1" w:rsidRPr="00C26076">
        <w:rPr>
          <w:rFonts w:ascii="Arial" w:hAnsi="Arial" w:cs="Arial"/>
        </w:rPr>
        <w:t xml:space="preserve">putum samples for </w:t>
      </w:r>
      <w:r w:rsidR="00194ACF" w:rsidRPr="00C26076">
        <w:rPr>
          <w:rFonts w:ascii="Arial" w:hAnsi="Arial" w:cs="Arial"/>
        </w:rPr>
        <w:t>Xpert MTB/RIF</w:t>
      </w:r>
      <w:r w:rsidR="00CE3D4B">
        <w:rPr>
          <w:rFonts w:ascii="Arial" w:hAnsi="Arial" w:cs="Arial"/>
        </w:rPr>
        <w:t xml:space="preserve"> </w:t>
      </w:r>
      <w:r w:rsidR="00CE3D4B" w:rsidRPr="00C26076">
        <w:rPr>
          <w:rFonts w:ascii="Arial" w:hAnsi="Arial" w:cs="Arial"/>
        </w:rPr>
        <w:t xml:space="preserve">and </w:t>
      </w:r>
      <w:r w:rsidR="00CE3D4B">
        <w:rPr>
          <w:rFonts w:ascii="Arial" w:hAnsi="Arial" w:cs="Arial"/>
        </w:rPr>
        <w:t xml:space="preserve">MGIT </w:t>
      </w:r>
      <w:r w:rsidR="00CE3D4B" w:rsidRPr="00C26076">
        <w:rPr>
          <w:rFonts w:ascii="Arial" w:hAnsi="Arial" w:cs="Arial"/>
        </w:rPr>
        <w:t>culture</w:t>
      </w:r>
      <w:r w:rsidRPr="00801892">
        <w:rPr>
          <w:rFonts w:ascii="Arial" w:hAnsi="Arial" w:cs="Arial"/>
        </w:rPr>
        <w:t xml:space="preserve"> </w:t>
      </w:r>
      <w:r w:rsidR="00057F1D">
        <w:rPr>
          <w:rFonts w:ascii="Arial" w:hAnsi="Arial" w:cs="Arial"/>
        </w:rPr>
        <w:t>to assess cure</w:t>
      </w:r>
      <w:r w:rsidR="000551C5">
        <w:rPr>
          <w:rFonts w:ascii="Arial" w:hAnsi="Arial" w:cs="Arial"/>
        </w:rPr>
        <w:t>.</w:t>
      </w:r>
      <w:r w:rsidR="00040765">
        <w:rPr>
          <w:rFonts w:ascii="Arial" w:hAnsi="Arial" w:cs="Arial"/>
        </w:rPr>
        <w:t xml:space="preserve"> </w:t>
      </w:r>
    </w:p>
    <w:p w14:paraId="3B9111B8" w14:textId="612DBAE7" w:rsidR="007030F1" w:rsidRPr="007346FE" w:rsidRDefault="00B258F1" w:rsidP="00DC5D25">
      <w:pPr>
        <w:pStyle w:val="ListParagraph"/>
        <w:numPr>
          <w:ilvl w:val="0"/>
          <w:numId w:val="6"/>
        </w:numPr>
        <w:spacing w:before="120" w:after="120"/>
        <w:ind w:left="720"/>
        <w:rPr>
          <w:rFonts w:ascii="Arial" w:hAnsi="Arial" w:cs="Arial"/>
          <w:b/>
        </w:rPr>
      </w:pPr>
      <w:r>
        <w:rPr>
          <w:rFonts w:ascii="Arial" w:hAnsi="Arial" w:cs="Arial"/>
        </w:rPr>
        <w:t>Upon receipt of sputum results r</w:t>
      </w:r>
      <w:r w:rsidR="00E155A7" w:rsidRPr="00075C83">
        <w:rPr>
          <w:rFonts w:ascii="Arial" w:hAnsi="Arial" w:cs="Arial"/>
        </w:rPr>
        <w:t xml:space="preserve">eview and </w:t>
      </w:r>
      <w:r w:rsidR="00403136">
        <w:rPr>
          <w:rFonts w:ascii="Arial" w:hAnsi="Arial" w:cs="Arial"/>
        </w:rPr>
        <w:t>re</w:t>
      </w:r>
      <w:r w:rsidR="00E155A7" w:rsidRPr="00075C83">
        <w:rPr>
          <w:rFonts w:ascii="Arial" w:hAnsi="Arial" w:cs="Arial"/>
        </w:rPr>
        <w:t>confirm study eligibility criteria are met.</w:t>
      </w:r>
    </w:p>
    <w:p w14:paraId="0067BA51" w14:textId="55437117" w:rsidR="00A43095" w:rsidRPr="00A43095" w:rsidRDefault="00916727" w:rsidP="009E0AB3">
      <w:pPr>
        <w:pStyle w:val="Heading3"/>
        <w:rPr>
          <w:rFonts w:cs="Arial"/>
        </w:rPr>
      </w:pPr>
      <w:bookmarkStart w:id="249" w:name="_Toc440906289"/>
      <w:r>
        <w:t>Third Screening Visit</w:t>
      </w:r>
      <w:bookmarkEnd w:id="249"/>
    </w:p>
    <w:p w14:paraId="3346701C" w14:textId="17567093" w:rsidR="005178B6" w:rsidRPr="00AA73C4" w:rsidRDefault="00E56FBB" w:rsidP="009E0AB3">
      <w:pPr>
        <w:pStyle w:val="ListParagraph"/>
        <w:spacing w:before="120" w:after="120"/>
        <w:ind w:left="0"/>
        <w:contextualSpacing w:val="0"/>
        <w:rPr>
          <w:rFonts w:ascii="Arial" w:hAnsi="Arial" w:cs="Arial"/>
        </w:rPr>
      </w:pPr>
      <w:r w:rsidRPr="00F83DDF">
        <w:rPr>
          <w:rFonts w:ascii="Arial" w:hAnsi="Arial" w:cs="Arial"/>
        </w:rPr>
        <w:t>The following procedures will take place at</w:t>
      </w:r>
      <w:r w:rsidR="00BB72D8">
        <w:rPr>
          <w:rFonts w:ascii="Arial" w:hAnsi="Arial" w:cs="Arial"/>
        </w:rPr>
        <w:t xml:space="preserve">, </w:t>
      </w:r>
      <w:r w:rsidR="005C3568">
        <w:rPr>
          <w:rFonts w:ascii="Arial" w:hAnsi="Arial" w:cs="Arial"/>
        </w:rPr>
        <w:t xml:space="preserve">or </w:t>
      </w:r>
      <w:r w:rsidR="00EA3812">
        <w:rPr>
          <w:rFonts w:ascii="Arial" w:hAnsi="Arial" w:cs="Arial"/>
        </w:rPr>
        <w:t xml:space="preserve">shortly </w:t>
      </w:r>
      <w:r w:rsidR="005C3568">
        <w:rPr>
          <w:rFonts w:ascii="Arial" w:hAnsi="Arial" w:cs="Arial"/>
        </w:rPr>
        <w:t xml:space="preserve">after, </w:t>
      </w:r>
      <w:r w:rsidRPr="00F83DDF">
        <w:rPr>
          <w:rFonts w:ascii="Arial" w:hAnsi="Arial" w:cs="Arial"/>
        </w:rPr>
        <w:t>end of</w:t>
      </w:r>
      <w:r w:rsidR="0099222D" w:rsidRPr="00F83DDF">
        <w:rPr>
          <w:rFonts w:ascii="Arial" w:hAnsi="Arial" w:cs="Arial"/>
        </w:rPr>
        <w:t xml:space="preserve"> TB</w:t>
      </w:r>
      <w:r w:rsidRPr="00F83DDF">
        <w:rPr>
          <w:rFonts w:ascii="Arial" w:hAnsi="Arial" w:cs="Arial"/>
        </w:rPr>
        <w:t xml:space="preserve"> treatment</w:t>
      </w:r>
      <w:r w:rsidR="005C3568">
        <w:rPr>
          <w:rFonts w:ascii="Arial" w:hAnsi="Arial" w:cs="Arial"/>
        </w:rPr>
        <w:t xml:space="preserve">, </w:t>
      </w:r>
      <w:r w:rsidRPr="00F83DDF">
        <w:rPr>
          <w:rFonts w:ascii="Arial" w:hAnsi="Arial" w:cs="Arial"/>
        </w:rPr>
        <w:t>and within 28 days of Day 0:</w:t>
      </w:r>
    </w:p>
    <w:p w14:paraId="34D01C75" w14:textId="213D3E50" w:rsidR="00267217" w:rsidRPr="00CF3F4D" w:rsidRDefault="00403136" w:rsidP="00DC5D25">
      <w:pPr>
        <w:pStyle w:val="ListParagraph"/>
        <w:numPr>
          <w:ilvl w:val="0"/>
          <w:numId w:val="5"/>
        </w:numPr>
        <w:spacing w:before="120" w:after="120"/>
        <w:ind w:left="720"/>
      </w:pPr>
      <w:r>
        <w:rPr>
          <w:rFonts w:ascii="Arial" w:hAnsi="Arial" w:cs="Arial"/>
        </w:rPr>
        <w:t xml:space="preserve">Screen for </w:t>
      </w:r>
      <w:r w:rsidRPr="00AA73C4">
        <w:rPr>
          <w:rFonts w:ascii="Arial" w:hAnsi="Arial" w:cs="Arial"/>
        </w:rPr>
        <w:t xml:space="preserve">TB symptoms </w:t>
      </w:r>
      <w:r>
        <w:rPr>
          <w:rFonts w:ascii="Arial" w:hAnsi="Arial" w:cs="Arial"/>
        </w:rPr>
        <w:t>and confirm TB treatment adherence</w:t>
      </w:r>
      <w:r w:rsidR="0099222D">
        <w:rPr>
          <w:rFonts w:ascii="Arial" w:hAnsi="Arial" w:cs="Arial"/>
        </w:rPr>
        <w:t>.</w:t>
      </w:r>
      <w:r w:rsidR="00905220" w:rsidRPr="00905220">
        <w:rPr>
          <w:rFonts w:ascii="Arial" w:eastAsia="Times New Roman" w:hAnsi="Arial" w:cs="Times New Roman"/>
          <w:bCs/>
          <w:szCs w:val="20"/>
          <w:lang w:val="en-US"/>
        </w:rPr>
        <w:t xml:space="preserve"> </w:t>
      </w:r>
      <w:r w:rsidR="00905220">
        <w:rPr>
          <w:rFonts w:ascii="Arial" w:hAnsi="Arial" w:cs="Arial"/>
          <w:bCs/>
          <w:lang w:val="en-US"/>
        </w:rPr>
        <w:t>A</w:t>
      </w:r>
      <w:r w:rsidR="00905220" w:rsidRPr="00905220">
        <w:rPr>
          <w:rFonts w:ascii="Arial" w:hAnsi="Arial" w:cs="Arial"/>
          <w:bCs/>
          <w:lang w:val="en-US"/>
        </w:rPr>
        <w:t xml:space="preserve">dherence is defined as having completed </w:t>
      </w:r>
      <w:r w:rsidR="00905220" w:rsidRPr="00905220">
        <w:rPr>
          <w:rFonts w:ascii="Arial" w:hAnsi="Arial" w:cs="Arial"/>
          <w:lang w:val="en-US"/>
        </w:rPr>
        <w:t xml:space="preserve">24 weeks (-1/+4 weeks) of </w:t>
      </w:r>
      <w:r w:rsidR="00905220" w:rsidRPr="00905220">
        <w:rPr>
          <w:rFonts w:ascii="Arial" w:hAnsi="Arial" w:cs="Arial"/>
          <w:bCs/>
          <w:lang w:val="en-US"/>
        </w:rPr>
        <w:t xml:space="preserve">TB treatment </w:t>
      </w:r>
      <w:r w:rsidR="00905220" w:rsidRPr="00905220">
        <w:rPr>
          <w:rFonts w:ascii="Arial" w:hAnsi="Arial" w:cs="Arial"/>
          <w:bCs/>
          <w:iCs/>
          <w:lang w:val="en-US"/>
        </w:rPr>
        <w:t>from the start date of treatment</w:t>
      </w:r>
      <w:r w:rsidR="00905220">
        <w:rPr>
          <w:rFonts w:ascii="Arial" w:hAnsi="Arial" w:cs="Arial"/>
          <w:bCs/>
          <w:iCs/>
          <w:lang w:val="en-US"/>
        </w:rPr>
        <w:t>.</w:t>
      </w:r>
    </w:p>
    <w:p w14:paraId="311EBE46" w14:textId="06C0BBF9" w:rsidR="006B328C" w:rsidRPr="001772E7" w:rsidRDefault="006B328C" w:rsidP="006B328C">
      <w:pPr>
        <w:pStyle w:val="ListParagraph"/>
        <w:numPr>
          <w:ilvl w:val="0"/>
          <w:numId w:val="5"/>
        </w:numPr>
        <w:spacing w:before="120" w:after="120"/>
        <w:ind w:left="720"/>
        <w:rPr>
          <w:rFonts w:ascii="Arial" w:hAnsi="Arial" w:cs="Arial"/>
        </w:rPr>
      </w:pPr>
      <w:r>
        <w:rPr>
          <w:rFonts w:ascii="Arial" w:hAnsi="Arial" w:cs="Arial"/>
        </w:rPr>
        <w:t xml:space="preserve">Perform symptom directed physical exam </w:t>
      </w:r>
      <w:r w:rsidR="00F83DDF">
        <w:rPr>
          <w:rFonts w:ascii="Arial" w:hAnsi="Arial" w:cs="Arial"/>
        </w:rPr>
        <w:t>including</w:t>
      </w:r>
      <w:r>
        <w:rPr>
          <w:rFonts w:ascii="Arial" w:hAnsi="Arial" w:cs="Arial"/>
        </w:rPr>
        <w:t xml:space="preserve"> vital</w:t>
      </w:r>
      <w:r w:rsidR="00F83DDF">
        <w:rPr>
          <w:rFonts w:ascii="Arial" w:hAnsi="Arial" w:cs="Arial"/>
        </w:rPr>
        <w:t xml:space="preserve"> signs.</w:t>
      </w:r>
    </w:p>
    <w:p w14:paraId="13A18D6D" w14:textId="27BCEF3D" w:rsidR="002D39E9" w:rsidRPr="00267217" w:rsidRDefault="002D39E9" w:rsidP="00DC5D25">
      <w:pPr>
        <w:pStyle w:val="ListParagraph"/>
        <w:numPr>
          <w:ilvl w:val="0"/>
          <w:numId w:val="5"/>
        </w:numPr>
        <w:spacing w:before="120" w:after="120"/>
        <w:ind w:left="720"/>
      </w:pPr>
      <w:r w:rsidRPr="00C26076">
        <w:rPr>
          <w:rFonts w:ascii="Arial" w:hAnsi="Arial" w:cs="Arial"/>
        </w:rPr>
        <w:t xml:space="preserve">Concomitant </w:t>
      </w:r>
      <w:r>
        <w:rPr>
          <w:rFonts w:ascii="Arial" w:hAnsi="Arial" w:cs="Arial"/>
        </w:rPr>
        <w:t>medications.</w:t>
      </w:r>
    </w:p>
    <w:p w14:paraId="6684595C" w14:textId="6A297C7C" w:rsidR="007346FE" w:rsidRPr="007346FE" w:rsidRDefault="009E41CD" w:rsidP="00DC5D25">
      <w:pPr>
        <w:pStyle w:val="ListParagraph"/>
        <w:numPr>
          <w:ilvl w:val="0"/>
          <w:numId w:val="5"/>
        </w:numPr>
        <w:spacing w:before="120" w:after="120"/>
        <w:ind w:left="720"/>
        <w:rPr>
          <w:rFonts w:ascii="Arial" w:hAnsi="Arial" w:cs="Arial"/>
        </w:rPr>
      </w:pPr>
      <w:r>
        <w:rPr>
          <w:rFonts w:ascii="Arial" w:hAnsi="Arial" w:cs="Arial"/>
        </w:rPr>
        <w:t>Draw safety blood (h</w:t>
      </w:r>
      <w:r w:rsidR="007346FE" w:rsidRPr="007346FE">
        <w:rPr>
          <w:rFonts w:ascii="Arial" w:hAnsi="Arial" w:cs="Arial"/>
        </w:rPr>
        <w:t>ematology and chemistry: tota</w:t>
      </w:r>
      <w:r w:rsidR="00A23DED">
        <w:rPr>
          <w:rFonts w:ascii="Arial" w:hAnsi="Arial" w:cs="Arial"/>
        </w:rPr>
        <w:t>l WBC count, h</w:t>
      </w:r>
      <w:r w:rsidR="007346FE" w:rsidRPr="007346FE">
        <w:rPr>
          <w:rFonts w:ascii="Arial" w:hAnsi="Arial" w:cs="Arial"/>
        </w:rPr>
        <w:t>emoglobin, platelet count, total bilirubin, creatinine, ALT, AST</w:t>
      </w:r>
      <w:r w:rsidR="00FC4BCE" w:rsidRPr="00FC4BCE">
        <w:rPr>
          <w:rFonts w:ascii="Arial" w:hAnsi="Arial" w:cs="Arial"/>
        </w:rPr>
        <w:t xml:space="preserve"> </w:t>
      </w:r>
      <w:r w:rsidR="00FC4BCE">
        <w:rPr>
          <w:rFonts w:ascii="Arial" w:hAnsi="Arial" w:cs="Arial"/>
        </w:rPr>
        <w:t>and CRP</w:t>
      </w:r>
      <w:r w:rsidR="007346FE" w:rsidRPr="007346FE">
        <w:rPr>
          <w:rFonts w:ascii="Arial" w:hAnsi="Arial" w:cs="Arial"/>
        </w:rPr>
        <w:t>)</w:t>
      </w:r>
      <w:r w:rsidR="0099222D">
        <w:rPr>
          <w:rFonts w:ascii="Arial" w:hAnsi="Arial" w:cs="Arial"/>
        </w:rPr>
        <w:t>.</w:t>
      </w:r>
      <w:r w:rsidR="007346FE" w:rsidRPr="007346FE">
        <w:rPr>
          <w:rFonts w:ascii="Arial" w:hAnsi="Arial" w:cs="Arial"/>
        </w:rPr>
        <w:t xml:space="preserve"> </w:t>
      </w:r>
    </w:p>
    <w:p w14:paraId="7E650CF0" w14:textId="636AD384" w:rsidR="007346FE" w:rsidRDefault="007346FE" w:rsidP="00DC5D25">
      <w:pPr>
        <w:pStyle w:val="ListParagraph"/>
        <w:numPr>
          <w:ilvl w:val="0"/>
          <w:numId w:val="5"/>
        </w:numPr>
        <w:spacing w:before="120" w:after="120"/>
        <w:ind w:left="720"/>
        <w:rPr>
          <w:rFonts w:ascii="Arial" w:hAnsi="Arial" w:cs="Arial"/>
        </w:rPr>
      </w:pPr>
      <w:r w:rsidRPr="007346FE">
        <w:rPr>
          <w:rFonts w:ascii="Arial" w:hAnsi="Arial" w:cs="Arial"/>
        </w:rPr>
        <w:t>Pregnancy test (serum BHCG)</w:t>
      </w:r>
      <w:r w:rsidR="0099222D">
        <w:rPr>
          <w:rFonts w:ascii="Arial" w:hAnsi="Arial" w:cs="Arial"/>
        </w:rPr>
        <w:t>.</w:t>
      </w:r>
    </w:p>
    <w:p w14:paraId="7581EA24" w14:textId="14414F17" w:rsidR="00F12D0C" w:rsidRPr="00F12D0C" w:rsidRDefault="00F12D0C" w:rsidP="00DC5D25">
      <w:pPr>
        <w:pStyle w:val="ListParagraph"/>
        <w:numPr>
          <w:ilvl w:val="0"/>
          <w:numId w:val="5"/>
        </w:numPr>
        <w:spacing w:before="120" w:after="120"/>
        <w:ind w:left="720"/>
        <w:rPr>
          <w:rFonts w:ascii="Arial" w:hAnsi="Arial" w:cs="Arial"/>
        </w:rPr>
      </w:pPr>
      <w:r w:rsidRPr="00E56FBB">
        <w:rPr>
          <w:rFonts w:ascii="Arial" w:hAnsi="Arial" w:cs="Arial"/>
        </w:rPr>
        <w:t>Obtain Chest X-Ray (CXR)</w:t>
      </w:r>
      <w:r w:rsidR="0099222D">
        <w:rPr>
          <w:rFonts w:ascii="Arial" w:hAnsi="Arial" w:cs="Arial"/>
        </w:rPr>
        <w:t>.</w:t>
      </w:r>
    </w:p>
    <w:p w14:paraId="39D05AFC" w14:textId="54998D05" w:rsidR="007346FE" w:rsidRDefault="00E56FBB" w:rsidP="00DC5D25">
      <w:pPr>
        <w:pStyle w:val="ListParagraph"/>
        <w:numPr>
          <w:ilvl w:val="0"/>
          <w:numId w:val="5"/>
        </w:numPr>
        <w:spacing w:before="120" w:after="120"/>
        <w:ind w:left="720"/>
        <w:rPr>
          <w:rFonts w:ascii="Arial" w:hAnsi="Arial" w:cs="Arial"/>
        </w:rPr>
      </w:pPr>
      <w:r>
        <w:rPr>
          <w:rFonts w:ascii="Arial" w:hAnsi="Arial" w:cs="Arial"/>
        </w:rPr>
        <w:t>Obtain two s</w:t>
      </w:r>
      <w:r w:rsidRPr="00C26076">
        <w:rPr>
          <w:rFonts w:ascii="Arial" w:hAnsi="Arial" w:cs="Arial"/>
        </w:rPr>
        <w:t xml:space="preserve">putum </w:t>
      </w:r>
      <w:r w:rsidRPr="00B0579D">
        <w:rPr>
          <w:rFonts w:ascii="Arial" w:hAnsi="Arial" w:cs="Arial"/>
        </w:rPr>
        <w:t xml:space="preserve">samples for </w:t>
      </w:r>
      <w:r w:rsidR="00B0579D" w:rsidRPr="00952F15">
        <w:rPr>
          <w:rFonts w:ascii="Arial" w:hAnsi="Arial" w:cs="Arial"/>
        </w:rPr>
        <w:t xml:space="preserve">Xpert MTB/RIF and </w:t>
      </w:r>
      <w:r w:rsidRPr="00B0579D">
        <w:rPr>
          <w:rFonts w:ascii="Arial" w:hAnsi="Arial" w:cs="Arial"/>
        </w:rPr>
        <w:t>MGIT</w:t>
      </w:r>
      <w:r>
        <w:rPr>
          <w:rFonts w:ascii="Arial" w:hAnsi="Arial" w:cs="Arial"/>
        </w:rPr>
        <w:t xml:space="preserve"> </w:t>
      </w:r>
      <w:r w:rsidRPr="00C26076">
        <w:rPr>
          <w:rFonts w:ascii="Arial" w:hAnsi="Arial" w:cs="Arial"/>
        </w:rPr>
        <w:t>culture</w:t>
      </w:r>
      <w:r w:rsidRPr="00801892">
        <w:rPr>
          <w:rFonts w:ascii="Arial" w:hAnsi="Arial" w:cs="Arial"/>
        </w:rPr>
        <w:t xml:space="preserve"> </w:t>
      </w:r>
      <w:r>
        <w:rPr>
          <w:rFonts w:ascii="Arial" w:hAnsi="Arial" w:cs="Arial"/>
        </w:rPr>
        <w:t xml:space="preserve">to rule out </w:t>
      </w:r>
      <w:r w:rsidR="002F20E6">
        <w:rPr>
          <w:rFonts w:ascii="Arial" w:hAnsi="Arial" w:cs="Arial"/>
        </w:rPr>
        <w:t>‘</w:t>
      </w:r>
      <w:r>
        <w:rPr>
          <w:rFonts w:ascii="Arial" w:hAnsi="Arial" w:cs="Arial"/>
        </w:rPr>
        <w:t>late exclusion</w:t>
      </w:r>
      <w:r w:rsidR="002F20E6">
        <w:rPr>
          <w:rFonts w:ascii="Arial" w:hAnsi="Arial" w:cs="Arial"/>
        </w:rPr>
        <w:t>’</w:t>
      </w:r>
      <w:r>
        <w:rPr>
          <w:rFonts w:ascii="Arial" w:hAnsi="Arial" w:cs="Arial"/>
        </w:rPr>
        <w:t xml:space="preserve"> after enrollment (may be obtained on Day 0)</w:t>
      </w:r>
      <w:r w:rsidR="0099222D">
        <w:rPr>
          <w:rFonts w:ascii="Arial" w:hAnsi="Arial" w:cs="Arial"/>
        </w:rPr>
        <w:t>.</w:t>
      </w:r>
    </w:p>
    <w:p w14:paraId="10E2C71C" w14:textId="254FC082" w:rsidR="00267217" w:rsidRPr="00D61226" w:rsidRDefault="00267217" w:rsidP="00DC5D25">
      <w:pPr>
        <w:pStyle w:val="ListParagraph"/>
        <w:numPr>
          <w:ilvl w:val="0"/>
          <w:numId w:val="5"/>
        </w:numPr>
        <w:spacing w:before="120" w:after="120"/>
        <w:ind w:left="720"/>
        <w:rPr>
          <w:rFonts w:ascii="Arial" w:hAnsi="Arial" w:cs="Arial"/>
          <w:b/>
        </w:rPr>
      </w:pPr>
      <w:r>
        <w:rPr>
          <w:rFonts w:ascii="Arial" w:hAnsi="Arial" w:cs="Arial"/>
        </w:rPr>
        <w:t>Upon receipt of sputum and lab results r</w:t>
      </w:r>
      <w:r w:rsidRPr="00075C83">
        <w:rPr>
          <w:rFonts w:ascii="Arial" w:hAnsi="Arial" w:cs="Arial"/>
        </w:rPr>
        <w:t xml:space="preserve">eview and </w:t>
      </w:r>
      <w:r w:rsidR="00D61226">
        <w:rPr>
          <w:rFonts w:ascii="Arial" w:hAnsi="Arial" w:cs="Arial"/>
        </w:rPr>
        <w:t xml:space="preserve">reconfirm </w:t>
      </w:r>
      <w:r w:rsidRPr="00075C83">
        <w:rPr>
          <w:rFonts w:ascii="Arial" w:hAnsi="Arial" w:cs="Arial"/>
        </w:rPr>
        <w:t>study eligibility criteria are met.</w:t>
      </w:r>
    </w:p>
    <w:p w14:paraId="69B7EE8E" w14:textId="280C0331" w:rsidR="007030F1" w:rsidRDefault="007030F1" w:rsidP="00752D5E">
      <w:pPr>
        <w:pStyle w:val="Heading2"/>
      </w:pPr>
      <w:bookmarkStart w:id="250" w:name="_Toc389129989"/>
      <w:bookmarkStart w:id="251" w:name="_Toc440906290"/>
      <w:r w:rsidRPr="00C26076">
        <w:t>Study Injection Phase</w:t>
      </w:r>
      <w:r w:rsidR="00194ACF">
        <w:t xml:space="preserve"> Visits</w:t>
      </w:r>
      <w:bookmarkEnd w:id="250"/>
      <w:bookmarkEnd w:id="251"/>
    </w:p>
    <w:p w14:paraId="5047A74F" w14:textId="1BD66EDE" w:rsidR="007030F1" w:rsidRPr="00C26076" w:rsidRDefault="007030F1" w:rsidP="009E0AB3">
      <w:pPr>
        <w:pStyle w:val="Heading3"/>
      </w:pPr>
      <w:bookmarkStart w:id="252" w:name="_Toc389129990"/>
      <w:bookmarkStart w:id="253" w:name="_Toc440906291"/>
      <w:r w:rsidRPr="00C26076">
        <w:t>Day 0</w:t>
      </w:r>
      <w:r w:rsidR="002F20E6">
        <w:t xml:space="preserve"> (within 28 days of </w:t>
      </w:r>
      <w:r w:rsidR="00F83DDF">
        <w:t xml:space="preserve">the </w:t>
      </w:r>
      <w:r w:rsidR="002F20E6">
        <w:t>end of TB treatment</w:t>
      </w:r>
      <w:r w:rsidR="00F83DDF">
        <w:t xml:space="preserve"> date, </w:t>
      </w:r>
      <w:r w:rsidR="00F83DDF" w:rsidRPr="00F83DDF">
        <w:rPr>
          <w:i/>
        </w:rPr>
        <w:t>and</w:t>
      </w:r>
      <w:r w:rsidR="00F83DDF">
        <w:t xml:space="preserve"> within 28 days of the 3</w:t>
      </w:r>
      <w:r w:rsidR="00F83DDF" w:rsidRPr="00F83DDF">
        <w:rPr>
          <w:vertAlign w:val="superscript"/>
        </w:rPr>
        <w:t>rd</w:t>
      </w:r>
      <w:r w:rsidR="00F83DDF">
        <w:t xml:space="preserve"> screening visit evaluation</w:t>
      </w:r>
      <w:r w:rsidR="002F20E6">
        <w:t>)</w:t>
      </w:r>
      <w:bookmarkEnd w:id="252"/>
      <w:bookmarkEnd w:id="253"/>
    </w:p>
    <w:p w14:paraId="67EA66DA" w14:textId="43D02C9B" w:rsidR="007030F1" w:rsidRPr="00C26076" w:rsidRDefault="003F0938" w:rsidP="009E0AB3">
      <w:pPr>
        <w:spacing w:before="120" w:after="120" w:line="276" w:lineRule="auto"/>
        <w:contextualSpacing/>
        <w:rPr>
          <w:rFonts w:cs="Arial"/>
          <w:b/>
          <w:i/>
          <w:szCs w:val="22"/>
        </w:rPr>
      </w:pPr>
      <w:r>
        <w:rPr>
          <w:rFonts w:cs="Arial"/>
          <w:b/>
          <w:i/>
          <w:szCs w:val="22"/>
        </w:rPr>
        <w:t>Pre-</w:t>
      </w:r>
      <w:r w:rsidR="007030F1" w:rsidRPr="00C26076">
        <w:rPr>
          <w:rFonts w:cs="Arial"/>
          <w:b/>
          <w:i/>
          <w:szCs w:val="22"/>
        </w:rPr>
        <w:t>injection:</w:t>
      </w:r>
    </w:p>
    <w:p w14:paraId="43269258" w14:textId="65645213" w:rsidR="00145746" w:rsidRDefault="00145746" w:rsidP="009E0AB3">
      <w:pPr>
        <w:pStyle w:val="ListParagraph"/>
        <w:numPr>
          <w:ilvl w:val="0"/>
          <w:numId w:val="16"/>
        </w:numPr>
        <w:spacing w:before="120" w:after="120"/>
        <w:ind w:left="720"/>
        <w:rPr>
          <w:rFonts w:ascii="Arial" w:hAnsi="Arial" w:cs="Arial"/>
        </w:rPr>
      </w:pPr>
      <w:r w:rsidRPr="00145746">
        <w:rPr>
          <w:rFonts w:ascii="Arial" w:hAnsi="Arial" w:cs="Arial"/>
        </w:rPr>
        <w:t xml:space="preserve">Review TB treatment </w:t>
      </w:r>
      <w:r w:rsidR="00116892">
        <w:rPr>
          <w:rFonts w:ascii="Arial" w:hAnsi="Arial" w:cs="Arial"/>
        </w:rPr>
        <w:t xml:space="preserve">record and </w:t>
      </w:r>
      <w:r w:rsidR="0087469C">
        <w:rPr>
          <w:rFonts w:ascii="Arial" w:hAnsi="Arial" w:cs="Arial"/>
        </w:rPr>
        <w:t xml:space="preserve">results of treatment </w:t>
      </w:r>
      <w:r w:rsidRPr="00145746">
        <w:rPr>
          <w:rFonts w:ascii="Arial" w:hAnsi="Arial" w:cs="Arial"/>
        </w:rPr>
        <w:t>phase sputum samples</w:t>
      </w:r>
      <w:r w:rsidR="00F34896">
        <w:rPr>
          <w:rFonts w:ascii="Arial" w:hAnsi="Arial" w:cs="Arial"/>
        </w:rPr>
        <w:t xml:space="preserve"> to confirm </w:t>
      </w:r>
      <w:r w:rsidR="0087469C">
        <w:rPr>
          <w:rFonts w:ascii="Arial" w:hAnsi="Arial" w:cs="Arial"/>
        </w:rPr>
        <w:t xml:space="preserve">treatment completion and </w:t>
      </w:r>
      <w:r w:rsidR="00F34896">
        <w:rPr>
          <w:rFonts w:ascii="Arial" w:hAnsi="Arial" w:cs="Arial"/>
        </w:rPr>
        <w:t>cure</w:t>
      </w:r>
      <w:r w:rsidR="0099222D">
        <w:rPr>
          <w:rFonts w:ascii="Arial" w:hAnsi="Arial" w:cs="Arial"/>
        </w:rPr>
        <w:t>.</w:t>
      </w:r>
    </w:p>
    <w:p w14:paraId="282535B4" w14:textId="55C96114" w:rsidR="00267217" w:rsidRPr="00267217" w:rsidRDefault="00267217" w:rsidP="009E0AB3">
      <w:pPr>
        <w:pStyle w:val="ListParagraph"/>
        <w:numPr>
          <w:ilvl w:val="0"/>
          <w:numId w:val="16"/>
        </w:numPr>
        <w:spacing w:before="120" w:after="120"/>
        <w:ind w:left="720"/>
        <w:rPr>
          <w:rFonts w:ascii="Arial" w:hAnsi="Arial" w:cs="Arial"/>
        </w:rPr>
      </w:pPr>
      <w:r w:rsidRPr="00AA73C4">
        <w:rPr>
          <w:rFonts w:ascii="Arial" w:hAnsi="Arial" w:cs="Arial"/>
        </w:rPr>
        <w:t xml:space="preserve">Obtain </w:t>
      </w:r>
      <w:r w:rsidR="0099222D">
        <w:rPr>
          <w:rFonts w:ascii="Arial" w:hAnsi="Arial" w:cs="Arial"/>
        </w:rPr>
        <w:t>m</w:t>
      </w:r>
      <w:r w:rsidRPr="00AA73C4">
        <w:rPr>
          <w:rFonts w:ascii="Arial" w:hAnsi="Arial" w:cs="Arial"/>
        </w:rPr>
        <w:t>edical history including TB symptoms (</w:t>
      </w:r>
      <w:r>
        <w:rPr>
          <w:rFonts w:ascii="Arial" w:hAnsi="Arial" w:cs="Arial"/>
        </w:rPr>
        <w:t>re</w:t>
      </w:r>
      <w:r w:rsidRPr="00AA73C4">
        <w:rPr>
          <w:rFonts w:ascii="Arial" w:hAnsi="Arial" w:cs="Arial"/>
        </w:rPr>
        <w:t>confirm methods of contraception for females)</w:t>
      </w:r>
      <w:r w:rsidR="0099222D">
        <w:rPr>
          <w:rFonts w:ascii="Arial" w:hAnsi="Arial" w:cs="Arial"/>
        </w:rPr>
        <w:t>.</w:t>
      </w:r>
    </w:p>
    <w:p w14:paraId="0DEBC87B" w14:textId="706ACB1A" w:rsidR="0064293F" w:rsidRDefault="0064293F" w:rsidP="009E0AB3">
      <w:pPr>
        <w:pStyle w:val="ListParagraph"/>
        <w:numPr>
          <w:ilvl w:val="0"/>
          <w:numId w:val="16"/>
        </w:numPr>
        <w:spacing w:before="120" w:after="120"/>
        <w:ind w:left="720"/>
        <w:rPr>
          <w:rFonts w:ascii="Arial" w:hAnsi="Arial" w:cs="Arial"/>
          <w:lang w:val="en-US"/>
        </w:rPr>
      </w:pPr>
      <w:r w:rsidRPr="00C26076">
        <w:rPr>
          <w:rFonts w:ascii="Arial" w:hAnsi="Arial" w:cs="Arial"/>
        </w:rPr>
        <w:t>Vital signs</w:t>
      </w:r>
      <w:r>
        <w:rPr>
          <w:rFonts w:ascii="Arial" w:hAnsi="Arial" w:cs="Arial"/>
        </w:rPr>
        <w:t xml:space="preserve"> (</w:t>
      </w:r>
      <w:r w:rsidR="00FC3A6C">
        <w:rPr>
          <w:rFonts w:ascii="Arial" w:hAnsi="Arial" w:cs="Arial"/>
          <w:lang w:val="en-US"/>
        </w:rPr>
        <w:t>axillary</w:t>
      </w:r>
      <w:r w:rsidR="00FC3A6C" w:rsidRPr="00B258F1">
        <w:rPr>
          <w:rFonts w:ascii="Arial" w:hAnsi="Arial" w:cs="Arial"/>
          <w:lang w:val="en-US"/>
        </w:rPr>
        <w:t xml:space="preserve"> </w:t>
      </w:r>
      <w:r w:rsidRPr="00B258F1">
        <w:rPr>
          <w:rFonts w:ascii="Arial" w:hAnsi="Arial" w:cs="Arial"/>
          <w:lang w:val="en-US"/>
        </w:rPr>
        <w:t>temperature must be &lt;</w:t>
      </w:r>
      <w:r>
        <w:rPr>
          <w:rFonts w:ascii="Arial" w:hAnsi="Arial" w:cs="Arial"/>
          <w:lang w:val="en-US"/>
        </w:rPr>
        <w:t>38.</w:t>
      </w:r>
      <w:r w:rsidR="000317FD">
        <w:rPr>
          <w:rFonts w:ascii="Arial" w:hAnsi="Arial" w:cs="Arial"/>
          <w:lang w:val="en-US"/>
        </w:rPr>
        <w:t>0</w:t>
      </w:r>
      <w:r w:rsidRPr="00B258F1">
        <w:rPr>
          <w:rFonts w:ascii="Arial" w:hAnsi="Arial" w:cs="Arial"/>
          <w:lang w:val="en-US"/>
        </w:rPr>
        <w:t>°C</w:t>
      </w:r>
      <w:r>
        <w:rPr>
          <w:rFonts w:ascii="Arial" w:hAnsi="Arial" w:cs="Arial"/>
          <w:lang w:val="en-US"/>
        </w:rPr>
        <w:t>).</w:t>
      </w:r>
    </w:p>
    <w:p w14:paraId="578B426E" w14:textId="796AA78E" w:rsidR="00F12D0C" w:rsidRPr="00D61226" w:rsidRDefault="00F12D0C" w:rsidP="009E0AB3">
      <w:pPr>
        <w:pStyle w:val="ListParagraph"/>
        <w:numPr>
          <w:ilvl w:val="0"/>
          <w:numId w:val="16"/>
        </w:numPr>
        <w:spacing w:before="120" w:after="120"/>
        <w:ind w:left="720"/>
        <w:rPr>
          <w:rFonts w:ascii="Arial" w:hAnsi="Arial" w:cs="Arial"/>
          <w:lang w:val="en-US"/>
        </w:rPr>
      </w:pPr>
      <w:r w:rsidRPr="00D61226">
        <w:rPr>
          <w:rFonts w:ascii="Arial" w:hAnsi="Arial" w:cs="Arial"/>
          <w:lang w:val="en-US"/>
        </w:rPr>
        <w:t>Perform physical exam, including height, weight, and assessment of clinical response to TB treatment by evaluating unexplained persistent or productive cough, fever, weight loss, fatigue, chest pain, or hemoptysis including chest radiography as indicated. Investigation for extra-pulmonary TB may include aspiration, biopsy, or radiological imaging, as clinically indicated.</w:t>
      </w:r>
    </w:p>
    <w:p w14:paraId="5F666199" w14:textId="076F3FF0" w:rsidR="00116892" w:rsidRDefault="00116892" w:rsidP="009E0AB3">
      <w:pPr>
        <w:pStyle w:val="ListParagraph"/>
        <w:numPr>
          <w:ilvl w:val="0"/>
          <w:numId w:val="16"/>
        </w:numPr>
        <w:spacing w:before="120" w:after="120"/>
        <w:ind w:left="720"/>
        <w:rPr>
          <w:rFonts w:ascii="Arial" w:hAnsi="Arial" w:cs="Arial"/>
        </w:rPr>
      </w:pPr>
      <w:r>
        <w:rPr>
          <w:rFonts w:ascii="Arial" w:hAnsi="Arial" w:cs="Arial"/>
        </w:rPr>
        <w:t xml:space="preserve">Obtain </w:t>
      </w:r>
      <w:r w:rsidRPr="00116892">
        <w:rPr>
          <w:rFonts w:ascii="Arial" w:hAnsi="Arial" w:cs="Arial"/>
        </w:rPr>
        <w:t>t</w:t>
      </w:r>
      <w:r w:rsidRPr="00D90F32">
        <w:rPr>
          <w:rFonts w:ascii="Arial" w:hAnsi="Arial" w:cs="Arial"/>
        </w:rPr>
        <w:t xml:space="preserve">wo sputum samples for </w:t>
      </w:r>
      <w:r w:rsidR="005F6E32" w:rsidRPr="005F6E32">
        <w:rPr>
          <w:rFonts w:ascii="Arial" w:hAnsi="Arial" w:cs="Arial"/>
        </w:rPr>
        <w:t>MGIT culture</w:t>
      </w:r>
      <w:r w:rsidR="00E56FBB">
        <w:rPr>
          <w:rFonts w:ascii="Arial" w:hAnsi="Arial" w:cs="Arial"/>
        </w:rPr>
        <w:t xml:space="preserve"> if not already done so at </w:t>
      </w:r>
      <w:r w:rsidR="00393727">
        <w:rPr>
          <w:rFonts w:ascii="Arial" w:hAnsi="Arial" w:cs="Arial"/>
        </w:rPr>
        <w:t>the 3</w:t>
      </w:r>
      <w:r w:rsidR="00393727" w:rsidRPr="000B7056">
        <w:rPr>
          <w:rFonts w:ascii="Arial" w:hAnsi="Arial" w:cs="Arial"/>
          <w:vertAlign w:val="superscript"/>
        </w:rPr>
        <w:t>rd</w:t>
      </w:r>
      <w:r w:rsidR="00393727">
        <w:rPr>
          <w:rFonts w:ascii="Arial" w:hAnsi="Arial" w:cs="Arial"/>
        </w:rPr>
        <w:t xml:space="preserve"> screening </w:t>
      </w:r>
      <w:r w:rsidR="00E56FBB">
        <w:rPr>
          <w:rFonts w:ascii="Arial" w:hAnsi="Arial" w:cs="Arial"/>
        </w:rPr>
        <w:t>visit</w:t>
      </w:r>
      <w:r w:rsidR="0099222D">
        <w:rPr>
          <w:rFonts w:ascii="Arial" w:hAnsi="Arial" w:cs="Arial"/>
        </w:rPr>
        <w:t>.</w:t>
      </w:r>
    </w:p>
    <w:p w14:paraId="7BE9C3B6" w14:textId="3266889A" w:rsidR="007030F1" w:rsidRPr="00C26076" w:rsidRDefault="007030F1" w:rsidP="009E0AB3">
      <w:pPr>
        <w:pStyle w:val="ListParagraph"/>
        <w:numPr>
          <w:ilvl w:val="0"/>
          <w:numId w:val="9"/>
        </w:numPr>
        <w:spacing w:before="120" w:after="120"/>
        <w:ind w:left="720"/>
        <w:rPr>
          <w:rFonts w:ascii="Arial" w:hAnsi="Arial" w:cs="Arial"/>
        </w:rPr>
      </w:pPr>
      <w:r w:rsidRPr="00C26076">
        <w:rPr>
          <w:rFonts w:ascii="Arial" w:hAnsi="Arial" w:cs="Arial"/>
        </w:rPr>
        <w:t xml:space="preserve">Concomitant </w:t>
      </w:r>
      <w:r w:rsidR="000A5076">
        <w:rPr>
          <w:rFonts w:ascii="Arial" w:hAnsi="Arial" w:cs="Arial"/>
        </w:rPr>
        <w:t>medications</w:t>
      </w:r>
      <w:r w:rsidR="0099222D">
        <w:rPr>
          <w:rFonts w:ascii="Arial" w:hAnsi="Arial" w:cs="Arial"/>
        </w:rPr>
        <w:t>.</w:t>
      </w:r>
      <w:r w:rsidRPr="00C26076">
        <w:rPr>
          <w:rFonts w:ascii="Arial" w:hAnsi="Arial" w:cs="Arial"/>
        </w:rPr>
        <w:t xml:space="preserve"> </w:t>
      </w:r>
    </w:p>
    <w:p w14:paraId="1B5B326E" w14:textId="054F7FBC" w:rsidR="00F12D0C" w:rsidRPr="00C26076" w:rsidRDefault="00952F15" w:rsidP="009E0AB3">
      <w:pPr>
        <w:pStyle w:val="ListParagraph"/>
        <w:numPr>
          <w:ilvl w:val="0"/>
          <w:numId w:val="9"/>
        </w:numPr>
        <w:spacing w:before="120" w:after="120"/>
        <w:ind w:left="720"/>
        <w:rPr>
          <w:rFonts w:ascii="Arial" w:hAnsi="Arial" w:cs="Arial"/>
        </w:rPr>
      </w:pPr>
      <w:r>
        <w:rPr>
          <w:rFonts w:ascii="Arial" w:hAnsi="Arial" w:cs="Arial"/>
        </w:rPr>
        <w:t>BMI</w:t>
      </w:r>
      <w:r w:rsidR="0099222D">
        <w:rPr>
          <w:rFonts w:ascii="Arial" w:hAnsi="Arial" w:cs="Arial"/>
        </w:rPr>
        <w:t>.</w:t>
      </w:r>
    </w:p>
    <w:p w14:paraId="5D761E9C" w14:textId="2F1C01F7" w:rsidR="006943F6" w:rsidRDefault="003F0938" w:rsidP="009E0AB3">
      <w:pPr>
        <w:pStyle w:val="ListParagraph"/>
        <w:numPr>
          <w:ilvl w:val="0"/>
          <w:numId w:val="9"/>
        </w:numPr>
        <w:spacing w:before="120" w:after="120"/>
        <w:ind w:left="720"/>
        <w:rPr>
          <w:rFonts w:ascii="Arial" w:hAnsi="Arial" w:cs="Arial"/>
        </w:rPr>
      </w:pPr>
      <w:r>
        <w:rPr>
          <w:rFonts w:ascii="Arial" w:hAnsi="Arial" w:cs="Arial"/>
        </w:rPr>
        <w:t>Pregnancy test (urine BHCG)</w:t>
      </w:r>
      <w:r w:rsidR="0099222D">
        <w:rPr>
          <w:rFonts w:ascii="Arial" w:hAnsi="Arial" w:cs="Arial"/>
        </w:rPr>
        <w:t>.</w:t>
      </w:r>
    </w:p>
    <w:p w14:paraId="09921B87" w14:textId="1D052586" w:rsidR="006943F6" w:rsidRDefault="006943F6" w:rsidP="009E0AB3">
      <w:pPr>
        <w:pStyle w:val="ListParagraph"/>
        <w:numPr>
          <w:ilvl w:val="0"/>
          <w:numId w:val="9"/>
        </w:numPr>
        <w:spacing w:before="120" w:after="120"/>
        <w:ind w:left="720"/>
        <w:rPr>
          <w:rFonts w:ascii="Arial" w:hAnsi="Arial" w:cs="Arial"/>
        </w:rPr>
      </w:pPr>
      <w:r w:rsidRPr="00C26076">
        <w:rPr>
          <w:rFonts w:ascii="Arial" w:hAnsi="Arial" w:cs="Arial"/>
        </w:rPr>
        <w:t>Confirm eligibility</w:t>
      </w:r>
      <w:r>
        <w:rPr>
          <w:rFonts w:ascii="Arial" w:hAnsi="Arial" w:cs="Arial"/>
        </w:rPr>
        <w:t xml:space="preserve"> and assign the next sequential </w:t>
      </w:r>
      <w:r w:rsidR="00075C83">
        <w:rPr>
          <w:rFonts w:ascii="Arial" w:hAnsi="Arial" w:cs="Arial"/>
        </w:rPr>
        <w:t>PID</w:t>
      </w:r>
      <w:r>
        <w:rPr>
          <w:rFonts w:ascii="Arial" w:hAnsi="Arial" w:cs="Arial"/>
        </w:rPr>
        <w:t xml:space="preserve"> # if eligible.</w:t>
      </w:r>
    </w:p>
    <w:p w14:paraId="4A4BD9EF" w14:textId="2A603573" w:rsidR="007030F1" w:rsidRPr="00C26076" w:rsidRDefault="006943F6" w:rsidP="009E0AB3">
      <w:pPr>
        <w:pStyle w:val="ListParagraph"/>
        <w:numPr>
          <w:ilvl w:val="0"/>
          <w:numId w:val="9"/>
        </w:numPr>
        <w:spacing w:before="120" w:after="120"/>
        <w:ind w:left="720"/>
        <w:rPr>
          <w:rFonts w:ascii="Arial" w:hAnsi="Arial" w:cs="Arial"/>
        </w:rPr>
      </w:pPr>
      <w:r>
        <w:rPr>
          <w:rFonts w:ascii="Arial" w:hAnsi="Arial" w:cs="Arial"/>
        </w:rPr>
        <w:t>D</w:t>
      </w:r>
      <w:r w:rsidR="00F723DB">
        <w:rPr>
          <w:rFonts w:ascii="Arial" w:hAnsi="Arial" w:cs="Arial"/>
        </w:rPr>
        <w:t xml:space="preserve">ocument </w:t>
      </w:r>
      <w:r w:rsidR="007030F1" w:rsidRPr="00C26076">
        <w:rPr>
          <w:rFonts w:ascii="Arial" w:hAnsi="Arial" w:cs="Arial"/>
        </w:rPr>
        <w:t>PID</w:t>
      </w:r>
      <w:r w:rsidR="00F723DB">
        <w:rPr>
          <w:rFonts w:ascii="Arial" w:hAnsi="Arial" w:cs="Arial"/>
        </w:rPr>
        <w:t xml:space="preserve"> # </w:t>
      </w:r>
      <w:r>
        <w:rPr>
          <w:rFonts w:ascii="Arial" w:hAnsi="Arial" w:cs="Arial"/>
        </w:rPr>
        <w:t>in Screening/Enrol</w:t>
      </w:r>
      <w:r w:rsidR="000075E4">
        <w:rPr>
          <w:rFonts w:ascii="Arial" w:hAnsi="Arial" w:cs="Arial"/>
        </w:rPr>
        <w:t>l</w:t>
      </w:r>
      <w:r>
        <w:rPr>
          <w:rFonts w:ascii="Arial" w:hAnsi="Arial" w:cs="Arial"/>
        </w:rPr>
        <w:t>ment Log</w:t>
      </w:r>
      <w:r w:rsidR="007030F1" w:rsidRPr="00C26076">
        <w:rPr>
          <w:rFonts w:ascii="Arial" w:hAnsi="Arial" w:cs="Arial"/>
        </w:rPr>
        <w:t xml:space="preserve"> </w:t>
      </w:r>
      <w:r w:rsidR="007030F1" w:rsidRPr="002F03BB">
        <w:rPr>
          <w:rFonts w:ascii="Arial" w:hAnsi="Arial" w:cs="Arial"/>
          <w:i/>
        </w:rPr>
        <w:t>before</w:t>
      </w:r>
      <w:r w:rsidR="007030F1" w:rsidRPr="00C26076">
        <w:rPr>
          <w:rFonts w:ascii="Arial" w:hAnsi="Arial" w:cs="Arial"/>
        </w:rPr>
        <w:t xml:space="preserve"> </w:t>
      </w:r>
      <w:r w:rsidR="00145746">
        <w:rPr>
          <w:rFonts w:ascii="Arial" w:hAnsi="Arial" w:cs="Arial"/>
        </w:rPr>
        <w:t xml:space="preserve">baseline </w:t>
      </w:r>
      <w:r w:rsidR="00F723DB">
        <w:rPr>
          <w:rFonts w:ascii="Arial" w:hAnsi="Arial" w:cs="Arial"/>
        </w:rPr>
        <w:t xml:space="preserve">immunology </w:t>
      </w:r>
      <w:r w:rsidR="00145746">
        <w:rPr>
          <w:rFonts w:ascii="Arial" w:hAnsi="Arial" w:cs="Arial"/>
        </w:rPr>
        <w:t>sample collection</w:t>
      </w:r>
      <w:r>
        <w:rPr>
          <w:rFonts w:ascii="Arial" w:hAnsi="Arial" w:cs="Arial"/>
        </w:rPr>
        <w:t>.</w:t>
      </w:r>
    </w:p>
    <w:p w14:paraId="7411290D" w14:textId="58D4B7E8" w:rsidR="007030F1" w:rsidRPr="00CE3D4B" w:rsidRDefault="007030F1" w:rsidP="009E0AB3">
      <w:pPr>
        <w:pStyle w:val="ListParagraph"/>
        <w:numPr>
          <w:ilvl w:val="0"/>
          <w:numId w:val="9"/>
        </w:numPr>
        <w:spacing w:before="120" w:after="120"/>
        <w:ind w:left="720"/>
        <w:rPr>
          <w:rFonts w:ascii="Arial" w:hAnsi="Arial" w:cs="Arial"/>
        </w:rPr>
      </w:pPr>
      <w:r w:rsidRPr="00C26076">
        <w:rPr>
          <w:rFonts w:ascii="Arial" w:hAnsi="Arial" w:cs="Arial"/>
        </w:rPr>
        <w:t>Immunolo</w:t>
      </w:r>
      <w:r w:rsidR="00CE3D4B">
        <w:rPr>
          <w:rFonts w:ascii="Arial" w:hAnsi="Arial" w:cs="Arial"/>
        </w:rPr>
        <w:t>gy blood</w:t>
      </w:r>
      <w:r w:rsidRPr="00C26076">
        <w:rPr>
          <w:rFonts w:ascii="Arial" w:hAnsi="Arial" w:cs="Arial"/>
        </w:rPr>
        <w:t xml:space="preserve">: </w:t>
      </w:r>
      <w:r w:rsidR="0099222D">
        <w:rPr>
          <w:rFonts w:ascii="Arial" w:hAnsi="Arial" w:cs="Arial"/>
        </w:rPr>
        <w:t>g</w:t>
      </w:r>
      <w:r w:rsidRPr="001772E7">
        <w:rPr>
          <w:rFonts w:ascii="Arial" w:hAnsi="Arial" w:cs="Arial"/>
        </w:rPr>
        <w:t>ene signatures,</w:t>
      </w:r>
      <w:r w:rsidRPr="00C26076">
        <w:rPr>
          <w:rFonts w:ascii="Arial" w:hAnsi="Arial" w:cs="Arial"/>
        </w:rPr>
        <w:t xml:space="preserve"> </w:t>
      </w:r>
      <w:r w:rsidR="00846605">
        <w:rPr>
          <w:rFonts w:ascii="Arial" w:hAnsi="Arial" w:cs="Arial"/>
        </w:rPr>
        <w:t xml:space="preserve">whole blood absolute count, </w:t>
      </w:r>
      <w:r w:rsidR="0099222D">
        <w:rPr>
          <w:rFonts w:ascii="Arial" w:hAnsi="Arial" w:cs="Arial"/>
        </w:rPr>
        <w:t>w</w:t>
      </w:r>
      <w:r w:rsidRPr="00C26076">
        <w:rPr>
          <w:rFonts w:ascii="Arial" w:hAnsi="Arial" w:cs="Arial"/>
        </w:rPr>
        <w:t xml:space="preserve">hole </w:t>
      </w:r>
      <w:r w:rsidR="0099222D">
        <w:rPr>
          <w:rFonts w:ascii="Arial" w:hAnsi="Arial" w:cs="Arial"/>
        </w:rPr>
        <w:t>b</w:t>
      </w:r>
      <w:r w:rsidRPr="00C26076">
        <w:rPr>
          <w:rFonts w:ascii="Arial" w:hAnsi="Arial" w:cs="Arial"/>
        </w:rPr>
        <w:t xml:space="preserve">lood ICS, </w:t>
      </w:r>
      <w:r w:rsidR="00CE3D4B">
        <w:rPr>
          <w:rFonts w:ascii="Arial" w:hAnsi="Arial" w:cs="Arial"/>
        </w:rPr>
        <w:t>PBMCs, serum for IgG ELISA</w:t>
      </w:r>
      <w:r w:rsidR="00EC6070">
        <w:rPr>
          <w:rFonts w:ascii="Arial" w:hAnsi="Arial" w:cs="Arial"/>
        </w:rPr>
        <w:t xml:space="preserve"> including serum to store</w:t>
      </w:r>
      <w:r w:rsidR="006943F6">
        <w:rPr>
          <w:rFonts w:ascii="Arial" w:hAnsi="Arial" w:cs="Arial"/>
        </w:rPr>
        <w:t>.</w:t>
      </w:r>
    </w:p>
    <w:p w14:paraId="5160D5C0" w14:textId="60CF736E" w:rsidR="007030F1" w:rsidRPr="00C26076" w:rsidRDefault="007030F1" w:rsidP="009E0AB3">
      <w:pPr>
        <w:spacing w:before="120" w:after="120" w:line="276" w:lineRule="auto"/>
        <w:contextualSpacing/>
        <w:rPr>
          <w:rFonts w:cs="Arial"/>
          <w:b/>
          <w:i/>
          <w:szCs w:val="22"/>
        </w:rPr>
      </w:pPr>
      <w:r w:rsidRPr="00C26076">
        <w:rPr>
          <w:rFonts w:cs="Arial"/>
          <w:b/>
          <w:i/>
          <w:szCs w:val="22"/>
        </w:rPr>
        <w:t>Injection:</w:t>
      </w:r>
    </w:p>
    <w:p w14:paraId="29CA35F2" w14:textId="3DF18A51" w:rsidR="00AD3D1A" w:rsidRPr="00377364" w:rsidRDefault="00AD3D1A" w:rsidP="009E0AB3">
      <w:pPr>
        <w:pStyle w:val="ListParagraph"/>
        <w:numPr>
          <w:ilvl w:val="0"/>
          <w:numId w:val="9"/>
        </w:numPr>
        <w:spacing w:before="120" w:after="120"/>
        <w:ind w:left="720"/>
        <w:rPr>
          <w:rFonts w:ascii="Arial" w:hAnsi="Arial" w:cs="Arial"/>
          <w:b/>
          <w:i/>
        </w:rPr>
      </w:pPr>
      <w:r>
        <w:rPr>
          <w:rFonts w:ascii="Arial" w:hAnsi="Arial" w:cs="Arial"/>
        </w:rPr>
        <w:t xml:space="preserve">Inspect syringe and vaccine volume, confirm PID #, subject initials, </w:t>
      </w:r>
      <w:r w:rsidR="00A762A9">
        <w:rPr>
          <w:rFonts w:ascii="Arial" w:hAnsi="Arial" w:cs="Arial"/>
        </w:rPr>
        <w:t xml:space="preserve">and the </w:t>
      </w:r>
      <w:r>
        <w:rPr>
          <w:rFonts w:ascii="Arial" w:hAnsi="Arial" w:cs="Arial"/>
        </w:rPr>
        <w:t>date and time of dose preparation.</w:t>
      </w:r>
    </w:p>
    <w:p w14:paraId="0AF514AC" w14:textId="6B4E2386" w:rsidR="007030F1" w:rsidRPr="00C26076" w:rsidRDefault="007030F1" w:rsidP="009E0AB3">
      <w:pPr>
        <w:pStyle w:val="ListParagraph"/>
        <w:numPr>
          <w:ilvl w:val="0"/>
          <w:numId w:val="9"/>
        </w:numPr>
        <w:spacing w:before="120" w:after="120"/>
        <w:ind w:left="720"/>
        <w:rPr>
          <w:rFonts w:ascii="Arial" w:hAnsi="Arial" w:cs="Arial"/>
          <w:b/>
          <w:i/>
        </w:rPr>
      </w:pPr>
      <w:r w:rsidRPr="00C26076">
        <w:rPr>
          <w:rFonts w:ascii="Arial" w:hAnsi="Arial" w:cs="Arial"/>
        </w:rPr>
        <w:t>Administer study injection intramuscularly</w:t>
      </w:r>
      <w:r w:rsidR="00377364">
        <w:rPr>
          <w:rFonts w:ascii="Arial" w:hAnsi="Arial" w:cs="Arial"/>
        </w:rPr>
        <w:t xml:space="preserve"> into deltoid</w:t>
      </w:r>
      <w:r w:rsidRPr="00C26076">
        <w:rPr>
          <w:rFonts w:ascii="Arial" w:hAnsi="Arial" w:cs="Arial"/>
        </w:rPr>
        <w:t>. Record date and time of injection</w:t>
      </w:r>
      <w:r w:rsidR="00377364">
        <w:rPr>
          <w:rFonts w:ascii="Arial" w:hAnsi="Arial" w:cs="Arial"/>
        </w:rPr>
        <w:t>,</w:t>
      </w:r>
      <w:r w:rsidR="00AD3D1A">
        <w:rPr>
          <w:rFonts w:ascii="Arial" w:hAnsi="Arial" w:cs="Arial"/>
        </w:rPr>
        <w:t xml:space="preserve"> and which arm was injected</w:t>
      </w:r>
      <w:r w:rsidR="006943F6">
        <w:rPr>
          <w:rFonts w:ascii="Arial" w:hAnsi="Arial" w:cs="Arial"/>
        </w:rPr>
        <w:t>.</w:t>
      </w:r>
    </w:p>
    <w:p w14:paraId="7726CFDD" w14:textId="11776573" w:rsidR="007030F1" w:rsidRPr="00C26076" w:rsidRDefault="0041184A" w:rsidP="009E0AB3">
      <w:pPr>
        <w:spacing w:before="120" w:after="120" w:line="276" w:lineRule="auto"/>
        <w:contextualSpacing/>
        <w:rPr>
          <w:rFonts w:cs="Arial"/>
          <w:b/>
          <w:i/>
          <w:szCs w:val="22"/>
        </w:rPr>
      </w:pPr>
      <w:r>
        <w:rPr>
          <w:rFonts w:cs="Arial"/>
          <w:b/>
          <w:i/>
          <w:szCs w:val="22"/>
        </w:rPr>
        <w:t xml:space="preserve">30 minute evaluation </w:t>
      </w:r>
      <w:r w:rsidR="00A762A9">
        <w:rPr>
          <w:rFonts w:cs="Arial"/>
          <w:b/>
          <w:i/>
          <w:szCs w:val="22"/>
        </w:rPr>
        <w:t>p</w:t>
      </w:r>
      <w:r w:rsidR="007030F1" w:rsidRPr="00C26076">
        <w:rPr>
          <w:rFonts w:cs="Arial"/>
          <w:b/>
          <w:i/>
          <w:szCs w:val="22"/>
        </w:rPr>
        <w:t>ost-injection</w:t>
      </w:r>
      <w:r w:rsidR="00717D30">
        <w:rPr>
          <w:rFonts w:cs="Arial"/>
          <w:b/>
          <w:i/>
          <w:szCs w:val="22"/>
        </w:rPr>
        <w:t xml:space="preserve"> </w:t>
      </w:r>
      <w:r w:rsidR="00717D30" w:rsidRPr="00717D30">
        <w:rPr>
          <w:rFonts w:cs="Arial"/>
          <w:b/>
          <w:i/>
          <w:szCs w:val="22"/>
        </w:rPr>
        <w:t>(</w:t>
      </w:r>
      <w:r w:rsidR="00717D30" w:rsidRPr="00717D30">
        <w:rPr>
          <w:rFonts w:cs="Arial"/>
          <w:b/>
          <w:i/>
        </w:rPr>
        <w:t>at least 30 minutes)</w:t>
      </w:r>
      <w:r w:rsidR="007030F1" w:rsidRPr="00C26076">
        <w:rPr>
          <w:rFonts w:cs="Arial"/>
          <w:b/>
          <w:i/>
          <w:szCs w:val="22"/>
        </w:rPr>
        <w:t>:</w:t>
      </w:r>
    </w:p>
    <w:p w14:paraId="10D1E7C5" w14:textId="77777777" w:rsidR="00AD3D1A" w:rsidRDefault="00AD3D1A" w:rsidP="009E0AB3">
      <w:pPr>
        <w:pStyle w:val="ListParagraph"/>
        <w:numPr>
          <w:ilvl w:val="0"/>
          <w:numId w:val="9"/>
        </w:numPr>
        <w:spacing w:before="120" w:after="120"/>
        <w:ind w:left="720"/>
        <w:rPr>
          <w:rFonts w:ascii="Arial" w:hAnsi="Arial" w:cs="Arial"/>
        </w:rPr>
      </w:pPr>
      <w:r>
        <w:rPr>
          <w:rFonts w:ascii="Arial" w:hAnsi="Arial" w:cs="Arial"/>
        </w:rPr>
        <w:t>Obtain vital signs.</w:t>
      </w:r>
    </w:p>
    <w:p w14:paraId="27015922" w14:textId="08367889" w:rsidR="007030F1" w:rsidRPr="00C26076" w:rsidRDefault="007030F1" w:rsidP="009E0AB3">
      <w:pPr>
        <w:pStyle w:val="ListParagraph"/>
        <w:numPr>
          <w:ilvl w:val="0"/>
          <w:numId w:val="9"/>
        </w:numPr>
        <w:spacing w:before="120" w:after="120"/>
        <w:ind w:left="720"/>
        <w:rPr>
          <w:rFonts w:ascii="Arial" w:hAnsi="Arial" w:cs="Arial"/>
        </w:rPr>
      </w:pPr>
      <w:r w:rsidRPr="00C26076">
        <w:rPr>
          <w:rFonts w:ascii="Arial" w:hAnsi="Arial" w:cs="Arial"/>
        </w:rPr>
        <w:t xml:space="preserve">Injection site checks </w:t>
      </w:r>
      <w:r w:rsidR="006A17FA">
        <w:rPr>
          <w:rFonts w:ascii="Arial" w:hAnsi="Arial" w:cs="Arial"/>
        </w:rPr>
        <w:t xml:space="preserve">(pain, erythema, induration) </w:t>
      </w:r>
      <w:r w:rsidRPr="00C26076">
        <w:rPr>
          <w:rFonts w:ascii="Arial" w:hAnsi="Arial" w:cs="Arial"/>
        </w:rPr>
        <w:t xml:space="preserve">and specific </w:t>
      </w:r>
      <w:r w:rsidR="00717D30">
        <w:rPr>
          <w:rFonts w:ascii="Arial" w:hAnsi="Arial" w:cs="Arial"/>
        </w:rPr>
        <w:t xml:space="preserve">solicited </w:t>
      </w:r>
      <w:r w:rsidRPr="00C26076">
        <w:rPr>
          <w:rFonts w:ascii="Arial" w:hAnsi="Arial" w:cs="Arial"/>
        </w:rPr>
        <w:t>systemic symptoms</w:t>
      </w:r>
      <w:r w:rsidR="006A17FA">
        <w:rPr>
          <w:rFonts w:ascii="Arial" w:hAnsi="Arial" w:cs="Arial"/>
        </w:rPr>
        <w:t xml:space="preserve"> </w:t>
      </w:r>
      <w:r w:rsidR="006A17FA" w:rsidRPr="006A17FA">
        <w:rPr>
          <w:rFonts w:ascii="Arial" w:hAnsi="Arial" w:cs="Arial"/>
        </w:rPr>
        <w:t>(</w:t>
      </w:r>
      <w:r w:rsidR="006A17FA" w:rsidRPr="000B7056">
        <w:rPr>
          <w:rFonts w:ascii="Arial" w:hAnsi="Arial" w:cs="Arial"/>
        </w:rPr>
        <w:t>arthralgia, chills, nausea, fever, fatigue, myalgia)</w:t>
      </w:r>
      <w:r w:rsidR="00A762A9">
        <w:rPr>
          <w:rFonts w:ascii="Arial" w:hAnsi="Arial" w:cs="Arial"/>
        </w:rPr>
        <w:t>.</w:t>
      </w:r>
      <w:r w:rsidRPr="00C26076">
        <w:rPr>
          <w:rFonts w:ascii="Arial" w:hAnsi="Arial" w:cs="Arial"/>
        </w:rPr>
        <w:t xml:space="preserve"> </w:t>
      </w:r>
    </w:p>
    <w:p w14:paraId="79C52CF6" w14:textId="215D45A5" w:rsidR="007030F1" w:rsidRPr="00C26076" w:rsidRDefault="00AD3D1A" w:rsidP="009E0AB3">
      <w:pPr>
        <w:pStyle w:val="ListParagraph"/>
        <w:numPr>
          <w:ilvl w:val="0"/>
          <w:numId w:val="9"/>
        </w:numPr>
        <w:spacing w:before="120" w:after="120"/>
        <w:ind w:left="720"/>
        <w:rPr>
          <w:rFonts w:ascii="Arial" w:hAnsi="Arial" w:cs="Arial"/>
        </w:rPr>
      </w:pPr>
      <w:r>
        <w:rPr>
          <w:rFonts w:ascii="Arial" w:hAnsi="Arial" w:cs="Arial"/>
        </w:rPr>
        <w:t>Record any a</w:t>
      </w:r>
      <w:r w:rsidR="007030F1" w:rsidRPr="00C26076">
        <w:rPr>
          <w:rFonts w:ascii="Arial" w:hAnsi="Arial" w:cs="Arial"/>
        </w:rPr>
        <w:t>dverse events</w:t>
      </w:r>
      <w:r w:rsidR="00A762A9">
        <w:rPr>
          <w:rFonts w:ascii="Arial" w:hAnsi="Arial" w:cs="Arial"/>
        </w:rPr>
        <w:t>.</w:t>
      </w:r>
    </w:p>
    <w:p w14:paraId="1C0515F9" w14:textId="4EEEE5E3" w:rsidR="007030F1" w:rsidRPr="001772E7" w:rsidRDefault="00434BB2" w:rsidP="009E0AB3">
      <w:pPr>
        <w:pStyle w:val="Heading3"/>
      </w:pPr>
      <w:bookmarkStart w:id="254" w:name="_Toc389129991"/>
      <w:bookmarkStart w:id="255" w:name="_Toc440906292"/>
      <w:r w:rsidRPr="001772E7">
        <w:t>Day 3</w:t>
      </w:r>
      <w:bookmarkEnd w:id="254"/>
      <w:bookmarkEnd w:id="255"/>
      <w:r w:rsidR="007030F1" w:rsidRPr="001772E7">
        <w:t xml:space="preserve"> </w:t>
      </w:r>
    </w:p>
    <w:p w14:paraId="0A28B858" w14:textId="12458DB5" w:rsidR="007030F1" w:rsidRPr="001772E7" w:rsidRDefault="007030F1" w:rsidP="009E0AB3">
      <w:pPr>
        <w:pStyle w:val="ListParagraph"/>
        <w:numPr>
          <w:ilvl w:val="0"/>
          <w:numId w:val="12"/>
        </w:numPr>
        <w:spacing w:before="120" w:after="120"/>
        <w:ind w:left="720"/>
        <w:rPr>
          <w:rFonts w:ascii="Arial" w:hAnsi="Arial" w:cs="Arial"/>
        </w:rPr>
      </w:pPr>
      <w:r w:rsidRPr="001772E7">
        <w:rPr>
          <w:rFonts w:ascii="Arial" w:hAnsi="Arial" w:cs="Arial"/>
        </w:rPr>
        <w:t xml:space="preserve">Concomitant </w:t>
      </w:r>
      <w:r w:rsidR="000A5076">
        <w:rPr>
          <w:rFonts w:ascii="Arial" w:hAnsi="Arial" w:cs="Arial"/>
        </w:rPr>
        <w:t>medications</w:t>
      </w:r>
      <w:r w:rsidR="00A762A9">
        <w:rPr>
          <w:rFonts w:ascii="Arial" w:hAnsi="Arial" w:cs="Arial"/>
        </w:rPr>
        <w:t>.</w:t>
      </w:r>
      <w:r w:rsidRPr="001772E7">
        <w:rPr>
          <w:rFonts w:ascii="Arial" w:hAnsi="Arial" w:cs="Arial"/>
        </w:rPr>
        <w:t xml:space="preserve"> </w:t>
      </w:r>
    </w:p>
    <w:p w14:paraId="1C10A136" w14:textId="115A062A" w:rsidR="007030F1" w:rsidRPr="001772E7" w:rsidRDefault="007030F1" w:rsidP="009E0AB3">
      <w:pPr>
        <w:pStyle w:val="ListParagraph"/>
        <w:numPr>
          <w:ilvl w:val="0"/>
          <w:numId w:val="10"/>
        </w:numPr>
        <w:spacing w:before="120" w:after="120"/>
        <w:ind w:left="720"/>
        <w:rPr>
          <w:rFonts w:ascii="Arial" w:hAnsi="Arial" w:cs="Arial"/>
        </w:rPr>
      </w:pPr>
      <w:r w:rsidRPr="001772E7">
        <w:rPr>
          <w:rFonts w:ascii="Arial" w:hAnsi="Arial" w:cs="Arial"/>
        </w:rPr>
        <w:t>Vital signs</w:t>
      </w:r>
      <w:r w:rsidR="00A762A9">
        <w:rPr>
          <w:rFonts w:ascii="Arial" w:hAnsi="Arial" w:cs="Arial"/>
        </w:rPr>
        <w:t>.</w:t>
      </w:r>
    </w:p>
    <w:p w14:paraId="450550C9" w14:textId="42AE54AD" w:rsidR="007030F1" w:rsidRPr="001772E7" w:rsidRDefault="007030F1" w:rsidP="009E0AB3">
      <w:pPr>
        <w:pStyle w:val="ListParagraph"/>
        <w:numPr>
          <w:ilvl w:val="0"/>
          <w:numId w:val="10"/>
        </w:numPr>
        <w:spacing w:before="120" w:after="120"/>
        <w:ind w:left="720"/>
        <w:rPr>
          <w:rFonts w:ascii="Arial" w:hAnsi="Arial" w:cs="Arial"/>
        </w:rPr>
      </w:pPr>
      <w:r w:rsidRPr="001772E7">
        <w:rPr>
          <w:rFonts w:ascii="Arial" w:hAnsi="Arial" w:cs="Arial"/>
        </w:rPr>
        <w:t>Immunolo</w:t>
      </w:r>
      <w:r w:rsidR="00101FC1" w:rsidRPr="001772E7">
        <w:rPr>
          <w:rFonts w:ascii="Arial" w:hAnsi="Arial" w:cs="Arial"/>
        </w:rPr>
        <w:t>gy blood</w:t>
      </w:r>
      <w:r w:rsidR="003F0938">
        <w:rPr>
          <w:rFonts w:ascii="Arial" w:hAnsi="Arial" w:cs="Arial"/>
        </w:rPr>
        <w:t>:</w:t>
      </w:r>
      <w:r w:rsidR="00621D19" w:rsidRPr="001772E7">
        <w:rPr>
          <w:rFonts w:ascii="Arial" w:hAnsi="Arial" w:cs="Arial"/>
        </w:rPr>
        <w:t xml:space="preserve"> </w:t>
      </w:r>
      <w:r w:rsidR="00A762A9">
        <w:rPr>
          <w:rFonts w:ascii="Arial" w:hAnsi="Arial" w:cs="Arial"/>
        </w:rPr>
        <w:t>g</w:t>
      </w:r>
      <w:r w:rsidR="00621D19" w:rsidRPr="001772E7">
        <w:rPr>
          <w:rFonts w:ascii="Arial" w:hAnsi="Arial" w:cs="Arial"/>
        </w:rPr>
        <w:t>ene signatures</w:t>
      </w:r>
      <w:r w:rsidR="00846605">
        <w:rPr>
          <w:rFonts w:ascii="Arial" w:hAnsi="Arial" w:cs="Arial"/>
        </w:rPr>
        <w:t xml:space="preserve"> and whole blood absolute count</w:t>
      </w:r>
      <w:r w:rsidR="00A762A9">
        <w:rPr>
          <w:rFonts w:ascii="Arial" w:hAnsi="Arial" w:cs="Arial"/>
        </w:rPr>
        <w:t>.</w:t>
      </w:r>
    </w:p>
    <w:p w14:paraId="77F90363" w14:textId="5837BA32" w:rsidR="007030F1" w:rsidRPr="001772E7" w:rsidRDefault="007030F1" w:rsidP="009E0AB3">
      <w:pPr>
        <w:pStyle w:val="ListParagraph"/>
        <w:numPr>
          <w:ilvl w:val="0"/>
          <w:numId w:val="10"/>
        </w:numPr>
        <w:spacing w:before="120" w:after="120"/>
        <w:ind w:left="720"/>
        <w:rPr>
          <w:rFonts w:ascii="Arial" w:hAnsi="Arial" w:cs="Arial"/>
        </w:rPr>
      </w:pPr>
      <w:r w:rsidRPr="001772E7">
        <w:rPr>
          <w:rFonts w:ascii="Arial" w:hAnsi="Arial" w:cs="Arial"/>
        </w:rPr>
        <w:t xml:space="preserve">Injection site check </w:t>
      </w:r>
      <w:r w:rsidR="00883462">
        <w:rPr>
          <w:rFonts w:ascii="Arial" w:hAnsi="Arial" w:cs="Arial"/>
        </w:rPr>
        <w:t xml:space="preserve">(pain, eryrthema, induration) </w:t>
      </w:r>
      <w:r w:rsidRPr="001772E7">
        <w:rPr>
          <w:rFonts w:ascii="Arial" w:hAnsi="Arial" w:cs="Arial"/>
        </w:rPr>
        <w:t xml:space="preserve">and specific </w:t>
      </w:r>
      <w:r w:rsidR="00A762A9">
        <w:rPr>
          <w:rFonts w:ascii="Arial" w:hAnsi="Arial" w:cs="Arial"/>
        </w:rPr>
        <w:t xml:space="preserve">solicited </w:t>
      </w:r>
      <w:r w:rsidRPr="001772E7">
        <w:rPr>
          <w:rFonts w:ascii="Arial" w:hAnsi="Arial" w:cs="Arial"/>
        </w:rPr>
        <w:t>systemic symptoms</w:t>
      </w:r>
      <w:r w:rsidR="006A17FA">
        <w:rPr>
          <w:rFonts w:ascii="Arial" w:hAnsi="Arial" w:cs="Arial"/>
        </w:rPr>
        <w:t xml:space="preserve"> </w:t>
      </w:r>
      <w:r w:rsidR="006A17FA" w:rsidRPr="006A17FA">
        <w:rPr>
          <w:rFonts w:ascii="Arial" w:hAnsi="Arial" w:cs="Arial"/>
        </w:rPr>
        <w:t>(</w:t>
      </w:r>
      <w:r w:rsidR="006A17FA" w:rsidRPr="000B7056">
        <w:rPr>
          <w:rFonts w:ascii="Arial" w:hAnsi="Arial" w:cs="Arial"/>
        </w:rPr>
        <w:t>arthralgia, chills, nausea, fever, fatigue, myalgia)</w:t>
      </w:r>
      <w:r w:rsidR="00A762A9" w:rsidRPr="006A17FA">
        <w:rPr>
          <w:rFonts w:ascii="Arial" w:hAnsi="Arial" w:cs="Arial"/>
        </w:rPr>
        <w:t>.</w:t>
      </w:r>
      <w:r w:rsidRPr="001772E7">
        <w:rPr>
          <w:rFonts w:ascii="Arial" w:hAnsi="Arial" w:cs="Arial"/>
        </w:rPr>
        <w:t xml:space="preserve"> </w:t>
      </w:r>
    </w:p>
    <w:p w14:paraId="698A48F7" w14:textId="22146CBC" w:rsidR="007030F1" w:rsidRPr="009E0AB3" w:rsidRDefault="007030F1" w:rsidP="009E0AB3">
      <w:pPr>
        <w:pStyle w:val="ListParagraph"/>
        <w:numPr>
          <w:ilvl w:val="0"/>
          <w:numId w:val="10"/>
        </w:numPr>
        <w:spacing w:before="120" w:after="120"/>
        <w:ind w:left="720"/>
        <w:rPr>
          <w:rFonts w:ascii="Arial" w:hAnsi="Arial" w:cs="Arial"/>
        </w:rPr>
      </w:pPr>
      <w:r w:rsidRPr="009E0AB3">
        <w:rPr>
          <w:rFonts w:ascii="Arial" w:hAnsi="Arial" w:cs="Arial"/>
        </w:rPr>
        <w:t xml:space="preserve">Adverse </w:t>
      </w:r>
      <w:r w:rsidR="00A762A9" w:rsidRPr="009E0AB3">
        <w:rPr>
          <w:rFonts w:ascii="Arial" w:hAnsi="Arial" w:cs="Arial"/>
        </w:rPr>
        <w:t>e</w:t>
      </w:r>
      <w:r w:rsidRPr="009E0AB3">
        <w:rPr>
          <w:rFonts w:ascii="Arial" w:hAnsi="Arial" w:cs="Arial"/>
        </w:rPr>
        <w:t>vents</w:t>
      </w:r>
      <w:r w:rsidR="00E42EBA" w:rsidRPr="009E0AB3">
        <w:rPr>
          <w:rFonts w:ascii="Arial" w:hAnsi="Arial" w:cs="Arial"/>
        </w:rPr>
        <w:t>, including SAEs and AESIs</w:t>
      </w:r>
      <w:r w:rsidR="00A762A9" w:rsidRPr="009E0AB3">
        <w:rPr>
          <w:rFonts w:ascii="Arial" w:hAnsi="Arial" w:cs="Arial"/>
        </w:rPr>
        <w:t>.</w:t>
      </w:r>
    </w:p>
    <w:p w14:paraId="791E0E42" w14:textId="77777777" w:rsidR="007030F1" w:rsidRPr="00C26076" w:rsidRDefault="007030F1" w:rsidP="009E0AB3">
      <w:pPr>
        <w:pStyle w:val="Heading3"/>
      </w:pPr>
      <w:bookmarkStart w:id="256" w:name="_Toc389129992"/>
      <w:bookmarkStart w:id="257" w:name="_Toc440906293"/>
      <w:r w:rsidRPr="00C26076">
        <w:t>Day 7 (±1)</w:t>
      </w:r>
      <w:bookmarkEnd w:id="256"/>
      <w:bookmarkEnd w:id="257"/>
    </w:p>
    <w:p w14:paraId="1259B1FA" w14:textId="33DAB563" w:rsidR="007030F1" w:rsidRPr="00CE3D4B" w:rsidRDefault="007030F1" w:rsidP="009E0AB3">
      <w:pPr>
        <w:pStyle w:val="ListParagraph"/>
        <w:numPr>
          <w:ilvl w:val="0"/>
          <w:numId w:val="12"/>
        </w:numPr>
        <w:spacing w:before="120" w:after="120"/>
        <w:ind w:left="720"/>
        <w:rPr>
          <w:rFonts w:ascii="Arial" w:hAnsi="Arial" w:cs="Arial"/>
        </w:rPr>
      </w:pPr>
      <w:r w:rsidRPr="00C26076">
        <w:rPr>
          <w:rFonts w:ascii="Arial" w:hAnsi="Arial" w:cs="Arial"/>
        </w:rPr>
        <w:t xml:space="preserve">Concomitant </w:t>
      </w:r>
      <w:r w:rsidR="000A5076">
        <w:rPr>
          <w:rFonts w:ascii="Arial" w:hAnsi="Arial" w:cs="Arial"/>
        </w:rPr>
        <w:t>medications</w:t>
      </w:r>
      <w:r w:rsidR="00A762A9">
        <w:rPr>
          <w:rFonts w:ascii="Arial" w:hAnsi="Arial" w:cs="Arial"/>
        </w:rPr>
        <w:t>.</w:t>
      </w:r>
      <w:r w:rsidRPr="00C26076">
        <w:rPr>
          <w:rFonts w:ascii="Arial" w:hAnsi="Arial" w:cs="Arial"/>
        </w:rPr>
        <w:t xml:space="preserve"> </w:t>
      </w:r>
    </w:p>
    <w:p w14:paraId="4EF24AF6" w14:textId="269D6181" w:rsidR="00723BE7" w:rsidRPr="00723BE7" w:rsidRDefault="00723BE7" w:rsidP="009E0AB3">
      <w:pPr>
        <w:pStyle w:val="ListParagraph"/>
        <w:numPr>
          <w:ilvl w:val="0"/>
          <w:numId w:val="11"/>
        </w:numPr>
        <w:spacing w:before="120" w:after="120"/>
        <w:ind w:left="720"/>
        <w:rPr>
          <w:rFonts w:ascii="Arial" w:hAnsi="Arial" w:cs="Arial"/>
        </w:rPr>
      </w:pPr>
      <w:r w:rsidRPr="00723BE7">
        <w:rPr>
          <w:rFonts w:ascii="Arial" w:hAnsi="Arial" w:cs="Arial"/>
        </w:rPr>
        <w:t>TB symptom screen and two sputum samples for Xpert MTB/RIF and MGIT culture if symptom directed.</w:t>
      </w:r>
    </w:p>
    <w:p w14:paraId="7261991A" w14:textId="4714FCF6" w:rsidR="00915CE7" w:rsidRDefault="007030F1" w:rsidP="009E0AB3">
      <w:pPr>
        <w:pStyle w:val="ListParagraph"/>
        <w:numPr>
          <w:ilvl w:val="0"/>
          <w:numId w:val="11"/>
        </w:numPr>
        <w:spacing w:before="120" w:after="120"/>
        <w:ind w:left="720"/>
        <w:rPr>
          <w:rFonts w:ascii="Arial" w:hAnsi="Arial" w:cs="Arial"/>
        </w:rPr>
      </w:pPr>
      <w:r w:rsidRPr="00915CE7">
        <w:rPr>
          <w:rFonts w:ascii="Arial" w:hAnsi="Arial" w:cs="Arial"/>
        </w:rPr>
        <w:t>Vital signs</w:t>
      </w:r>
      <w:r w:rsidR="00A762A9">
        <w:rPr>
          <w:rFonts w:ascii="Arial" w:hAnsi="Arial" w:cs="Arial"/>
        </w:rPr>
        <w:t>.</w:t>
      </w:r>
      <w:r w:rsidR="00C90A03" w:rsidRPr="00915CE7">
        <w:rPr>
          <w:rFonts w:ascii="Arial" w:hAnsi="Arial" w:cs="Arial"/>
        </w:rPr>
        <w:t xml:space="preserve"> </w:t>
      </w:r>
    </w:p>
    <w:p w14:paraId="1EC3037B" w14:textId="54A4F204" w:rsidR="007030F1" w:rsidRPr="00915CE7" w:rsidRDefault="00D1352E" w:rsidP="009E0AB3">
      <w:pPr>
        <w:pStyle w:val="ListParagraph"/>
        <w:numPr>
          <w:ilvl w:val="0"/>
          <w:numId w:val="11"/>
        </w:numPr>
        <w:spacing w:before="120" w:after="120"/>
        <w:ind w:left="720"/>
        <w:rPr>
          <w:rFonts w:ascii="Arial" w:hAnsi="Arial" w:cs="Arial"/>
        </w:rPr>
      </w:pPr>
      <w:r>
        <w:rPr>
          <w:rFonts w:ascii="Arial" w:hAnsi="Arial" w:cs="Arial"/>
        </w:rPr>
        <w:t>Hematology</w:t>
      </w:r>
      <w:r w:rsidR="007030F1" w:rsidRPr="00915CE7">
        <w:rPr>
          <w:rFonts w:ascii="Arial" w:hAnsi="Arial" w:cs="Arial"/>
        </w:rPr>
        <w:t xml:space="preserve"> and chemistry</w:t>
      </w:r>
      <w:r w:rsidR="00827AFA">
        <w:rPr>
          <w:rFonts w:ascii="Arial" w:hAnsi="Arial" w:cs="Arial"/>
        </w:rPr>
        <w:t xml:space="preserve">: </w:t>
      </w:r>
      <w:r w:rsidR="00827AFA" w:rsidRPr="007346FE">
        <w:rPr>
          <w:rFonts w:ascii="Arial" w:hAnsi="Arial" w:cs="Arial"/>
        </w:rPr>
        <w:t>tota</w:t>
      </w:r>
      <w:r w:rsidR="00827AFA">
        <w:rPr>
          <w:rFonts w:ascii="Arial" w:hAnsi="Arial" w:cs="Arial"/>
        </w:rPr>
        <w:t>l WBC count, h</w:t>
      </w:r>
      <w:r w:rsidR="00827AFA" w:rsidRPr="007346FE">
        <w:rPr>
          <w:rFonts w:ascii="Arial" w:hAnsi="Arial" w:cs="Arial"/>
        </w:rPr>
        <w:t xml:space="preserve">emoglobin, platelet count, total bilirubin, creatinine, </w:t>
      </w:r>
      <w:r w:rsidR="00827AFA">
        <w:rPr>
          <w:rFonts w:ascii="Arial" w:hAnsi="Arial" w:cs="Arial"/>
        </w:rPr>
        <w:t xml:space="preserve">and </w:t>
      </w:r>
      <w:r w:rsidR="00827AFA" w:rsidRPr="007346FE">
        <w:rPr>
          <w:rFonts w:ascii="Arial" w:hAnsi="Arial" w:cs="Arial"/>
        </w:rPr>
        <w:t>ALT</w:t>
      </w:r>
      <w:r w:rsidR="00A762A9">
        <w:rPr>
          <w:rFonts w:ascii="Arial" w:hAnsi="Arial" w:cs="Arial"/>
        </w:rPr>
        <w:t>.</w:t>
      </w:r>
      <w:r w:rsidR="007030F1" w:rsidRPr="00915CE7">
        <w:rPr>
          <w:rFonts w:ascii="Arial" w:hAnsi="Arial" w:cs="Arial"/>
        </w:rPr>
        <w:t xml:space="preserve"> </w:t>
      </w:r>
    </w:p>
    <w:p w14:paraId="3A6946B9" w14:textId="068AB71F" w:rsidR="007030F1" w:rsidRPr="001772E7" w:rsidRDefault="007030F1" w:rsidP="009E0AB3">
      <w:pPr>
        <w:pStyle w:val="ListParagraph"/>
        <w:numPr>
          <w:ilvl w:val="0"/>
          <w:numId w:val="11"/>
        </w:numPr>
        <w:spacing w:before="120" w:after="120"/>
        <w:ind w:left="720"/>
        <w:rPr>
          <w:rFonts w:ascii="Arial" w:hAnsi="Arial" w:cs="Arial"/>
        </w:rPr>
      </w:pPr>
      <w:r w:rsidRPr="001772E7">
        <w:rPr>
          <w:rFonts w:ascii="Arial" w:hAnsi="Arial" w:cs="Arial"/>
        </w:rPr>
        <w:t>Immunology blood</w:t>
      </w:r>
      <w:r w:rsidR="003F0938">
        <w:rPr>
          <w:rFonts w:ascii="Arial" w:hAnsi="Arial" w:cs="Arial"/>
        </w:rPr>
        <w:t>:</w:t>
      </w:r>
      <w:r w:rsidRPr="001772E7">
        <w:rPr>
          <w:rFonts w:ascii="Arial" w:hAnsi="Arial" w:cs="Arial"/>
        </w:rPr>
        <w:t xml:space="preserve"> </w:t>
      </w:r>
      <w:r w:rsidR="00A762A9">
        <w:rPr>
          <w:rFonts w:ascii="Arial" w:hAnsi="Arial" w:cs="Arial"/>
        </w:rPr>
        <w:t>g</w:t>
      </w:r>
      <w:r w:rsidRPr="001772E7">
        <w:rPr>
          <w:rFonts w:ascii="Arial" w:hAnsi="Arial" w:cs="Arial"/>
        </w:rPr>
        <w:t>ene signatures</w:t>
      </w:r>
      <w:r w:rsidR="00846605">
        <w:rPr>
          <w:rFonts w:ascii="Arial" w:hAnsi="Arial" w:cs="Arial"/>
        </w:rPr>
        <w:t xml:space="preserve"> and whole blood absolute count</w:t>
      </w:r>
      <w:r w:rsidR="00A762A9">
        <w:rPr>
          <w:rFonts w:ascii="Arial" w:hAnsi="Arial" w:cs="Arial"/>
        </w:rPr>
        <w:t>.</w:t>
      </w:r>
    </w:p>
    <w:p w14:paraId="73CAF428" w14:textId="6CEF0473" w:rsidR="007030F1" w:rsidRPr="00C26076" w:rsidRDefault="007030F1" w:rsidP="009E0AB3">
      <w:pPr>
        <w:pStyle w:val="ListParagraph"/>
        <w:numPr>
          <w:ilvl w:val="0"/>
          <w:numId w:val="11"/>
        </w:numPr>
        <w:spacing w:before="120" w:after="120"/>
        <w:ind w:left="720"/>
        <w:rPr>
          <w:rFonts w:ascii="Arial" w:hAnsi="Arial" w:cs="Arial"/>
        </w:rPr>
      </w:pPr>
      <w:r w:rsidRPr="00C26076">
        <w:rPr>
          <w:rFonts w:ascii="Arial" w:hAnsi="Arial" w:cs="Arial"/>
        </w:rPr>
        <w:t xml:space="preserve">Injection site check </w:t>
      </w:r>
      <w:r w:rsidR="00883462">
        <w:rPr>
          <w:rFonts w:ascii="Arial" w:hAnsi="Arial" w:cs="Arial"/>
        </w:rPr>
        <w:t xml:space="preserve">(pain, erythema, induration) </w:t>
      </w:r>
      <w:r w:rsidRPr="00C26076">
        <w:rPr>
          <w:rFonts w:ascii="Arial" w:hAnsi="Arial" w:cs="Arial"/>
        </w:rPr>
        <w:t xml:space="preserve">and specific </w:t>
      </w:r>
      <w:r w:rsidR="00A762A9">
        <w:rPr>
          <w:rFonts w:ascii="Arial" w:hAnsi="Arial" w:cs="Arial"/>
        </w:rPr>
        <w:t xml:space="preserve">solicited </w:t>
      </w:r>
      <w:r w:rsidRPr="00C26076">
        <w:rPr>
          <w:rFonts w:ascii="Arial" w:hAnsi="Arial" w:cs="Arial"/>
        </w:rPr>
        <w:t>systemic symptoms</w:t>
      </w:r>
      <w:r w:rsidR="006A17FA">
        <w:rPr>
          <w:rFonts w:ascii="Arial" w:hAnsi="Arial" w:cs="Arial"/>
        </w:rPr>
        <w:t xml:space="preserve"> </w:t>
      </w:r>
      <w:r w:rsidR="006A17FA" w:rsidRPr="006A17FA">
        <w:rPr>
          <w:rFonts w:ascii="Arial" w:hAnsi="Arial" w:cs="Arial"/>
        </w:rPr>
        <w:t>(</w:t>
      </w:r>
      <w:r w:rsidR="006A17FA" w:rsidRPr="000B7056">
        <w:rPr>
          <w:rFonts w:ascii="Arial" w:hAnsi="Arial" w:cs="Arial"/>
        </w:rPr>
        <w:t>arthralgia, chills, nausea, fever, fatigue, myalgia)</w:t>
      </w:r>
      <w:r w:rsidR="00A762A9" w:rsidRPr="006A17FA">
        <w:rPr>
          <w:rFonts w:ascii="Arial" w:hAnsi="Arial" w:cs="Arial"/>
        </w:rPr>
        <w:t>.</w:t>
      </w:r>
    </w:p>
    <w:p w14:paraId="67997DB3" w14:textId="020C2608" w:rsidR="007030F1" w:rsidRPr="009E0AB3" w:rsidRDefault="007030F1" w:rsidP="009E0AB3">
      <w:pPr>
        <w:pStyle w:val="ListParagraph"/>
        <w:numPr>
          <w:ilvl w:val="0"/>
          <w:numId w:val="11"/>
        </w:numPr>
        <w:spacing w:before="120" w:after="120"/>
        <w:ind w:left="720"/>
        <w:rPr>
          <w:rFonts w:ascii="Arial" w:hAnsi="Arial" w:cs="Arial"/>
        </w:rPr>
      </w:pPr>
      <w:r w:rsidRPr="009E0AB3">
        <w:rPr>
          <w:rFonts w:ascii="Arial" w:hAnsi="Arial" w:cs="Arial"/>
        </w:rPr>
        <w:t xml:space="preserve">Adverse </w:t>
      </w:r>
      <w:r w:rsidR="00A762A9" w:rsidRPr="009E0AB3">
        <w:rPr>
          <w:rFonts w:ascii="Arial" w:hAnsi="Arial" w:cs="Arial"/>
        </w:rPr>
        <w:t>e</w:t>
      </w:r>
      <w:r w:rsidRPr="009E0AB3">
        <w:rPr>
          <w:rFonts w:ascii="Arial" w:hAnsi="Arial" w:cs="Arial"/>
        </w:rPr>
        <w:t>vents</w:t>
      </w:r>
      <w:r w:rsidR="00E42EBA" w:rsidRPr="009E0AB3">
        <w:rPr>
          <w:rFonts w:ascii="Arial" w:hAnsi="Arial" w:cs="Arial"/>
        </w:rPr>
        <w:t>, including SAEs and AESIs</w:t>
      </w:r>
      <w:r w:rsidR="00A762A9" w:rsidRPr="009E0AB3">
        <w:rPr>
          <w:rFonts w:ascii="Arial" w:hAnsi="Arial" w:cs="Arial"/>
        </w:rPr>
        <w:t>.</w:t>
      </w:r>
    </w:p>
    <w:p w14:paraId="3E25E8E1" w14:textId="464CF26F" w:rsidR="00377364" w:rsidRDefault="00377364" w:rsidP="009E0AB3">
      <w:pPr>
        <w:pStyle w:val="Heading3"/>
      </w:pPr>
      <w:bookmarkStart w:id="258" w:name="_Toc389129993"/>
      <w:bookmarkStart w:id="259" w:name="_Toc440906294"/>
      <w:r w:rsidRPr="00C26076">
        <w:t xml:space="preserve">Day </w:t>
      </w:r>
      <w:r>
        <w:t>14</w:t>
      </w:r>
      <w:r w:rsidRPr="00C26076">
        <w:t xml:space="preserve"> (± </w:t>
      </w:r>
      <w:r>
        <w:t>1</w:t>
      </w:r>
      <w:r w:rsidRPr="00C26076">
        <w:t>)</w:t>
      </w:r>
      <w:bookmarkEnd w:id="258"/>
      <w:bookmarkEnd w:id="259"/>
    </w:p>
    <w:p w14:paraId="1632B4C1" w14:textId="5155B518" w:rsidR="002D39E9" w:rsidRPr="00CF3F4D" w:rsidRDefault="002D39E9" w:rsidP="009E0AB3">
      <w:pPr>
        <w:pStyle w:val="ListParagraph"/>
        <w:numPr>
          <w:ilvl w:val="0"/>
          <w:numId w:val="9"/>
        </w:numPr>
        <w:spacing w:before="120" w:after="120"/>
        <w:ind w:left="720"/>
      </w:pPr>
      <w:r w:rsidRPr="00C26076">
        <w:rPr>
          <w:rFonts w:ascii="Arial" w:hAnsi="Arial" w:cs="Arial"/>
        </w:rPr>
        <w:t xml:space="preserve">Concomitant </w:t>
      </w:r>
      <w:r>
        <w:rPr>
          <w:rFonts w:ascii="Arial" w:hAnsi="Arial" w:cs="Arial"/>
        </w:rPr>
        <w:t>medications.</w:t>
      </w:r>
    </w:p>
    <w:p w14:paraId="26AE1940" w14:textId="2795E0E2" w:rsidR="00621D19" w:rsidRPr="007B2DBD" w:rsidRDefault="00A762A9" w:rsidP="009E0AB3">
      <w:pPr>
        <w:pStyle w:val="ListParagraph"/>
        <w:numPr>
          <w:ilvl w:val="0"/>
          <w:numId w:val="9"/>
        </w:numPr>
        <w:spacing w:before="120" w:after="120"/>
        <w:ind w:left="720"/>
      </w:pPr>
      <w:r>
        <w:rPr>
          <w:rFonts w:ascii="Arial" w:hAnsi="Arial" w:cs="Arial"/>
        </w:rPr>
        <w:t>Immunology blood</w:t>
      </w:r>
      <w:r w:rsidR="00621D19" w:rsidRPr="001772E7">
        <w:rPr>
          <w:rFonts w:ascii="Arial" w:hAnsi="Arial" w:cs="Arial"/>
        </w:rPr>
        <w:t xml:space="preserve">: </w:t>
      </w:r>
      <w:r>
        <w:rPr>
          <w:rFonts w:ascii="Arial" w:hAnsi="Arial" w:cs="Arial"/>
        </w:rPr>
        <w:t>w</w:t>
      </w:r>
      <w:r w:rsidR="00621D19" w:rsidRPr="001772E7">
        <w:rPr>
          <w:rFonts w:ascii="Arial" w:hAnsi="Arial" w:cs="Arial"/>
        </w:rPr>
        <w:t xml:space="preserve">hole </w:t>
      </w:r>
      <w:r>
        <w:rPr>
          <w:rFonts w:ascii="Arial" w:hAnsi="Arial" w:cs="Arial"/>
        </w:rPr>
        <w:t>b</w:t>
      </w:r>
      <w:r w:rsidR="00621D19" w:rsidRPr="001772E7">
        <w:rPr>
          <w:rFonts w:ascii="Arial" w:hAnsi="Arial" w:cs="Arial"/>
        </w:rPr>
        <w:t>lood ICS, PBMCs, serum for IgG ELISA</w:t>
      </w:r>
      <w:r>
        <w:rPr>
          <w:rFonts w:ascii="Arial" w:hAnsi="Arial" w:cs="Arial"/>
        </w:rPr>
        <w:t>.</w:t>
      </w:r>
      <w:r w:rsidR="00621D19" w:rsidRPr="001772E7">
        <w:rPr>
          <w:rFonts w:ascii="Arial" w:hAnsi="Arial" w:cs="Arial"/>
        </w:rPr>
        <w:t xml:space="preserve"> </w:t>
      </w:r>
    </w:p>
    <w:p w14:paraId="64F69837" w14:textId="366CFA16" w:rsidR="000A5076" w:rsidRPr="007B2DBD" w:rsidRDefault="000A5076" w:rsidP="009E0AB3">
      <w:pPr>
        <w:pStyle w:val="ListParagraph"/>
        <w:numPr>
          <w:ilvl w:val="0"/>
          <w:numId w:val="9"/>
        </w:numPr>
        <w:spacing w:before="120" w:after="120"/>
        <w:ind w:left="720"/>
      </w:pPr>
      <w:r w:rsidRPr="000A5076">
        <w:rPr>
          <w:rFonts w:ascii="Arial" w:hAnsi="Arial" w:cs="Arial"/>
        </w:rPr>
        <w:t>TB symptom screen and two sputum samples for Xpert MTB/RIF and MGIT culture if symptom directed.</w:t>
      </w:r>
    </w:p>
    <w:p w14:paraId="58E90424" w14:textId="2EE0CC0F" w:rsidR="000A5076" w:rsidRPr="00621D19" w:rsidRDefault="000A5076" w:rsidP="009E0AB3">
      <w:pPr>
        <w:pStyle w:val="ListParagraph"/>
        <w:numPr>
          <w:ilvl w:val="0"/>
          <w:numId w:val="9"/>
        </w:numPr>
        <w:spacing w:before="120" w:after="120"/>
        <w:ind w:left="720"/>
      </w:pPr>
      <w:r w:rsidRPr="00E42EBA">
        <w:rPr>
          <w:rFonts w:ascii="Arial" w:hAnsi="Arial" w:cs="Arial"/>
        </w:rPr>
        <w:t xml:space="preserve">Adverse </w:t>
      </w:r>
      <w:r w:rsidR="00A762A9">
        <w:rPr>
          <w:rFonts w:ascii="Arial" w:hAnsi="Arial" w:cs="Arial"/>
        </w:rPr>
        <w:t>e</w:t>
      </w:r>
      <w:r w:rsidRPr="00E42EBA">
        <w:rPr>
          <w:rFonts w:ascii="Arial" w:hAnsi="Arial" w:cs="Arial"/>
        </w:rPr>
        <w:t xml:space="preserve">vents, </w:t>
      </w:r>
      <w:r>
        <w:rPr>
          <w:rFonts w:ascii="Arial" w:hAnsi="Arial" w:cs="Arial"/>
        </w:rPr>
        <w:t xml:space="preserve">including </w:t>
      </w:r>
      <w:r w:rsidRPr="00E42EBA">
        <w:rPr>
          <w:rFonts w:ascii="Arial" w:hAnsi="Arial" w:cs="Arial"/>
        </w:rPr>
        <w:t>SAEs and AESIs</w:t>
      </w:r>
      <w:r w:rsidR="00A762A9">
        <w:rPr>
          <w:rFonts w:ascii="Arial" w:hAnsi="Arial" w:cs="Arial"/>
        </w:rPr>
        <w:t>.</w:t>
      </w:r>
    </w:p>
    <w:p w14:paraId="6A8AB8C9" w14:textId="1F92CD7A" w:rsidR="00377364" w:rsidRDefault="00377364" w:rsidP="009E0AB3">
      <w:pPr>
        <w:pStyle w:val="Heading3"/>
      </w:pPr>
      <w:bookmarkStart w:id="260" w:name="_Toc389129994"/>
      <w:bookmarkStart w:id="261" w:name="_Toc440906295"/>
      <w:r w:rsidRPr="00C26076">
        <w:t xml:space="preserve">Day </w:t>
      </w:r>
      <w:r>
        <w:t>28</w:t>
      </w:r>
      <w:r w:rsidRPr="00C26076">
        <w:t xml:space="preserve"> (± </w:t>
      </w:r>
      <w:r w:rsidR="000F1C1E">
        <w:t>3</w:t>
      </w:r>
      <w:r w:rsidRPr="00C26076">
        <w:t>)</w:t>
      </w:r>
      <w:bookmarkEnd w:id="260"/>
      <w:r w:rsidR="00AC6A21">
        <w:t xml:space="preserve"> Cohorts 1 and 2</w:t>
      </w:r>
      <w:bookmarkEnd w:id="261"/>
    </w:p>
    <w:p w14:paraId="60113428" w14:textId="2B4AEA47" w:rsidR="002D39E9" w:rsidRDefault="002D39E9" w:rsidP="009E0AB3">
      <w:pPr>
        <w:pStyle w:val="ListParagraph"/>
        <w:numPr>
          <w:ilvl w:val="0"/>
          <w:numId w:val="11"/>
        </w:numPr>
        <w:spacing w:before="120" w:after="120"/>
        <w:ind w:left="720"/>
        <w:rPr>
          <w:rFonts w:ascii="Arial" w:hAnsi="Arial" w:cs="Arial"/>
        </w:rPr>
      </w:pPr>
      <w:r w:rsidRPr="00C26076">
        <w:rPr>
          <w:rFonts w:ascii="Arial" w:hAnsi="Arial" w:cs="Arial"/>
        </w:rPr>
        <w:t xml:space="preserve">Concomitant </w:t>
      </w:r>
      <w:r>
        <w:rPr>
          <w:rFonts w:ascii="Arial" w:hAnsi="Arial" w:cs="Arial"/>
        </w:rPr>
        <w:t>medications.</w:t>
      </w:r>
    </w:p>
    <w:p w14:paraId="09D30D44" w14:textId="59CE59CB" w:rsidR="000A5076" w:rsidRDefault="00A762A9" w:rsidP="009E0AB3">
      <w:pPr>
        <w:pStyle w:val="ListParagraph"/>
        <w:numPr>
          <w:ilvl w:val="0"/>
          <w:numId w:val="11"/>
        </w:numPr>
        <w:spacing w:before="120" w:after="120"/>
        <w:ind w:left="720"/>
        <w:rPr>
          <w:rFonts w:ascii="Arial" w:hAnsi="Arial" w:cs="Arial"/>
        </w:rPr>
      </w:pPr>
      <w:r>
        <w:rPr>
          <w:rFonts w:ascii="Arial" w:hAnsi="Arial" w:cs="Arial"/>
        </w:rPr>
        <w:t>Immunology blood</w:t>
      </w:r>
      <w:r w:rsidR="00621D19" w:rsidRPr="001772E7">
        <w:rPr>
          <w:rFonts w:ascii="Arial" w:hAnsi="Arial" w:cs="Arial"/>
        </w:rPr>
        <w:t xml:space="preserve">: </w:t>
      </w:r>
      <w:r>
        <w:rPr>
          <w:rFonts w:ascii="Arial" w:hAnsi="Arial" w:cs="Arial"/>
        </w:rPr>
        <w:t>w</w:t>
      </w:r>
      <w:r w:rsidR="00621D19" w:rsidRPr="001772E7">
        <w:rPr>
          <w:rFonts w:ascii="Arial" w:hAnsi="Arial" w:cs="Arial"/>
        </w:rPr>
        <w:t xml:space="preserve">hole </w:t>
      </w:r>
      <w:r>
        <w:rPr>
          <w:rFonts w:ascii="Arial" w:hAnsi="Arial" w:cs="Arial"/>
        </w:rPr>
        <w:t>b</w:t>
      </w:r>
      <w:r w:rsidR="00621D19" w:rsidRPr="001772E7">
        <w:rPr>
          <w:rFonts w:ascii="Arial" w:hAnsi="Arial" w:cs="Arial"/>
        </w:rPr>
        <w:t>lood ICS, PBMCs, serum for IgG ELISA</w:t>
      </w:r>
      <w:r>
        <w:rPr>
          <w:rFonts w:ascii="Arial" w:hAnsi="Arial" w:cs="Arial"/>
        </w:rPr>
        <w:t>.</w:t>
      </w:r>
      <w:r w:rsidR="00621D19" w:rsidRPr="001772E7">
        <w:rPr>
          <w:rFonts w:ascii="Arial" w:hAnsi="Arial" w:cs="Arial"/>
        </w:rPr>
        <w:t xml:space="preserve"> </w:t>
      </w:r>
    </w:p>
    <w:p w14:paraId="691197E7" w14:textId="26961F73" w:rsidR="00621D19" w:rsidRPr="007B2DBD" w:rsidRDefault="000A5076" w:rsidP="009E0AB3">
      <w:pPr>
        <w:pStyle w:val="ListParagraph"/>
        <w:numPr>
          <w:ilvl w:val="0"/>
          <w:numId w:val="9"/>
        </w:numPr>
        <w:spacing w:before="120" w:after="120"/>
        <w:ind w:left="720"/>
      </w:pPr>
      <w:r w:rsidRPr="000A5076">
        <w:rPr>
          <w:rFonts w:ascii="Arial" w:hAnsi="Arial" w:cs="Arial"/>
        </w:rPr>
        <w:t>TB symptom screen and two sputum samples for Xpert MTB/RIF and MGIT culture if symptom directed.</w:t>
      </w:r>
    </w:p>
    <w:p w14:paraId="7C9B889F" w14:textId="25329765" w:rsidR="000A5076" w:rsidRPr="003C7CF5" w:rsidRDefault="000A5076" w:rsidP="009E0AB3">
      <w:pPr>
        <w:pStyle w:val="ListParagraph"/>
        <w:numPr>
          <w:ilvl w:val="0"/>
          <w:numId w:val="9"/>
        </w:numPr>
        <w:spacing w:before="120" w:after="120"/>
        <w:ind w:left="720"/>
      </w:pPr>
      <w:r w:rsidRPr="00E42EBA">
        <w:rPr>
          <w:rFonts w:ascii="Arial" w:hAnsi="Arial" w:cs="Arial"/>
        </w:rPr>
        <w:t xml:space="preserve">Adverse </w:t>
      </w:r>
      <w:r w:rsidR="00A762A9">
        <w:rPr>
          <w:rFonts w:ascii="Arial" w:hAnsi="Arial" w:cs="Arial"/>
        </w:rPr>
        <w:t>e</w:t>
      </w:r>
      <w:r w:rsidRPr="00E42EBA">
        <w:rPr>
          <w:rFonts w:ascii="Arial" w:hAnsi="Arial" w:cs="Arial"/>
        </w:rPr>
        <w:t xml:space="preserve">vents, </w:t>
      </w:r>
      <w:r>
        <w:rPr>
          <w:rFonts w:ascii="Arial" w:hAnsi="Arial" w:cs="Arial"/>
        </w:rPr>
        <w:t xml:space="preserve">including </w:t>
      </w:r>
      <w:r w:rsidRPr="00E42EBA">
        <w:rPr>
          <w:rFonts w:ascii="Arial" w:hAnsi="Arial" w:cs="Arial"/>
        </w:rPr>
        <w:t>SAEs and AESIs</w:t>
      </w:r>
      <w:r w:rsidR="00A762A9">
        <w:rPr>
          <w:rFonts w:ascii="Arial" w:hAnsi="Arial" w:cs="Arial"/>
        </w:rPr>
        <w:t>.</w:t>
      </w:r>
    </w:p>
    <w:p w14:paraId="5829AB88" w14:textId="701843A0" w:rsidR="00AC6A21" w:rsidRDefault="00AC6A21" w:rsidP="00AC6A21">
      <w:pPr>
        <w:pStyle w:val="Heading3"/>
      </w:pPr>
      <w:bookmarkStart w:id="262" w:name="_Toc440906296"/>
      <w:bookmarkStart w:id="263" w:name="_Toc389129995"/>
      <w:r w:rsidRPr="00C26076">
        <w:t xml:space="preserve">Day </w:t>
      </w:r>
      <w:r>
        <w:t>28</w:t>
      </w:r>
      <w:r w:rsidRPr="00C26076">
        <w:t xml:space="preserve"> (± </w:t>
      </w:r>
      <w:r>
        <w:t>3</w:t>
      </w:r>
      <w:r w:rsidRPr="00C26076">
        <w:t>)</w:t>
      </w:r>
      <w:r>
        <w:t xml:space="preserve"> Cohort 3</w:t>
      </w:r>
      <w:r w:rsidR="00875897">
        <w:t xml:space="preserve"> only</w:t>
      </w:r>
      <w:bookmarkEnd w:id="262"/>
    </w:p>
    <w:p w14:paraId="02345CF5" w14:textId="77777777" w:rsidR="003C19BC" w:rsidRPr="00C26076" w:rsidRDefault="003C19BC" w:rsidP="003C19BC">
      <w:pPr>
        <w:pStyle w:val="ListParagraph"/>
        <w:spacing w:before="120" w:after="120"/>
        <w:ind w:left="0"/>
        <w:contextualSpacing w:val="0"/>
        <w:rPr>
          <w:rFonts w:ascii="Arial" w:hAnsi="Arial" w:cs="Arial"/>
          <w:i/>
        </w:rPr>
      </w:pPr>
      <w:r w:rsidRPr="00C26076">
        <w:rPr>
          <w:rFonts w:ascii="Arial" w:hAnsi="Arial" w:cs="Arial"/>
          <w:b/>
          <w:i/>
        </w:rPr>
        <w:t>Pre-injection:</w:t>
      </w:r>
    </w:p>
    <w:p w14:paraId="2DDECA6B" w14:textId="77777777" w:rsidR="003C19BC" w:rsidRPr="00C26076" w:rsidRDefault="003C19BC" w:rsidP="003C19BC">
      <w:pPr>
        <w:pStyle w:val="ListParagraph"/>
        <w:numPr>
          <w:ilvl w:val="0"/>
          <w:numId w:val="12"/>
        </w:numPr>
        <w:spacing w:before="120" w:after="120"/>
        <w:ind w:left="720"/>
        <w:rPr>
          <w:rFonts w:ascii="Arial" w:hAnsi="Arial" w:cs="Arial"/>
        </w:rPr>
      </w:pPr>
      <w:r w:rsidRPr="00C26076">
        <w:rPr>
          <w:rFonts w:ascii="Arial" w:hAnsi="Arial" w:cs="Arial"/>
        </w:rPr>
        <w:t xml:space="preserve">Concomitant </w:t>
      </w:r>
      <w:r>
        <w:rPr>
          <w:rFonts w:ascii="Arial" w:hAnsi="Arial" w:cs="Arial"/>
        </w:rPr>
        <w:t>medications.</w:t>
      </w:r>
    </w:p>
    <w:p w14:paraId="5708332E" w14:textId="77777777" w:rsidR="003C19BC" w:rsidRDefault="003C19BC" w:rsidP="003C19BC">
      <w:pPr>
        <w:pStyle w:val="ListParagraph"/>
        <w:numPr>
          <w:ilvl w:val="0"/>
          <w:numId w:val="12"/>
        </w:numPr>
        <w:spacing w:before="120" w:after="120"/>
        <w:ind w:left="720"/>
        <w:rPr>
          <w:rFonts w:ascii="Arial" w:hAnsi="Arial" w:cs="Arial"/>
        </w:rPr>
      </w:pPr>
      <w:r w:rsidRPr="00C26076">
        <w:rPr>
          <w:rFonts w:ascii="Arial" w:hAnsi="Arial" w:cs="Arial"/>
        </w:rPr>
        <w:t>Vital signs</w:t>
      </w:r>
      <w:r>
        <w:rPr>
          <w:rFonts w:ascii="Arial" w:hAnsi="Arial" w:cs="Arial"/>
        </w:rPr>
        <w:t xml:space="preserve"> (</w:t>
      </w:r>
      <w:r>
        <w:rPr>
          <w:rFonts w:ascii="Arial" w:hAnsi="Arial" w:cs="Arial"/>
          <w:lang w:val="en-US"/>
        </w:rPr>
        <w:t>axillary</w:t>
      </w:r>
      <w:r w:rsidRPr="00B258F1">
        <w:rPr>
          <w:rFonts w:ascii="Arial" w:hAnsi="Arial" w:cs="Arial"/>
          <w:lang w:val="en-US"/>
        </w:rPr>
        <w:t xml:space="preserve"> temperature must be &lt;</w:t>
      </w:r>
      <w:r>
        <w:rPr>
          <w:rFonts w:ascii="Arial" w:hAnsi="Arial" w:cs="Arial"/>
          <w:lang w:val="en-US"/>
        </w:rPr>
        <w:t>38.0</w:t>
      </w:r>
      <w:r w:rsidRPr="00B258F1">
        <w:rPr>
          <w:rFonts w:ascii="Arial" w:hAnsi="Arial" w:cs="Arial"/>
          <w:lang w:val="en-US"/>
        </w:rPr>
        <w:t>°C</w:t>
      </w:r>
      <w:r>
        <w:rPr>
          <w:rFonts w:ascii="Arial" w:hAnsi="Arial" w:cs="Arial"/>
          <w:lang w:val="en-US"/>
        </w:rPr>
        <w:t>).</w:t>
      </w:r>
    </w:p>
    <w:p w14:paraId="70A0410D" w14:textId="77777777" w:rsidR="003C19BC" w:rsidRPr="00C26076" w:rsidRDefault="003C19BC" w:rsidP="003C19BC">
      <w:pPr>
        <w:pStyle w:val="ListParagraph"/>
        <w:numPr>
          <w:ilvl w:val="0"/>
          <w:numId w:val="12"/>
        </w:numPr>
        <w:spacing w:before="120" w:after="120"/>
        <w:ind w:left="720"/>
        <w:rPr>
          <w:rFonts w:ascii="Arial" w:hAnsi="Arial" w:cs="Arial"/>
        </w:rPr>
      </w:pPr>
      <w:r w:rsidRPr="00C26076">
        <w:rPr>
          <w:rFonts w:ascii="Arial" w:hAnsi="Arial" w:cs="Arial"/>
        </w:rPr>
        <w:t>Directed physical exam</w:t>
      </w:r>
      <w:r>
        <w:rPr>
          <w:rFonts w:ascii="Arial" w:hAnsi="Arial" w:cs="Arial"/>
        </w:rPr>
        <w:t xml:space="preserve"> </w:t>
      </w:r>
      <w:r w:rsidRPr="00C26076">
        <w:rPr>
          <w:rFonts w:ascii="Arial" w:hAnsi="Arial" w:cs="Arial"/>
        </w:rPr>
        <w:t xml:space="preserve">including </w:t>
      </w:r>
      <w:r>
        <w:rPr>
          <w:rFonts w:ascii="Arial" w:hAnsi="Arial" w:cs="Arial"/>
        </w:rPr>
        <w:t xml:space="preserve">weight and </w:t>
      </w:r>
      <w:r w:rsidRPr="00C26076">
        <w:rPr>
          <w:rFonts w:ascii="Arial" w:hAnsi="Arial" w:cs="Arial"/>
        </w:rPr>
        <w:t xml:space="preserve">assessment of unexplained persistent </w:t>
      </w:r>
      <w:r>
        <w:rPr>
          <w:rFonts w:ascii="Arial" w:hAnsi="Arial" w:cs="Arial"/>
        </w:rPr>
        <w:t xml:space="preserve">(14 days or longer) </w:t>
      </w:r>
      <w:r w:rsidRPr="00C26076">
        <w:rPr>
          <w:rFonts w:ascii="Arial" w:hAnsi="Arial" w:cs="Arial"/>
        </w:rPr>
        <w:t xml:space="preserve">or productive cough, fever, weight loss, fatigue, chest pain, or </w:t>
      </w:r>
      <w:r>
        <w:rPr>
          <w:rFonts w:ascii="Arial" w:hAnsi="Arial" w:cs="Arial"/>
        </w:rPr>
        <w:t xml:space="preserve">any </w:t>
      </w:r>
      <w:r w:rsidRPr="00C26076">
        <w:rPr>
          <w:rFonts w:ascii="Arial" w:hAnsi="Arial" w:cs="Arial"/>
        </w:rPr>
        <w:t>hemoptysis</w:t>
      </w:r>
      <w:r>
        <w:rPr>
          <w:rFonts w:ascii="Arial" w:hAnsi="Arial" w:cs="Arial"/>
        </w:rPr>
        <w:t xml:space="preserve">, </w:t>
      </w:r>
      <w:r w:rsidRPr="00C26076">
        <w:rPr>
          <w:rFonts w:ascii="Arial" w:hAnsi="Arial" w:cs="Arial"/>
        </w:rPr>
        <w:t>including chest radiography as indicated, to screen for suspected recurrent TB. Investigation for suspected extra-pulmonary TB may include aspiration, biopsy, or radiological i</w:t>
      </w:r>
      <w:r>
        <w:rPr>
          <w:rFonts w:ascii="Arial" w:hAnsi="Arial" w:cs="Arial"/>
        </w:rPr>
        <w:t>maging, as clinically indicated.</w:t>
      </w:r>
    </w:p>
    <w:p w14:paraId="4EEC8BA7" w14:textId="77777777" w:rsidR="003C19BC" w:rsidRPr="00CA2F78" w:rsidRDefault="003C19BC" w:rsidP="003C19BC">
      <w:pPr>
        <w:pStyle w:val="ListParagraph"/>
        <w:numPr>
          <w:ilvl w:val="0"/>
          <w:numId w:val="9"/>
        </w:numPr>
        <w:spacing w:before="120" w:after="120"/>
        <w:ind w:left="720"/>
        <w:rPr>
          <w:rFonts w:ascii="Arial" w:hAnsi="Arial" w:cs="Arial"/>
        </w:rPr>
      </w:pPr>
      <w:r w:rsidRPr="00CA2F78">
        <w:rPr>
          <w:rFonts w:ascii="Arial" w:hAnsi="Arial" w:cs="Arial"/>
        </w:rPr>
        <w:t>TB symptom screen and two sputum samples for Xpert MTB/RIF and MGIT culture if symptom directed.</w:t>
      </w:r>
    </w:p>
    <w:p w14:paraId="63B67024" w14:textId="77777777" w:rsidR="003C19BC" w:rsidRDefault="003C19BC" w:rsidP="003C19BC">
      <w:pPr>
        <w:pStyle w:val="ListParagraph"/>
        <w:numPr>
          <w:ilvl w:val="0"/>
          <w:numId w:val="9"/>
        </w:numPr>
        <w:spacing w:before="120" w:after="120"/>
        <w:ind w:left="720"/>
        <w:rPr>
          <w:rFonts w:ascii="Arial" w:hAnsi="Arial" w:cs="Arial"/>
        </w:rPr>
      </w:pPr>
      <w:r>
        <w:rPr>
          <w:rFonts w:ascii="Arial" w:hAnsi="Arial" w:cs="Arial"/>
        </w:rPr>
        <w:t>P</w:t>
      </w:r>
      <w:r w:rsidRPr="00C26076">
        <w:rPr>
          <w:rFonts w:ascii="Arial" w:hAnsi="Arial" w:cs="Arial"/>
        </w:rPr>
        <w:t>regnancy test (urine BHCG)</w:t>
      </w:r>
      <w:r>
        <w:rPr>
          <w:rFonts w:ascii="Arial" w:hAnsi="Arial" w:cs="Arial"/>
        </w:rPr>
        <w:t>.</w:t>
      </w:r>
      <w:r w:rsidRPr="00C26076">
        <w:rPr>
          <w:rFonts w:ascii="Arial" w:hAnsi="Arial" w:cs="Arial"/>
        </w:rPr>
        <w:t xml:space="preserve"> </w:t>
      </w:r>
    </w:p>
    <w:p w14:paraId="68F8F330" w14:textId="77777777" w:rsidR="003C19BC" w:rsidRDefault="003C19BC" w:rsidP="003C19BC">
      <w:pPr>
        <w:pStyle w:val="ListParagraph"/>
        <w:numPr>
          <w:ilvl w:val="0"/>
          <w:numId w:val="9"/>
        </w:numPr>
        <w:spacing w:before="120" w:after="120"/>
        <w:ind w:left="720"/>
        <w:rPr>
          <w:rFonts w:ascii="Arial" w:hAnsi="Arial" w:cs="Arial"/>
        </w:rPr>
      </w:pPr>
      <w:r>
        <w:rPr>
          <w:rFonts w:ascii="Arial" w:hAnsi="Arial" w:cs="Arial"/>
        </w:rPr>
        <w:t>Hematology</w:t>
      </w:r>
      <w:r w:rsidRPr="001772E7">
        <w:rPr>
          <w:rFonts w:ascii="Arial" w:hAnsi="Arial" w:cs="Arial"/>
        </w:rPr>
        <w:t xml:space="preserve"> and chemistry</w:t>
      </w:r>
      <w:r>
        <w:rPr>
          <w:rFonts w:ascii="Arial" w:hAnsi="Arial" w:cs="Arial"/>
        </w:rPr>
        <w:t xml:space="preserve">: </w:t>
      </w:r>
      <w:r w:rsidRPr="007346FE">
        <w:rPr>
          <w:rFonts w:ascii="Arial" w:hAnsi="Arial" w:cs="Arial"/>
        </w:rPr>
        <w:t>tota</w:t>
      </w:r>
      <w:r>
        <w:rPr>
          <w:rFonts w:ascii="Arial" w:hAnsi="Arial" w:cs="Arial"/>
        </w:rPr>
        <w:t>l WBC count, h</w:t>
      </w:r>
      <w:r w:rsidRPr="007346FE">
        <w:rPr>
          <w:rFonts w:ascii="Arial" w:hAnsi="Arial" w:cs="Arial"/>
        </w:rPr>
        <w:t xml:space="preserve">emoglobin, platelet count, total bilirubin, creatinine, </w:t>
      </w:r>
      <w:r>
        <w:rPr>
          <w:rFonts w:ascii="Arial" w:hAnsi="Arial" w:cs="Arial"/>
        </w:rPr>
        <w:t xml:space="preserve">and </w:t>
      </w:r>
      <w:r w:rsidRPr="007346FE">
        <w:rPr>
          <w:rFonts w:ascii="Arial" w:hAnsi="Arial" w:cs="Arial"/>
        </w:rPr>
        <w:t>ALT</w:t>
      </w:r>
      <w:r>
        <w:rPr>
          <w:rFonts w:ascii="Arial" w:hAnsi="Arial" w:cs="Arial"/>
        </w:rPr>
        <w:t>.</w:t>
      </w:r>
    </w:p>
    <w:p w14:paraId="319657AC" w14:textId="77777777" w:rsidR="003C19BC" w:rsidRPr="00B0579D" w:rsidRDefault="003C19BC" w:rsidP="003C19BC">
      <w:pPr>
        <w:pStyle w:val="ListParagraph"/>
        <w:numPr>
          <w:ilvl w:val="0"/>
          <w:numId w:val="9"/>
        </w:numPr>
        <w:spacing w:before="120" w:after="120"/>
        <w:ind w:left="720"/>
        <w:rPr>
          <w:rFonts w:ascii="Arial" w:hAnsi="Arial" w:cs="Arial"/>
        </w:rPr>
      </w:pPr>
      <w:r>
        <w:rPr>
          <w:rFonts w:ascii="Arial" w:hAnsi="Arial" w:cs="Arial"/>
        </w:rPr>
        <w:t>HIV counselling and s</w:t>
      </w:r>
      <w:r w:rsidRPr="00C26076">
        <w:rPr>
          <w:rFonts w:ascii="Arial" w:hAnsi="Arial" w:cs="Arial"/>
        </w:rPr>
        <w:t>erology if confirmed TB</w:t>
      </w:r>
      <w:r>
        <w:rPr>
          <w:rFonts w:ascii="Arial" w:hAnsi="Arial" w:cs="Arial"/>
        </w:rPr>
        <w:t>.</w:t>
      </w:r>
    </w:p>
    <w:p w14:paraId="6FAE3627" w14:textId="31AE7941" w:rsidR="003C19BC" w:rsidRDefault="003C19BC" w:rsidP="003C19BC">
      <w:pPr>
        <w:pStyle w:val="ListParagraph"/>
        <w:numPr>
          <w:ilvl w:val="0"/>
          <w:numId w:val="9"/>
        </w:numPr>
        <w:spacing w:before="120" w:after="120"/>
        <w:ind w:left="720"/>
        <w:rPr>
          <w:rFonts w:ascii="Arial" w:hAnsi="Arial" w:cs="Arial"/>
        </w:rPr>
      </w:pPr>
      <w:r w:rsidRPr="00C26076">
        <w:rPr>
          <w:rFonts w:ascii="Arial" w:hAnsi="Arial" w:cs="Arial"/>
        </w:rPr>
        <w:t xml:space="preserve">Immunology blood: </w:t>
      </w:r>
      <w:r>
        <w:rPr>
          <w:rFonts w:ascii="Arial" w:hAnsi="Arial" w:cs="Arial"/>
        </w:rPr>
        <w:t>w</w:t>
      </w:r>
      <w:r w:rsidRPr="00C26076">
        <w:rPr>
          <w:rFonts w:ascii="Arial" w:hAnsi="Arial" w:cs="Arial"/>
        </w:rPr>
        <w:t xml:space="preserve">hole </w:t>
      </w:r>
      <w:r>
        <w:rPr>
          <w:rFonts w:ascii="Arial" w:hAnsi="Arial" w:cs="Arial"/>
        </w:rPr>
        <w:t>b</w:t>
      </w:r>
      <w:r w:rsidRPr="00C26076">
        <w:rPr>
          <w:rFonts w:ascii="Arial" w:hAnsi="Arial" w:cs="Arial"/>
        </w:rPr>
        <w:t xml:space="preserve">lood </w:t>
      </w:r>
      <w:r>
        <w:rPr>
          <w:rFonts w:ascii="Arial" w:hAnsi="Arial" w:cs="Arial"/>
        </w:rPr>
        <w:t>ICS, PBMCs, serum for IgG ELISA</w:t>
      </w:r>
      <w:r w:rsidR="003751AA">
        <w:rPr>
          <w:rFonts w:ascii="Arial" w:hAnsi="Arial" w:cs="Arial"/>
        </w:rPr>
        <w:t>, gene signatures and whole blood absolute count</w:t>
      </w:r>
      <w:r>
        <w:rPr>
          <w:rFonts w:ascii="Arial" w:hAnsi="Arial" w:cs="Arial"/>
        </w:rPr>
        <w:t>.</w:t>
      </w:r>
    </w:p>
    <w:p w14:paraId="096059C0" w14:textId="77777777" w:rsidR="003C19BC" w:rsidRPr="00C26076" w:rsidRDefault="003C19BC" w:rsidP="003C19BC">
      <w:pPr>
        <w:pStyle w:val="ListParagraph"/>
        <w:numPr>
          <w:ilvl w:val="0"/>
          <w:numId w:val="9"/>
        </w:numPr>
        <w:spacing w:before="120" w:after="120"/>
        <w:ind w:left="720"/>
        <w:rPr>
          <w:rFonts w:ascii="Arial" w:hAnsi="Arial" w:cs="Arial"/>
        </w:rPr>
      </w:pPr>
      <w:r>
        <w:rPr>
          <w:rFonts w:ascii="Arial" w:hAnsi="Arial" w:cs="Arial"/>
        </w:rPr>
        <w:t>Confirm continued eligibility for study injection.</w:t>
      </w:r>
    </w:p>
    <w:p w14:paraId="505FDDA9" w14:textId="77777777" w:rsidR="003C19BC" w:rsidRPr="00C26076" w:rsidRDefault="003C19BC" w:rsidP="003C19BC">
      <w:pPr>
        <w:spacing w:before="120" w:after="120" w:line="276" w:lineRule="auto"/>
        <w:contextualSpacing/>
        <w:rPr>
          <w:rFonts w:cs="Arial"/>
          <w:b/>
          <w:i/>
          <w:szCs w:val="22"/>
        </w:rPr>
      </w:pPr>
      <w:r w:rsidRPr="00C26076">
        <w:rPr>
          <w:rFonts w:cs="Arial"/>
          <w:b/>
          <w:i/>
          <w:szCs w:val="22"/>
        </w:rPr>
        <w:t>Injection:</w:t>
      </w:r>
    </w:p>
    <w:p w14:paraId="08C77E1B" w14:textId="77777777" w:rsidR="003C19BC" w:rsidRDefault="003C19BC" w:rsidP="003C19BC">
      <w:pPr>
        <w:pStyle w:val="ListParagraph"/>
        <w:numPr>
          <w:ilvl w:val="0"/>
          <w:numId w:val="17"/>
        </w:numPr>
        <w:spacing w:before="120" w:after="120"/>
        <w:ind w:left="720"/>
        <w:rPr>
          <w:rFonts w:ascii="Arial" w:hAnsi="Arial" w:cs="Arial"/>
        </w:rPr>
      </w:pPr>
      <w:r>
        <w:rPr>
          <w:rFonts w:ascii="Arial" w:hAnsi="Arial" w:cs="Arial"/>
        </w:rPr>
        <w:t>Inspect syringe and vaccine volume, confirm PID #, subject initials, and the date and time of dose preparation.</w:t>
      </w:r>
    </w:p>
    <w:p w14:paraId="683D7FE3" w14:textId="77777777" w:rsidR="003C19BC" w:rsidRPr="00C26076" w:rsidRDefault="003C19BC" w:rsidP="003C19BC">
      <w:pPr>
        <w:pStyle w:val="ListParagraph"/>
        <w:numPr>
          <w:ilvl w:val="0"/>
          <w:numId w:val="17"/>
        </w:numPr>
        <w:spacing w:before="120" w:after="120"/>
        <w:ind w:left="720"/>
        <w:rPr>
          <w:rFonts w:ascii="Arial" w:hAnsi="Arial" w:cs="Arial"/>
        </w:rPr>
      </w:pPr>
      <w:r w:rsidRPr="00C26076">
        <w:rPr>
          <w:rFonts w:ascii="Arial" w:hAnsi="Arial" w:cs="Arial"/>
        </w:rPr>
        <w:t>Administer study injection by intramuscular injection into deltoid area of arm. Record date and time of injection and which arm was injected.</w:t>
      </w:r>
    </w:p>
    <w:p w14:paraId="1A601C81" w14:textId="77777777" w:rsidR="003C19BC" w:rsidRPr="00C26076" w:rsidRDefault="003C19BC" w:rsidP="003C19BC">
      <w:pPr>
        <w:spacing w:before="120" w:after="120" w:line="276" w:lineRule="auto"/>
        <w:contextualSpacing/>
        <w:rPr>
          <w:rFonts w:cs="Arial"/>
          <w:b/>
          <w:i/>
          <w:szCs w:val="22"/>
        </w:rPr>
      </w:pPr>
      <w:r>
        <w:rPr>
          <w:rFonts w:cs="Arial"/>
          <w:b/>
          <w:i/>
          <w:szCs w:val="22"/>
        </w:rPr>
        <w:t>30 minute evaluation</w:t>
      </w:r>
      <w:r w:rsidRPr="00C26076">
        <w:rPr>
          <w:rFonts w:cs="Arial"/>
          <w:b/>
          <w:i/>
          <w:szCs w:val="22"/>
        </w:rPr>
        <w:t xml:space="preserve"> </w:t>
      </w:r>
      <w:r>
        <w:rPr>
          <w:rFonts w:cs="Arial"/>
          <w:b/>
          <w:i/>
          <w:szCs w:val="22"/>
        </w:rPr>
        <w:t>p</w:t>
      </w:r>
      <w:r w:rsidRPr="00C26076">
        <w:rPr>
          <w:rFonts w:cs="Arial"/>
          <w:b/>
          <w:i/>
          <w:szCs w:val="22"/>
        </w:rPr>
        <w:t>ost-injection</w:t>
      </w:r>
      <w:r w:rsidRPr="00717D30">
        <w:rPr>
          <w:rFonts w:cs="Arial"/>
          <w:i/>
          <w:szCs w:val="22"/>
        </w:rPr>
        <w:t xml:space="preserve"> </w:t>
      </w:r>
      <w:r w:rsidRPr="00717D30">
        <w:rPr>
          <w:rFonts w:cs="Arial"/>
        </w:rPr>
        <w:t>(at least 30 minutes)</w:t>
      </w:r>
      <w:r w:rsidRPr="00717D30">
        <w:rPr>
          <w:rFonts w:cs="Arial"/>
          <w:i/>
          <w:szCs w:val="22"/>
        </w:rPr>
        <w:t>:</w:t>
      </w:r>
    </w:p>
    <w:p w14:paraId="7432500F" w14:textId="77777777" w:rsidR="003C19BC" w:rsidRPr="00C26076" w:rsidRDefault="003C19BC" w:rsidP="003C19BC">
      <w:pPr>
        <w:pStyle w:val="ListParagraph"/>
        <w:numPr>
          <w:ilvl w:val="0"/>
          <w:numId w:val="9"/>
        </w:numPr>
        <w:spacing w:before="120" w:after="120"/>
        <w:ind w:left="720"/>
        <w:rPr>
          <w:rFonts w:ascii="Arial" w:hAnsi="Arial" w:cs="Arial"/>
        </w:rPr>
      </w:pPr>
      <w:r w:rsidRPr="00C26076">
        <w:rPr>
          <w:rFonts w:ascii="Arial" w:hAnsi="Arial" w:cs="Arial"/>
        </w:rPr>
        <w:t xml:space="preserve">Injection site checks </w:t>
      </w:r>
      <w:r>
        <w:rPr>
          <w:rFonts w:ascii="Arial" w:hAnsi="Arial" w:cs="Arial"/>
        </w:rPr>
        <w:t xml:space="preserve">(pain, erythema, induration) </w:t>
      </w:r>
      <w:r w:rsidRPr="00C26076">
        <w:rPr>
          <w:rFonts w:ascii="Arial" w:hAnsi="Arial" w:cs="Arial"/>
        </w:rPr>
        <w:t xml:space="preserve">and specific </w:t>
      </w:r>
      <w:r>
        <w:rPr>
          <w:rFonts w:ascii="Arial" w:hAnsi="Arial" w:cs="Arial"/>
        </w:rPr>
        <w:t>solicited systemic symptoms (</w:t>
      </w:r>
      <w:r w:rsidRPr="00883462">
        <w:rPr>
          <w:rFonts w:ascii="Arial" w:hAnsi="Arial" w:cs="Arial"/>
          <w:lang w:val="en-US"/>
        </w:rPr>
        <w:t>arthralgia, chills, nausea, fever, fatigue, myalgia</w:t>
      </w:r>
      <w:r>
        <w:rPr>
          <w:rFonts w:ascii="Arial" w:hAnsi="Arial" w:cs="Arial"/>
          <w:lang w:val="en-US"/>
        </w:rPr>
        <w:t>)</w:t>
      </w:r>
      <w:r>
        <w:rPr>
          <w:rFonts w:ascii="Arial" w:hAnsi="Arial" w:cs="Arial"/>
        </w:rPr>
        <w:t xml:space="preserve">. </w:t>
      </w:r>
    </w:p>
    <w:p w14:paraId="49364F6D" w14:textId="77777777" w:rsidR="003C19BC" w:rsidRPr="00E42EBA" w:rsidRDefault="003C19BC" w:rsidP="003C19BC">
      <w:pPr>
        <w:pStyle w:val="ListParagraph"/>
        <w:numPr>
          <w:ilvl w:val="0"/>
          <w:numId w:val="9"/>
        </w:numPr>
        <w:spacing w:before="120" w:after="120"/>
        <w:ind w:left="720"/>
        <w:rPr>
          <w:rFonts w:ascii="Arial" w:hAnsi="Arial" w:cs="Arial"/>
        </w:rPr>
      </w:pPr>
      <w:r w:rsidRPr="00E42EBA">
        <w:rPr>
          <w:rFonts w:ascii="Arial" w:hAnsi="Arial" w:cs="Arial"/>
        </w:rPr>
        <w:t>Adverse events, including SAEs and AESIs</w:t>
      </w:r>
      <w:r>
        <w:rPr>
          <w:rFonts w:ascii="Arial" w:hAnsi="Arial" w:cs="Arial"/>
        </w:rPr>
        <w:t>.</w:t>
      </w:r>
    </w:p>
    <w:p w14:paraId="4391EBBA" w14:textId="24A3DD61" w:rsidR="003C19BC" w:rsidRPr="002F03BB" w:rsidRDefault="003C19BC" w:rsidP="003C19BC">
      <w:pPr>
        <w:pStyle w:val="Heading3"/>
      </w:pPr>
      <w:bookmarkStart w:id="264" w:name="_Toc440906297"/>
      <w:r w:rsidRPr="00101FC1">
        <w:t xml:space="preserve">Day </w:t>
      </w:r>
      <w:r>
        <w:t>31</w:t>
      </w:r>
      <w:r w:rsidRPr="00101FC1">
        <w:t xml:space="preserve"> </w:t>
      </w:r>
      <w:r>
        <w:t>(3 days from Day 28 visit) Cohort 3 only</w:t>
      </w:r>
      <w:bookmarkEnd w:id="264"/>
    </w:p>
    <w:p w14:paraId="500D2453" w14:textId="77777777" w:rsidR="003C19BC" w:rsidRPr="00717D30" w:rsidRDefault="003C19BC" w:rsidP="003C19BC">
      <w:pPr>
        <w:pStyle w:val="ListParagraph"/>
        <w:numPr>
          <w:ilvl w:val="0"/>
          <w:numId w:val="31"/>
        </w:numPr>
        <w:spacing w:before="120" w:after="120"/>
        <w:ind w:left="720"/>
        <w:rPr>
          <w:rFonts w:ascii="Arial" w:hAnsi="Arial" w:cs="Arial"/>
        </w:rPr>
      </w:pPr>
      <w:r>
        <w:rPr>
          <w:rFonts w:ascii="Arial" w:hAnsi="Arial" w:cs="Arial"/>
        </w:rPr>
        <w:t>I</w:t>
      </w:r>
      <w:r w:rsidRPr="00717D30">
        <w:rPr>
          <w:rFonts w:ascii="Arial" w:hAnsi="Arial" w:cs="Arial"/>
        </w:rPr>
        <w:t xml:space="preserve">njection site </w:t>
      </w:r>
      <w:r>
        <w:rPr>
          <w:rFonts w:ascii="Arial" w:hAnsi="Arial" w:cs="Arial"/>
        </w:rPr>
        <w:t>checks</w:t>
      </w:r>
      <w:r w:rsidRPr="00717D30">
        <w:rPr>
          <w:rFonts w:ascii="Arial" w:hAnsi="Arial" w:cs="Arial"/>
        </w:rPr>
        <w:t xml:space="preserve"> </w:t>
      </w:r>
      <w:r>
        <w:rPr>
          <w:rFonts w:ascii="Arial" w:hAnsi="Arial" w:cs="Arial"/>
        </w:rPr>
        <w:t xml:space="preserve">(pain, erythema, induration) </w:t>
      </w:r>
      <w:r w:rsidRPr="00717D30">
        <w:rPr>
          <w:rFonts w:ascii="Arial" w:hAnsi="Arial" w:cs="Arial"/>
        </w:rPr>
        <w:t>and specific solicited systemic symptoms</w:t>
      </w:r>
      <w:r>
        <w:rPr>
          <w:rFonts w:ascii="Arial" w:hAnsi="Arial" w:cs="Arial"/>
        </w:rPr>
        <w:t xml:space="preserve"> (</w:t>
      </w:r>
      <w:r w:rsidRPr="00883462">
        <w:rPr>
          <w:rFonts w:ascii="Arial" w:hAnsi="Arial" w:cs="Arial"/>
          <w:lang w:val="en-US"/>
        </w:rPr>
        <w:t>arthralgia, chills, nausea, fever, fatigue, myalgia</w:t>
      </w:r>
      <w:r>
        <w:rPr>
          <w:rFonts w:ascii="Arial" w:hAnsi="Arial" w:cs="Arial"/>
          <w:lang w:val="en-US"/>
        </w:rPr>
        <w:t>)</w:t>
      </w:r>
      <w:r>
        <w:rPr>
          <w:rFonts w:ascii="Arial" w:hAnsi="Arial" w:cs="Arial"/>
        </w:rPr>
        <w:t>.</w:t>
      </w:r>
    </w:p>
    <w:p w14:paraId="23375141" w14:textId="77777777" w:rsidR="003C19BC" w:rsidRPr="00717D30" w:rsidRDefault="003C19BC" w:rsidP="003C19BC">
      <w:pPr>
        <w:pStyle w:val="ListParagraph"/>
        <w:numPr>
          <w:ilvl w:val="0"/>
          <w:numId w:val="12"/>
        </w:numPr>
        <w:spacing w:before="120" w:after="120"/>
        <w:ind w:left="720"/>
        <w:rPr>
          <w:rFonts w:ascii="Arial" w:hAnsi="Arial" w:cs="Arial"/>
        </w:rPr>
      </w:pPr>
      <w:r w:rsidRPr="00717D30">
        <w:rPr>
          <w:rFonts w:ascii="Arial" w:hAnsi="Arial" w:cs="Arial"/>
        </w:rPr>
        <w:t xml:space="preserve">Concomitant </w:t>
      </w:r>
      <w:r>
        <w:rPr>
          <w:rFonts w:ascii="Arial" w:hAnsi="Arial" w:cs="Arial"/>
        </w:rPr>
        <w:t>medications.</w:t>
      </w:r>
      <w:r w:rsidRPr="00717D30">
        <w:rPr>
          <w:rFonts w:ascii="Arial" w:hAnsi="Arial" w:cs="Arial"/>
        </w:rPr>
        <w:t xml:space="preserve"> </w:t>
      </w:r>
    </w:p>
    <w:p w14:paraId="1C3500EF" w14:textId="77777777" w:rsidR="003C19BC" w:rsidRPr="00717D30" w:rsidRDefault="003C19BC" w:rsidP="003C19BC">
      <w:pPr>
        <w:pStyle w:val="ListParagraph"/>
        <w:numPr>
          <w:ilvl w:val="0"/>
          <w:numId w:val="10"/>
        </w:numPr>
        <w:spacing w:before="120" w:after="120"/>
        <w:ind w:left="720"/>
        <w:rPr>
          <w:rFonts w:ascii="Arial" w:hAnsi="Arial" w:cs="Arial"/>
        </w:rPr>
      </w:pPr>
      <w:r w:rsidRPr="00717D30">
        <w:rPr>
          <w:rFonts w:ascii="Arial" w:hAnsi="Arial" w:cs="Arial"/>
        </w:rPr>
        <w:t>Vital signs</w:t>
      </w:r>
      <w:r>
        <w:rPr>
          <w:rFonts w:ascii="Arial" w:hAnsi="Arial" w:cs="Arial"/>
        </w:rPr>
        <w:t>.</w:t>
      </w:r>
    </w:p>
    <w:p w14:paraId="38718DE4" w14:textId="77777777" w:rsidR="003C19BC" w:rsidRPr="00717D30" w:rsidRDefault="003C19BC" w:rsidP="003C19BC">
      <w:pPr>
        <w:pStyle w:val="ListParagraph"/>
        <w:numPr>
          <w:ilvl w:val="0"/>
          <w:numId w:val="10"/>
        </w:numPr>
        <w:spacing w:before="120" w:after="120"/>
        <w:ind w:left="720"/>
        <w:rPr>
          <w:rFonts w:ascii="Arial" w:hAnsi="Arial" w:cs="Arial"/>
        </w:rPr>
      </w:pPr>
      <w:r w:rsidRPr="00717D30">
        <w:rPr>
          <w:rFonts w:ascii="Arial" w:hAnsi="Arial" w:cs="Arial"/>
        </w:rPr>
        <w:t>TB symptom screen and two sputum samples for Xpert MTB/RIF and MGIT culture if symptom directed</w:t>
      </w:r>
      <w:r>
        <w:rPr>
          <w:rFonts w:ascii="Arial" w:hAnsi="Arial" w:cs="Arial"/>
        </w:rPr>
        <w:t>.</w:t>
      </w:r>
    </w:p>
    <w:p w14:paraId="775D3F16" w14:textId="77777777" w:rsidR="003C19BC" w:rsidRPr="00717D30" w:rsidRDefault="003C19BC" w:rsidP="003C19BC">
      <w:pPr>
        <w:pStyle w:val="ListParagraph"/>
        <w:numPr>
          <w:ilvl w:val="0"/>
          <w:numId w:val="10"/>
        </w:numPr>
        <w:spacing w:before="120" w:after="120"/>
        <w:ind w:left="720"/>
        <w:rPr>
          <w:rFonts w:ascii="Arial" w:hAnsi="Arial" w:cs="Arial"/>
        </w:rPr>
      </w:pPr>
      <w:r w:rsidRPr="00717D30">
        <w:rPr>
          <w:rFonts w:ascii="Arial" w:hAnsi="Arial" w:cs="Arial"/>
        </w:rPr>
        <w:t>Immunology blood</w:t>
      </w:r>
      <w:r>
        <w:rPr>
          <w:rFonts w:ascii="Arial" w:hAnsi="Arial" w:cs="Arial"/>
        </w:rPr>
        <w:t>:</w:t>
      </w:r>
      <w:r w:rsidRPr="00717D30">
        <w:rPr>
          <w:rFonts w:ascii="Arial" w:hAnsi="Arial" w:cs="Arial"/>
        </w:rPr>
        <w:t xml:space="preserve"> </w:t>
      </w:r>
      <w:r>
        <w:rPr>
          <w:rFonts w:ascii="Arial" w:hAnsi="Arial" w:cs="Arial"/>
        </w:rPr>
        <w:t>gene signatures and whole blood absolute count.</w:t>
      </w:r>
    </w:p>
    <w:p w14:paraId="4F4A3856" w14:textId="77777777" w:rsidR="003C19BC" w:rsidRPr="009E0AB3" w:rsidRDefault="003C19BC" w:rsidP="003C19BC">
      <w:pPr>
        <w:pStyle w:val="ListParagraph"/>
        <w:numPr>
          <w:ilvl w:val="0"/>
          <w:numId w:val="31"/>
        </w:numPr>
        <w:spacing w:before="120" w:after="120"/>
        <w:ind w:left="720"/>
        <w:rPr>
          <w:rFonts w:cs="Arial"/>
        </w:rPr>
      </w:pPr>
      <w:r w:rsidRPr="009E0AB3">
        <w:rPr>
          <w:rFonts w:ascii="Arial" w:hAnsi="Arial" w:cs="Arial"/>
        </w:rPr>
        <w:t>Adverse events, including SAEs and AESIs.</w:t>
      </w:r>
    </w:p>
    <w:p w14:paraId="6D601321" w14:textId="1EDFB843" w:rsidR="003C19BC" w:rsidRPr="00C26076" w:rsidRDefault="003C19BC" w:rsidP="003C19BC">
      <w:pPr>
        <w:pStyle w:val="Heading3"/>
      </w:pPr>
      <w:bookmarkStart w:id="265" w:name="_Toc440906298"/>
      <w:r w:rsidRPr="00C26076">
        <w:t xml:space="preserve">Day </w:t>
      </w:r>
      <w:r w:rsidR="00875897">
        <w:t>35</w:t>
      </w:r>
      <w:r w:rsidRPr="00C26076">
        <w:t xml:space="preserve"> (</w:t>
      </w:r>
      <w:r>
        <w:t xml:space="preserve">7 days </w:t>
      </w:r>
      <w:r w:rsidRPr="00C26076">
        <w:t>±1</w:t>
      </w:r>
      <w:r>
        <w:t xml:space="preserve"> from Day </w:t>
      </w:r>
      <w:r w:rsidR="00875897">
        <w:t>28</w:t>
      </w:r>
      <w:r>
        <w:t xml:space="preserve"> visit</w:t>
      </w:r>
      <w:r w:rsidRPr="00C26076">
        <w:t>)</w:t>
      </w:r>
      <w:r w:rsidR="00875897">
        <w:t xml:space="preserve"> Cohort 3 only</w:t>
      </w:r>
      <w:bookmarkEnd w:id="265"/>
    </w:p>
    <w:p w14:paraId="19CADBAA" w14:textId="77777777" w:rsidR="003C19BC" w:rsidRPr="00C26076" w:rsidRDefault="003C19BC" w:rsidP="003C19BC">
      <w:pPr>
        <w:pStyle w:val="ListParagraph"/>
        <w:numPr>
          <w:ilvl w:val="0"/>
          <w:numId w:val="12"/>
        </w:numPr>
        <w:spacing w:before="120" w:after="120"/>
        <w:ind w:left="720"/>
        <w:rPr>
          <w:rFonts w:ascii="Arial" w:hAnsi="Arial" w:cs="Arial"/>
        </w:rPr>
      </w:pPr>
      <w:r w:rsidRPr="00C26076">
        <w:rPr>
          <w:rFonts w:ascii="Arial" w:hAnsi="Arial" w:cs="Arial"/>
        </w:rPr>
        <w:t xml:space="preserve">Concomitant </w:t>
      </w:r>
      <w:r>
        <w:rPr>
          <w:rFonts w:ascii="Arial" w:hAnsi="Arial" w:cs="Arial"/>
        </w:rPr>
        <w:t>medications.</w:t>
      </w:r>
      <w:r w:rsidRPr="00C26076">
        <w:rPr>
          <w:rFonts w:ascii="Arial" w:hAnsi="Arial" w:cs="Arial"/>
        </w:rPr>
        <w:t xml:space="preserve"> </w:t>
      </w:r>
    </w:p>
    <w:p w14:paraId="1659DA35" w14:textId="77777777" w:rsidR="003C19BC" w:rsidRPr="005669C1" w:rsidRDefault="003C19BC" w:rsidP="003C19BC">
      <w:pPr>
        <w:pStyle w:val="ListParagraph"/>
        <w:numPr>
          <w:ilvl w:val="0"/>
          <w:numId w:val="11"/>
        </w:numPr>
        <w:spacing w:before="120" w:after="120"/>
        <w:ind w:left="720"/>
        <w:rPr>
          <w:rFonts w:ascii="Arial" w:hAnsi="Arial" w:cs="Arial"/>
        </w:rPr>
      </w:pPr>
      <w:r w:rsidRPr="005669C1">
        <w:rPr>
          <w:rFonts w:ascii="Arial" w:hAnsi="Arial" w:cs="Arial"/>
        </w:rPr>
        <w:t>TB symptom screen and two sputum samples for Xpert MTB/RIF and MGIT culture if symptom directed</w:t>
      </w:r>
      <w:r>
        <w:rPr>
          <w:rFonts w:ascii="Arial" w:hAnsi="Arial" w:cs="Arial"/>
        </w:rPr>
        <w:t>.</w:t>
      </w:r>
    </w:p>
    <w:p w14:paraId="1014E7BE" w14:textId="77777777" w:rsidR="003C19BC" w:rsidRPr="00C26076" w:rsidRDefault="003C19BC" w:rsidP="003C19BC">
      <w:pPr>
        <w:pStyle w:val="ListParagraph"/>
        <w:numPr>
          <w:ilvl w:val="0"/>
          <w:numId w:val="11"/>
        </w:numPr>
        <w:spacing w:before="120" w:after="120"/>
        <w:ind w:left="720"/>
        <w:rPr>
          <w:rFonts w:ascii="Arial" w:hAnsi="Arial" w:cs="Arial"/>
        </w:rPr>
      </w:pPr>
      <w:r w:rsidRPr="00C26076">
        <w:rPr>
          <w:rFonts w:ascii="Arial" w:hAnsi="Arial" w:cs="Arial"/>
        </w:rPr>
        <w:t>Vital signs</w:t>
      </w:r>
      <w:r>
        <w:rPr>
          <w:rFonts w:ascii="Arial" w:hAnsi="Arial" w:cs="Arial"/>
        </w:rPr>
        <w:t>.</w:t>
      </w:r>
    </w:p>
    <w:p w14:paraId="0D0B1840" w14:textId="77777777" w:rsidR="003C19BC" w:rsidRDefault="003C19BC" w:rsidP="003C19BC">
      <w:pPr>
        <w:pStyle w:val="ListParagraph"/>
        <w:numPr>
          <w:ilvl w:val="0"/>
          <w:numId w:val="11"/>
        </w:numPr>
        <w:spacing w:before="120" w:after="120"/>
        <w:ind w:left="720"/>
        <w:rPr>
          <w:rFonts w:ascii="Arial" w:hAnsi="Arial" w:cs="Arial"/>
        </w:rPr>
      </w:pPr>
      <w:r>
        <w:rPr>
          <w:rFonts w:ascii="Arial" w:hAnsi="Arial" w:cs="Arial"/>
        </w:rPr>
        <w:t>Hematology</w:t>
      </w:r>
      <w:r w:rsidRPr="00C26076">
        <w:rPr>
          <w:rFonts w:ascii="Arial" w:hAnsi="Arial" w:cs="Arial"/>
        </w:rPr>
        <w:t xml:space="preserve"> and chemistry</w:t>
      </w:r>
      <w:r>
        <w:rPr>
          <w:rFonts w:ascii="Arial" w:hAnsi="Arial" w:cs="Arial"/>
        </w:rPr>
        <w:t xml:space="preserve">: </w:t>
      </w:r>
      <w:r w:rsidRPr="007346FE">
        <w:rPr>
          <w:rFonts w:ascii="Arial" w:hAnsi="Arial" w:cs="Arial"/>
        </w:rPr>
        <w:t>tota</w:t>
      </w:r>
      <w:r>
        <w:rPr>
          <w:rFonts w:ascii="Arial" w:hAnsi="Arial" w:cs="Arial"/>
        </w:rPr>
        <w:t>l WBC count, h</w:t>
      </w:r>
      <w:r w:rsidRPr="007346FE">
        <w:rPr>
          <w:rFonts w:ascii="Arial" w:hAnsi="Arial" w:cs="Arial"/>
        </w:rPr>
        <w:t xml:space="preserve">emoglobin, platelet count, total bilirubin, creatinine, </w:t>
      </w:r>
      <w:r>
        <w:rPr>
          <w:rFonts w:ascii="Arial" w:hAnsi="Arial" w:cs="Arial"/>
        </w:rPr>
        <w:t xml:space="preserve">and </w:t>
      </w:r>
      <w:r w:rsidRPr="007346FE">
        <w:rPr>
          <w:rFonts w:ascii="Arial" w:hAnsi="Arial" w:cs="Arial"/>
        </w:rPr>
        <w:t>ALT</w:t>
      </w:r>
      <w:r>
        <w:rPr>
          <w:rFonts w:ascii="Arial" w:hAnsi="Arial" w:cs="Arial"/>
        </w:rPr>
        <w:t>.</w:t>
      </w:r>
    </w:p>
    <w:p w14:paraId="7DAE19E0" w14:textId="77777777" w:rsidR="003C19BC" w:rsidRDefault="003C19BC" w:rsidP="003C19BC">
      <w:pPr>
        <w:pStyle w:val="ListParagraph"/>
        <w:numPr>
          <w:ilvl w:val="0"/>
          <w:numId w:val="11"/>
        </w:numPr>
        <w:spacing w:before="120" w:after="120"/>
        <w:ind w:left="720"/>
        <w:rPr>
          <w:rFonts w:ascii="Arial" w:hAnsi="Arial" w:cs="Arial"/>
        </w:rPr>
      </w:pPr>
      <w:r>
        <w:rPr>
          <w:rFonts w:ascii="Arial" w:hAnsi="Arial" w:cs="Arial"/>
        </w:rPr>
        <w:t>HIV counselling and s</w:t>
      </w:r>
      <w:r w:rsidRPr="00C26076">
        <w:rPr>
          <w:rFonts w:ascii="Arial" w:hAnsi="Arial" w:cs="Arial"/>
        </w:rPr>
        <w:t>erology if confirmed TB</w:t>
      </w:r>
      <w:r>
        <w:rPr>
          <w:rFonts w:ascii="Arial" w:hAnsi="Arial" w:cs="Arial"/>
        </w:rPr>
        <w:t>.</w:t>
      </w:r>
    </w:p>
    <w:p w14:paraId="1B23A348" w14:textId="77777777" w:rsidR="003C19BC" w:rsidRPr="00C26076" w:rsidRDefault="003C19BC" w:rsidP="003C19BC">
      <w:pPr>
        <w:pStyle w:val="ListParagraph"/>
        <w:numPr>
          <w:ilvl w:val="0"/>
          <w:numId w:val="11"/>
        </w:numPr>
        <w:spacing w:before="120" w:after="120"/>
        <w:ind w:left="720"/>
        <w:rPr>
          <w:rFonts w:ascii="Arial" w:hAnsi="Arial" w:cs="Arial"/>
        </w:rPr>
      </w:pPr>
      <w:r w:rsidRPr="000A5076">
        <w:rPr>
          <w:rFonts w:ascii="Arial" w:hAnsi="Arial" w:cs="Arial"/>
        </w:rPr>
        <w:t>Immunology</w:t>
      </w:r>
      <w:r>
        <w:rPr>
          <w:rFonts w:ascii="Arial" w:hAnsi="Arial" w:cs="Arial"/>
        </w:rPr>
        <w:t xml:space="preserve"> blood:</w:t>
      </w:r>
      <w:r w:rsidRPr="000A5076">
        <w:rPr>
          <w:rFonts w:ascii="Arial" w:hAnsi="Arial" w:cs="Arial"/>
        </w:rPr>
        <w:t xml:space="preserve"> gene signature</w:t>
      </w:r>
      <w:r>
        <w:rPr>
          <w:rFonts w:ascii="Arial" w:hAnsi="Arial" w:cs="Arial"/>
        </w:rPr>
        <w:t>s and whole blood absolute count.</w:t>
      </w:r>
    </w:p>
    <w:p w14:paraId="413BD334" w14:textId="77777777" w:rsidR="003C19BC" w:rsidRPr="00C26076" w:rsidRDefault="003C19BC" w:rsidP="003C19BC">
      <w:pPr>
        <w:pStyle w:val="ListParagraph"/>
        <w:numPr>
          <w:ilvl w:val="0"/>
          <w:numId w:val="11"/>
        </w:numPr>
        <w:spacing w:before="120" w:after="120"/>
        <w:ind w:left="720"/>
        <w:rPr>
          <w:rFonts w:ascii="Arial" w:hAnsi="Arial" w:cs="Arial"/>
        </w:rPr>
      </w:pPr>
      <w:r w:rsidRPr="00C26076">
        <w:rPr>
          <w:rFonts w:ascii="Arial" w:hAnsi="Arial" w:cs="Arial"/>
        </w:rPr>
        <w:t xml:space="preserve">Injection site check </w:t>
      </w:r>
      <w:r>
        <w:rPr>
          <w:rFonts w:ascii="Arial" w:hAnsi="Arial" w:cs="Arial"/>
        </w:rPr>
        <w:t xml:space="preserve">(pain, erythema, induration) </w:t>
      </w:r>
      <w:r w:rsidRPr="00C26076">
        <w:rPr>
          <w:rFonts w:ascii="Arial" w:hAnsi="Arial" w:cs="Arial"/>
        </w:rPr>
        <w:t xml:space="preserve">and specific </w:t>
      </w:r>
      <w:r>
        <w:rPr>
          <w:rFonts w:ascii="Arial" w:hAnsi="Arial" w:cs="Arial"/>
        </w:rPr>
        <w:t xml:space="preserve">solicited </w:t>
      </w:r>
      <w:r w:rsidRPr="00C26076">
        <w:rPr>
          <w:rFonts w:ascii="Arial" w:hAnsi="Arial" w:cs="Arial"/>
        </w:rPr>
        <w:t>systemic symptoms</w:t>
      </w:r>
      <w:r>
        <w:rPr>
          <w:rFonts w:ascii="Arial" w:hAnsi="Arial" w:cs="Arial"/>
        </w:rPr>
        <w:t xml:space="preserve"> (</w:t>
      </w:r>
      <w:r w:rsidRPr="00893E46">
        <w:rPr>
          <w:rFonts w:ascii="Arial" w:hAnsi="Arial" w:cs="Arial"/>
          <w:lang w:val="en-US"/>
        </w:rPr>
        <w:t>arthralgia, chills, nausea, fever, fatigue, myalgia</w:t>
      </w:r>
      <w:r>
        <w:rPr>
          <w:rFonts w:ascii="Arial" w:hAnsi="Arial" w:cs="Arial"/>
          <w:lang w:val="en-US"/>
        </w:rPr>
        <w:t>)</w:t>
      </w:r>
      <w:r>
        <w:rPr>
          <w:rFonts w:ascii="Arial" w:hAnsi="Arial" w:cs="Arial"/>
        </w:rPr>
        <w:t>.</w:t>
      </w:r>
      <w:r w:rsidRPr="00C26076">
        <w:rPr>
          <w:rFonts w:ascii="Arial" w:hAnsi="Arial" w:cs="Arial"/>
        </w:rPr>
        <w:t xml:space="preserve"> </w:t>
      </w:r>
    </w:p>
    <w:p w14:paraId="2F2247C3" w14:textId="77777777" w:rsidR="003C19BC" w:rsidRPr="009E0AB3" w:rsidRDefault="003C19BC" w:rsidP="003C19BC">
      <w:pPr>
        <w:pStyle w:val="ListParagraph"/>
        <w:numPr>
          <w:ilvl w:val="0"/>
          <w:numId w:val="11"/>
        </w:numPr>
        <w:spacing w:before="120" w:after="120"/>
        <w:ind w:left="720"/>
        <w:rPr>
          <w:rFonts w:ascii="Arial" w:hAnsi="Arial" w:cs="Arial"/>
        </w:rPr>
      </w:pPr>
      <w:r w:rsidRPr="009E0AB3">
        <w:rPr>
          <w:rFonts w:ascii="Arial" w:hAnsi="Arial" w:cs="Arial"/>
        </w:rPr>
        <w:t>Adverse events, including SAEs and AESIs.</w:t>
      </w:r>
    </w:p>
    <w:p w14:paraId="5127BD75" w14:textId="0C8CD19A" w:rsidR="003C19BC" w:rsidRDefault="003C19BC" w:rsidP="003C19BC">
      <w:pPr>
        <w:pStyle w:val="Heading3"/>
      </w:pPr>
      <w:bookmarkStart w:id="266" w:name="_Toc440906299"/>
      <w:r w:rsidRPr="00C26076">
        <w:t xml:space="preserve">Day </w:t>
      </w:r>
      <w:r w:rsidR="00875897">
        <w:t>42</w:t>
      </w:r>
      <w:r w:rsidRPr="00C26076">
        <w:t xml:space="preserve"> (</w:t>
      </w:r>
      <w:r>
        <w:t xml:space="preserve">14 days </w:t>
      </w:r>
      <w:r w:rsidRPr="00C26076">
        <w:t>±1</w:t>
      </w:r>
      <w:r>
        <w:t xml:space="preserve"> from Day </w:t>
      </w:r>
      <w:r w:rsidR="00875897">
        <w:t>28</w:t>
      </w:r>
      <w:r>
        <w:t xml:space="preserve"> visit</w:t>
      </w:r>
      <w:r w:rsidRPr="00C26076">
        <w:t>)</w:t>
      </w:r>
      <w:r w:rsidR="00875897">
        <w:t xml:space="preserve"> Cohort 3 only</w:t>
      </w:r>
      <w:bookmarkEnd w:id="266"/>
    </w:p>
    <w:p w14:paraId="7C9C257D" w14:textId="77777777" w:rsidR="003C19BC" w:rsidRPr="00CF3F4D" w:rsidRDefault="003C19BC" w:rsidP="003C19BC">
      <w:pPr>
        <w:pStyle w:val="ListParagraph"/>
        <w:numPr>
          <w:ilvl w:val="0"/>
          <w:numId w:val="9"/>
        </w:numPr>
        <w:spacing w:before="120" w:after="120"/>
        <w:ind w:left="720"/>
      </w:pPr>
      <w:r w:rsidRPr="00C26076">
        <w:rPr>
          <w:rFonts w:ascii="Arial" w:hAnsi="Arial" w:cs="Arial"/>
        </w:rPr>
        <w:t xml:space="preserve">Concomitant </w:t>
      </w:r>
      <w:r>
        <w:rPr>
          <w:rFonts w:ascii="Arial" w:hAnsi="Arial" w:cs="Arial"/>
        </w:rPr>
        <w:t>medications.</w:t>
      </w:r>
    </w:p>
    <w:p w14:paraId="0D573382" w14:textId="77777777" w:rsidR="003C19BC" w:rsidRPr="007B2DBD" w:rsidRDefault="003C19BC" w:rsidP="003C19BC">
      <w:pPr>
        <w:pStyle w:val="ListParagraph"/>
        <w:numPr>
          <w:ilvl w:val="0"/>
          <w:numId w:val="9"/>
        </w:numPr>
        <w:spacing w:before="120" w:after="120"/>
        <w:ind w:left="720"/>
      </w:pPr>
      <w:r w:rsidRPr="000A5076">
        <w:rPr>
          <w:rFonts w:ascii="Arial" w:hAnsi="Arial" w:cs="Arial"/>
        </w:rPr>
        <w:t>TB symptom screen and two sputum samples for Xpert MTB/RIF and MGIT culture if symptom directed.</w:t>
      </w:r>
    </w:p>
    <w:p w14:paraId="655FC8E2" w14:textId="77777777" w:rsidR="003C19BC" w:rsidRPr="00CF3F4D" w:rsidRDefault="003C19BC" w:rsidP="003C19BC">
      <w:pPr>
        <w:pStyle w:val="ListParagraph"/>
        <w:numPr>
          <w:ilvl w:val="0"/>
          <w:numId w:val="9"/>
        </w:numPr>
        <w:spacing w:before="120" w:after="120"/>
        <w:ind w:left="720"/>
      </w:pPr>
      <w:r w:rsidRPr="009E0AB3">
        <w:rPr>
          <w:rFonts w:ascii="Arial" w:hAnsi="Arial" w:cs="Arial"/>
        </w:rPr>
        <w:t>Adverse events, including SAEs and AESIs</w:t>
      </w:r>
      <w:r>
        <w:rPr>
          <w:rFonts w:ascii="Arial" w:hAnsi="Arial" w:cs="Arial"/>
        </w:rPr>
        <w:t>.</w:t>
      </w:r>
    </w:p>
    <w:p w14:paraId="5E9C4587" w14:textId="483B442D" w:rsidR="00146184" w:rsidRDefault="003C19BC" w:rsidP="007C09F7">
      <w:pPr>
        <w:pStyle w:val="ListParagraph"/>
        <w:numPr>
          <w:ilvl w:val="0"/>
          <w:numId w:val="9"/>
        </w:numPr>
        <w:spacing w:before="120" w:after="120"/>
        <w:ind w:left="720"/>
      </w:pPr>
      <w:r>
        <w:rPr>
          <w:rFonts w:ascii="Arial" w:hAnsi="Arial" w:cs="Arial"/>
        </w:rPr>
        <w:t>Immunology blood</w:t>
      </w:r>
      <w:r w:rsidRPr="00723BE7">
        <w:rPr>
          <w:rFonts w:ascii="Arial" w:hAnsi="Arial" w:cs="Arial"/>
        </w:rPr>
        <w:t xml:space="preserve">: </w:t>
      </w:r>
      <w:r>
        <w:rPr>
          <w:rFonts w:ascii="Arial" w:hAnsi="Arial" w:cs="Arial"/>
        </w:rPr>
        <w:t>w</w:t>
      </w:r>
      <w:r w:rsidRPr="00723BE7">
        <w:rPr>
          <w:rFonts w:ascii="Arial" w:hAnsi="Arial" w:cs="Arial"/>
        </w:rPr>
        <w:t xml:space="preserve">hole </w:t>
      </w:r>
      <w:r>
        <w:rPr>
          <w:rFonts w:ascii="Arial" w:hAnsi="Arial" w:cs="Arial"/>
        </w:rPr>
        <w:t>b</w:t>
      </w:r>
      <w:r w:rsidRPr="00723BE7">
        <w:rPr>
          <w:rFonts w:ascii="Arial" w:hAnsi="Arial" w:cs="Arial"/>
        </w:rPr>
        <w:t>lood ICS, PBMCs, serum for IgG ELISA</w:t>
      </w:r>
      <w:r>
        <w:rPr>
          <w:rFonts w:ascii="Arial" w:hAnsi="Arial" w:cs="Arial"/>
        </w:rPr>
        <w:t>.</w:t>
      </w:r>
      <w:r w:rsidRPr="00723BE7">
        <w:rPr>
          <w:rFonts w:ascii="Arial" w:hAnsi="Arial" w:cs="Arial"/>
        </w:rPr>
        <w:t xml:space="preserve"> </w:t>
      </w:r>
    </w:p>
    <w:p w14:paraId="06781DD0" w14:textId="14C96980" w:rsidR="007030F1" w:rsidRPr="00C26076" w:rsidRDefault="007030F1" w:rsidP="009E0AB3">
      <w:pPr>
        <w:pStyle w:val="Heading3"/>
      </w:pPr>
      <w:bookmarkStart w:id="267" w:name="_Toc440906300"/>
      <w:r w:rsidRPr="00C26076">
        <w:t xml:space="preserve">Day </w:t>
      </w:r>
      <w:r w:rsidR="005E6C23">
        <w:t>56</w:t>
      </w:r>
      <w:r w:rsidRPr="00C26076">
        <w:t xml:space="preserve"> (± 3)</w:t>
      </w:r>
      <w:bookmarkEnd w:id="263"/>
      <w:bookmarkEnd w:id="267"/>
    </w:p>
    <w:p w14:paraId="491C699D" w14:textId="0A9C017F" w:rsidR="007030F1" w:rsidRPr="00C26076" w:rsidRDefault="007030F1" w:rsidP="009E0AB3">
      <w:pPr>
        <w:pStyle w:val="ListParagraph"/>
        <w:spacing w:before="120" w:after="120"/>
        <w:ind w:left="0"/>
        <w:contextualSpacing w:val="0"/>
        <w:rPr>
          <w:rFonts w:ascii="Arial" w:hAnsi="Arial" w:cs="Arial"/>
          <w:i/>
        </w:rPr>
      </w:pPr>
      <w:r w:rsidRPr="00C26076">
        <w:rPr>
          <w:rFonts w:ascii="Arial" w:hAnsi="Arial" w:cs="Arial"/>
          <w:b/>
          <w:i/>
        </w:rPr>
        <w:t>Pre-injection:</w:t>
      </w:r>
    </w:p>
    <w:p w14:paraId="620C7696" w14:textId="3C539881" w:rsidR="007030F1" w:rsidRPr="00C26076" w:rsidRDefault="007030F1" w:rsidP="009E0AB3">
      <w:pPr>
        <w:pStyle w:val="ListParagraph"/>
        <w:numPr>
          <w:ilvl w:val="0"/>
          <w:numId w:val="12"/>
        </w:numPr>
        <w:spacing w:before="120" w:after="120"/>
        <w:ind w:left="720"/>
        <w:rPr>
          <w:rFonts w:ascii="Arial" w:hAnsi="Arial" w:cs="Arial"/>
        </w:rPr>
      </w:pPr>
      <w:r w:rsidRPr="00C26076">
        <w:rPr>
          <w:rFonts w:ascii="Arial" w:hAnsi="Arial" w:cs="Arial"/>
        </w:rPr>
        <w:t xml:space="preserve">Concomitant </w:t>
      </w:r>
      <w:r w:rsidR="000A5076">
        <w:rPr>
          <w:rFonts w:ascii="Arial" w:hAnsi="Arial" w:cs="Arial"/>
        </w:rPr>
        <w:t>medications</w:t>
      </w:r>
      <w:r w:rsidR="00A762A9">
        <w:rPr>
          <w:rFonts w:ascii="Arial" w:hAnsi="Arial" w:cs="Arial"/>
        </w:rPr>
        <w:t>.</w:t>
      </w:r>
    </w:p>
    <w:p w14:paraId="11CA45AC" w14:textId="2D049592" w:rsidR="0064293F" w:rsidRDefault="0064293F" w:rsidP="009E0AB3">
      <w:pPr>
        <w:pStyle w:val="ListParagraph"/>
        <w:numPr>
          <w:ilvl w:val="0"/>
          <w:numId w:val="12"/>
        </w:numPr>
        <w:spacing w:before="120" w:after="120"/>
        <w:ind w:left="720"/>
        <w:rPr>
          <w:rFonts w:ascii="Arial" w:hAnsi="Arial" w:cs="Arial"/>
        </w:rPr>
      </w:pPr>
      <w:r w:rsidRPr="00C26076">
        <w:rPr>
          <w:rFonts w:ascii="Arial" w:hAnsi="Arial" w:cs="Arial"/>
        </w:rPr>
        <w:t>Vital signs</w:t>
      </w:r>
      <w:r>
        <w:rPr>
          <w:rFonts w:ascii="Arial" w:hAnsi="Arial" w:cs="Arial"/>
        </w:rPr>
        <w:t xml:space="preserve"> (</w:t>
      </w:r>
      <w:r w:rsidR="00EC2D73">
        <w:rPr>
          <w:rFonts w:ascii="Arial" w:hAnsi="Arial" w:cs="Arial"/>
          <w:lang w:val="en-US"/>
        </w:rPr>
        <w:t>axillary</w:t>
      </w:r>
      <w:r w:rsidR="00EC2D73" w:rsidRPr="00B258F1">
        <w:rPr>
          <w:rFonts w:ascii="Arial" w:hAnsi="Arial" w:cs="Arial"/>
          <w:lang w:val="en-US"/>
        </w:rPr>
        <w:t xml:space="preserve"> </w:t>
      </w:r>
      <w:r w:rsidRPr="00B258F1">
        <w:rPr>
          <w:rFonts w:ascii="Arial" w:hAnsi="Arial" w:cs="Arial"/>
          <w:lang w:val="en-US"/>
        </w:rPr>
        <w:t>temperature must be &lt;</w:t>
      </w:r>
      <w:r>
        <w:rPr>
          <w:rFonts w:ascii="Arial" w:hAnsi="Arial" w:cs="Arial"/>
          <w:lang w:val="en-US"/>
        </w:rPr>
        <w:t>38.</w:t>
      </w:r>
      <w:r w:rsidR="00EC2D73">
        <w:rPr>
          <w:rFonts w:ascii="Arial" w:hAnsi="Arial" w:cs="Arial"/>
          <w:lang w:val="en-US"/>
        </w:rPr>
        <w:t>0</w:t>
      </w:r>
      <w:r w:rsidRPr="00B258F1">
        <w:rPr>
          <w:rFonts w:ascii="Arial" w:hAnsi="Arial" w:cs="Arial"/>
          <w:lang w:val="en-US"/>
        </w:rPr>
        <w:t>°C</w:t>
      </w:r>
      <w:r>
        <w:rPr>
          <w:rFonts w:ascii="Arial" w:hAnsi="Arial" w:cs="Arial"/>
          <w:lang w:val="en-US"/>
        </w:rPr>
        <w:t>).</w:t>
      </w:r>
    </w:p>
    <w:p w14:paraId="7283A80D" w14:textId="5BDA4998" w:rsidR="007030F1" w:rsidRPr="00C26076" w:rsidRDefault="007030F1" w:rsidP="009E0AB3">
      <w:pPr>
        <w:pStyle w:val="ListParagraph"/>
        <w:numPr>
          <w:ilvl w:val="0"/>
          <w:numId w:val="12"/>
        </w:numPr>
        <w:spacing w:before="120" w:after="120"/>
        <w:ind w:left="720"/>
        <w:rPr>
          <w:rFonts w:ascii="Arial" w:hAnsi="Arial" w:cs="Arial"/>
        </w:rPr>
      </w:pPr>
      <w:r w:rsidRPr="00C26076">
        <w:rPr>
          <w:rFonts w:ascii="Arial" w:hAnsi="Arial" w:cs="Arial"/>
        </w:rPr>
        <w:t>Directed physical exam</w:t>
      </w:r>
      <w:r w:rsidR="005669C1">
        <w:rPr>
          <w:rFonts w:ascii="Arial" w:hAnsi="Arial" w:cs="Arial"/>
        </w:rPr>
        <w:t xml:space="preserve"> </w:t>
      </w:r>
      <w:r w:rsidR="005669C1" w:rsidRPr="00C26076">
        <w:rPr>
          <w:rFonts w:ascii="Arial" w:hAnsi="Arial" w:cs="Arial"/>
        </w:rPr>
        <w:t xml:space="preserve">including </w:t>
      </w:r>
      <w:r w:rsidR="000A5076">
        <w:rPr>
          <w:rFonts w:ascii="Arial" w:hAnsi="Arial" w:cs="Arial"/>
        </w:rPr>
        <w:t xml:space="preserve">weight and </w:t>
      </w:r>
      <w:r w:rsidR="005669C1" w:rsidRPr="00C26076">
        <w:rPr>
          <w:rFonts w:ascii="Arial" w:hAnsi="Arial" w:cs="Arial"/>
        </w:rPr>
        <w:t xml:space="preserve">assessment of unexplained persistent </w:t>
      </w:r>
      <w:r w:rsidR="00534A40">
        <w:rPr>
          <w:rFonts w:ascii="Arial" w:hAnsi="Arial" w:cs="Arial"/>
        </w:rPr>
        <w:t>(</w:t>
      </w:r>
      <w:r w:rsidR="005669C1">
        <w:rPr>
          <w:rFonts w:ascii="Arial" w:hAnsi="Arial" w:cs="Arial"/>
        </w:rPr>
        <w:t>14 days or longer</w:t>
      </w:r>
      <w:r w:rsidR="00534A40">
        <w:rPr>
          <w:rFonts w:ascii="Arial" w:hAnsi="Arial" w:cs="Arial"/>
        </w:rPr>
        <w:t>)</w:t>
      </w:r>
      <w:r w:rsidR="005669C1">
        <w:rPr>
          <w:rFonts w:ascii="Arial" w:hAnsi="Arial" w:cs="Arial"/>
        </w:rPr>
        <w:t xml:space="preserve"> </w:t>
      </w:r>
      <w:r w:rsidR="005669C1" w:rsidRPr="00C26076">
        <w:rPr>
          <w:rFonts w:ascii="Arial" w:hAnsi="Arial" w:cs="Arial"/>
        </w:rPr>
        <w:t xml:space="preserve">or productive cough, fever, weight loss, fatigue, chest pain, or </w:t>
      </w:r>
      <w:r w:rsidR="005669C1">
        <w:rPr>
          <w:rFonts w:ascii="Arial" w:hAnsi="Arial" w:cs="Arial"/>
        </w:rPr>
        <w:t xml:space="preserve">any </w:t>
      </w:r>
      <w:r w:rsidR="005669C1" w:rsidRPr="00C26076">
        <w:rPr>
          <w:rFonts w:ascii="Arial" w:hAnsi="Arial" w:cs="Arial"/>
        </w:rPr>
        <w:t>hemoptysis</w:t>
      </w:r>
      <w:r w:rsidR="00534A40">
        <w:rPr>
          <w:rFonts w:ascii="Arial" w:hAnsi="Arial" w:cs="Arial"/>
        </w:rPr>
        <w:t xml:space="preserve">, </w:t>
      </w:r>
      <w:r w:rsidR="00C16FE7" w:rsidRPr="00C26076">
        <w:rPr>
          <w:rFonts w:ascii="Arial" w:hAnsi="Arial" w:cs="Arial"/>
        </w:rPr>
        <w:t>including chest radiography as indicated, to screen for suspected recurrent TB. Investigation for suspected extra-pulmonary TB may include aspiration, biopsy, or radiological i</w:t>
      </w:r>
      <w:r w:rsidR="00C16FE7">
        <w:rPr>
          <w:rFonts w:ascii="Arial" w:hAnsi="Arial" w:cs="Arial"/>
        </w:rPr>
        <w:t>maging, as clinically indicated.</w:t>
      </w:r>
    </w:p>
    <w:p w14:paraId="3FD2EF9C" w14:textId="3EDD97F4" w:rsidR="007030F1" w:rsidRPr="00CA2F78" w:rsidRDefault="00CA2F78" w:rsidP="009E0AB3">
      <w:pPr>
        <w:pStyle w:val="ListParagraph"/>
        <w:numPr>
          <w:ilvl w:val="0"/>
          <w:numId w:val="9"/>
        </w:numPr>
        <w:spacing w:before="120" w:after="120"/>
        <w:ind w:left="720"/>
        <w:rPr>
          <w:rFonts w:ascii="Arial" w:hAnsi="Arial" w:cs="Arial"/>
        </w:rPr>
      </w:pPr>
      <w:r w:rsidRPr="00CA2F78">
        <w:rPr>
          <w:rFonts w:ascii="Arial" w:hAnsi="Arial" w:cs="Arial"/>
        </w:rPr>
        <w:t>TB symptom screen and two sputum samples for Xpert MTB/RIF and MGIT culture if symptom directed</w:t>
      </w:r>
      <w:r w:rsidR="00BF1B71" w:rsidRPr="00CA2F78">
        <w:rPr>
          <w:rFonts w:ascii="Arial" w:hAnsi="Arial" w:cs="Arial"/>
        </w:rPr>
        <w:t>.</w:t>
      </w:r>
    </w:p>
    <w:p w14:paraId="41C97C78" w14:textId="370B95A5" w:rsidR="007030F1" w:rsidRDefault="00855E0B" w:rsidP="009E0AB3">
      <w:pPr>
        <w:pStyle w:val="ListParagraph"/>
        <w:numPr>
          <w:ilvl w:val="0"/>
          <w:numId w:val="9"/>
        </w:numPr>
        <w:spacing w:before="120" w:after="120"/>
        <w:ind w:left="720"/>
        <w:rPr>
          <w:rFonts w:ascii="Arial" w:hAnsi="Arial" w:cs="Arial"/>
        </w:rPr>
      </w:pPr>
      <w:r>
        <w:rPr>
          <w:rFonts w:ascii="Arial" w:hAnsi="Arial" w:cs="Arial"/>
        </w:rPr>
        <w:t>P</w:t>
      </w:r>
      <w:r w:rsidR="007030F1" w:rsidRPr="00C26076">
        <w:rPr>
          <w:rFonts w:ascii="Arial" w:hAnsi="Arial" w:cs="Arial"/>
        </w:rPr>
        <w:t>regnancy test (urine BHCG)</w:t>
      </w:r>
      <w:r w:rsidR="00A762A9">
        <w:rPr>
          <w:rFonts w:ascii="Arial" w:hAnsi="Arial" w:cs="Arial"/>
        </w:rPr>
        <w:t>.</w:t>
      </w:r>
      <w:r w:rsidR="007030F1" w:rsidRPr="00C26076">
        <w:rPr>
          <w:rFonts w:ascii="Arial" w:hAnsi="Arial" w:cs="Arial"/>
        </w:rPr>
        <w:t xml:space="preserve"> </w:t>
      </w:r>
    </w:p>
    <w:p w14:paraId="1B73BA9F" w14:textId="03D75585" w:rsidR="00B0579D" w:rsidRDefault="00B0579D" w:rsidP="009E0AB3">
      <w:pPr>
        <w:pStyle w:val="ListParagraph"/>
        <w:numPr>
          <w:ilvl w:val="0"/>
          <w:numId w:val="9"/>
        </w:numPr>
        <w:spacing w:before="120" w:after="120"/>
        <w:ind w:left="720"/>
        <w:rPr>
          <w:rFonts w:ascii="Arial" w:hAnsi="Arial" w:cs="Arial"/>
        </w:rPr>
      </w:pPr>
      <w:r>
        <w:rPr>
          <w:rFonts w:ascii="Arial" w:hAnsi="Arial" w:cs="Arial"/>
        </w:rPr>
        <w:t>Hematology</w:t>
      </w:r>
      <w:r w:rsidRPr="001772E7">
        <w:rPr>
          <w:rFonts w:ascii="Arial" w:hAnsi="Arial" w:cs="Arial"/>
        </w:rPr>
        <w:t xml:space="preserve"> and chemistry</w:t>
      </w:r>
      <w:r w:rsidR="00827AFA">
        <w:rPr>
          <w:rFonts w:ascii="Arial" w:hAnsi="Arial" w:cs="Arial"/>
        </w:rPr>
        <w:t xml:space="preserve">: </w:t>
      </w:r>
      <w:r w:rsidR="00827AFA" w:rsidRPr="007346FE">
        <w:rPr>
          <w:rFonts w:ascii="Arial" w:hAnsi="Arial" w:cs="Arial"/>
        </w:rPr>
        <w:t>tota</w:t>
      </w:r>
      <w:r w:rsidR="00827AFA">
        <w:rPr>
          <w:rFonts w:ascii="Arial" w:hAnsi="Arial" w:cs="Arial"/>
        </w:rPr>
        <w:t>l WBC count, h</w:t>
      </w:r>
      <w:r w:rsidR="00827AFA" w:rsidRPr="007346FE">
        <w:rPr>
          <w:rFonts w:ascii="Arial" w:hAnsi="Arial" w:cs="Arial"/>
        </w:rPr>
        <w:t xml:space="preserve">emoglobin, platelet count, total bilirubin, creatinine, </w:t>
      </w:r>
      <w:r w:rsidR="00827AFA">
        <w:rPr>
          <w:rFonts w:ascii="Arial" w:hAnsi="Arial" w:cs="Arial"/>
        </w:rPr>
        <w:t xml:space="preserve">and </w:t>
      </w:r>
      <w:r w:rsidR="00827AFA" w:rsidRPr="007346FE">
        <w:rPr>
          <w:rFonts w:ascii="Arial" w:hAnsi="Arial" w:cs="Arial"/>
        </w:rPr>
        <w:t>ALT</w:t>
      </w:r>
      <w:r w:rsidR="00A762A9">
        <w:rPr>
          <w:rFonts w:ascii="Arial" w:hAnsi="Arial" w:cs="Arial"/>
        </w:rPr>
        <w:t>.</w:t>
      </w:r>
    </w:p>
    <w:p w14:paraId="2E571A9E" w14:textId="3DFA68F4" w:rsidR="00DD31EF" w:rsidRPr="00B0579D" w:rsidRDefault="00DD31EF" w:rsidP="009E0AB3">
      <w:pPr>
        <w:pStyle w:val="ListParagraph"/>
        <w:numPr>
          <w:ilvl w:val="0"/>
          <w:numId w:val="9"/>
        </w:numPr>
        <w:spacing w:before="120" w:after="120"/>
        <w:ind w:left="720"/>
        <w:rPr>
          <w:rFonts w:ascii="Arial" w:hAnsi="Arial" w:cs="Arial"/>
        </w:rPr>
      </w:pPr>
      <w:r>
        <w:rPr>
          <w:rFonts w:ascii="Arial" w:hAnsi="Arial" w:cs="Arial"/>
        </w:rPr>
        <w:t>HIV counselling and s</w:t>
      </w:r>
      <w:r w:rsidRPr="00C26076">
        <w:rPr>
          <w:rFonts w:ascii="Arial" w:hAnsi="Arial" w:cs="Arial"/>
        </w:rPr>
        <w:t>erology if confirmed TB</w:t>
      </w:r>
      <w:r>
        <w:rPr>
          <w:rFonts w:ascii="Arial" w:hAnsi="Arial" w:cs="Arial"/>
        </w:rPr>
        <w:t>.</w:t>
      </w:r>
    </w:p>
    <w:p w14:paraId="2FB7BD8F" w14:textId="7A5D01C0" w:rsidR="00E42EBA" w:rsidRDefault="007030F1" w:rsidP="009E0AB3">
      <w:pPr>
        <w:pStyle w:val="ListParagraph"/>
        <w:numPr>
          <w:ilvl w:val="0"/>
          <w:numId w:val="9"/>
        </w:numPr>
        <w:spacing w:before="120" w:after="120"/>
        <w:ind w:left="720"/>
        <w:rPr>
          <w:rFonts w:ascii="Arial" w:hAnsi="Arial" w:cs="Arial"/>
        </w:rPr>
      </w:pPr>
      <w:r w:rsidRPr="00C26076">
        <w:rPr>
          <w:rFonts w:ascii="Arial" w:hAnsi="Arial" w:cs="Arial"/>
        </w:rPr>
        <w:t xml:space="preserve">Immunology blood: </w:t>
      </w:r>
      <w:r w:rsidR="00A762A9">
        <w:rPr>
          <w:rFonts w:ascii="Arial" w:hAnsi="Arial" w:cs="Arial"/>
        </w:rPr>
        <w:t>w</w:t>
      </w:r>
      <w:r w:rsidRPr="00C26076">
        <w:rPr>
          <w:rFonts w:ascii="Arial" w:hAnsi="Arial" w:cs="Arial"/>
        </w:rPr>
        <w:t xml:space="preserve">hole </w:t>
      </w:r>
      <w:r w:rsidR="00A762A9">
        <w:rPr>
          <w:rFonts w:ascii="Arial" w:hAnsi="Arial" w:cs="Arial"/>
        </w:rPr>
        <w:t>b</w:t>
      </w:r>
      <w:r w:rsidRPr="00C26076">
        <w:rPr>
          <w:rFonts w:ascii="Arial" w:hAnsi="Arial" w:cs="Arial"/>
        </w:rPr>
        <w:t xml:space="preserve">lood </w:t>
      </w:r>
      <w:r w:rsidR="003F0938">
        <w:rPr>
          <w:rFonts w:ascii="Arial" w:hAnsi="Arial" w:cs="Arial"/>
        </w:rPr>
        <w:t>ICS, PBMCs, serum for IgG ELISA</w:t>
      </w:r>
      <w:r w:rsidR="00E87E42">
        <w:rPr>
          <w:rFonts w:ascii="Arial" w:hAnsi="Arial" w:cs="Arial"/>
        </w:rPr>
        <w:t>, gene signatures and whole blood absolute count</w:t>
      </w:r>
      <w:r w:rsidR="003F0938">
        <w:rPr>
          <w:rFonts w:ascii="Arial" w:hAnsi="Arial" w:cs="Arial"/>
        </w:rPr>
        <w:t>.</w:t>
      </w:r>
    </w:p>
    <w:p w14:paraId="76A43A5C" w14:textId="69B30704" w:rsidR="007030F1" w:rsidRPr="00C26076" w:rsidRDefault="00E42EBA" w:rsidP="009E0AB3">
      <w:pPr>
        <w:pStyle w:val="ListParagraph"/>
        <w:numPr>
          <w:ilvl w:val="0"/>
          <w:numId w:val="9"/>
        </w:numPr>
        <w:spacing w:before="120" w:after="120"/>
        <w:ind w:left="720"/>
        <w:rPr>
          <w:rFonts w:ascii="Arial" w:hAnsi="Arial" w:cs="Arial"/>
        </w:rPr>
      </w:pPr>
      <w:r>
        <w:rPr>
          <w:rFonts w:ascii="Arial" w:hAnsi="Arial" w:cs="Arial"/>
        </w:rPr>
        <w:t>Confirm continued eligibility for study injection</w:t>
      </w:r>
      <w:r w:rsidR="003F0938">
        <w:rPr>
          <w:rFonts w:ascii="Arial" w:hAnsi="Arial" w:cs="Arial"/>
        </w:rPr>
        <w:t>.</w:t>
      </w:r>
    </w:p>
    <w:p w14:paraId="155FE2E5" w14:textId="77777777" w:rsidR="007030F1" w:rsidRPr="00C26076" w:rsidRDefault="007030F1" w:rsidP="009E0AB3">
      <w:pPr>
        <w:spacing w:before="120" w:after="120" w:line="276" w:lineRule="auto"/>
        <w:contextualSpacing/>
        <w:rPr>
          <w:rFonts w:cs="Arial"/>
          <w:b/>
          <w:i/>
          <w:szCs w:val="22"/>
        </w:rPr>
      </w:pPr>
      <w:r w:rsidRPr="00C26076">
        <w:rPr>
          <w:rFonts w:cs="Arial"/>
          <w:b/>
          <w:i/>
          <w:szCs w:val="22"/>
        </w:rPr>
        <w:t>Injection:</w:t>
      </w:r>
    </w:p>
    <w:p w14:paraId="41BF4D05" w14:textId="3BE0FAF2" w:rsidR="00E42EBA" w:rsidRDefault="00E42EBA" w:rsidP="009E0AB3">
      <w:pPr>
        <w:pStyle w:val="ListParagraph"/>
        <w:numPr>
          <w:ilvl w:val="0"/>
          <w:numId w:val="17"/>
        </w:numPr>
        <w:spacing w:before="120" w:after="120"/>
        <w:ind w:left="720"/>
        <w:rPr>
          <w:rFonts w:ascii="Arial" w:hAnsi="Arial" w:cs="Arial"/>
        </w:rPr>
      </w:pPr>
      <w:r>
        <w:rPr>
          <w:rFonts w:ascii="Arial" w:hAnsi="Arial" w:cs="Arial"/>
        </w:rPr>
        <w:t xml:space="preserve">Inspect syringe and vaccine volume, confirm PID #, subject initials, </w:t>
      </w:r>
      <w:r w:rsidR="00A762A9">
        <w:rPr>
          <w:rFonts w:ascii="Arial" w:hAnsi="Arial" w:cs="Arial"/>
        </w:rPr>
        <w:t xml:space="preserve">and the </w:t>
      </w:r>
      <w:r>
        <w:rPr>
          <w:rFonts w:ascii="Arial" w:hAnsi="Arial" w:cs="Arial"/>
        </w:rPr>
        <w:t>date and time of dose preparation.</w:t>
      </w:r>
    </w:p>
    <w:p w14:paraId="1A902E41" w14:textId="4107DC46" w:rsidR="007030F1" w:rsidRPr="00C26076" w:rsidRDefault="007030F1" w:rsidP="009E0AB3">
      <w:pPr>
        <w:pStyle w:val="ListParagraph"/>
        <w:numPr>
          <w:ilvl w:val="0"/>
          <w:numId w:val="17"/>
        </w:numPr>
        <w:spacing w:before="120" w:after="120"/>
        <w:ind w:left="720"/>
        <w:rPr>
          <w:rFonts w:ascii="Arial" w:hAnsi="Arial" w:cs="Arial"/>
        </w:rPr>
      </w:pPr>
      <w:r w:rsidRPr="00C26076">
        <w:rPr>
          <w:rFonts w:ascii="Arial" w:hAnsi="Arial" w:cs="Arial"/>
        </w:rPr>
        <w:t>Administer study injection by intramuscular injection into deltoid area of arm. Record date and time of injection and which arm was injected.</w:t>
      </w:r>
    </w:p>
    <w:p w14:paraId="284B3CE5" w14:textId="678CBCD6" w:rsidR="007030F1" w:rsidRPr="00C26076" w:rsidRDefault="00717D30" w:rsidP="009E0AB3">
      <w:pPr>
        <w:spacing w:before="120" w:after="120" w:line="276" w:lineRule="auto"/>
        <w:contextualSpacing/>
        <w:rPr>
          <w:rFonts w:cs="Arial"/>
          <w:b/>
          <w:i/>
          <w:szCs w:val="22"/>
        </w:rPr>
      </w:pPr>
      <w:r>
        <w:rPr>
          <w:rFonts w:cs="Arial"/>
          <w:b/>
          <w:i/>
          <w:szCs w:val="22"/>
        </w:rPr>
        <w:t>30 minute evaluation</w:t>
      </w:r>
      <w:r w:rsidRPr="00C26076">
        <w:rPr>
          <w:rFonts w:cs="Arial"/>
          <w:b/>
          <w:i/>
          <w:szCs w:val="22"/>
        </w:rPr>
        <w:t xml:space="preserve"> </w:t>
      </w:r>
      <w:r w:rsidR="00A762A9">
        <w:rPr>
          <w:rFonts w:cs="Arial"/>
          <w:b/>
          <w:i/>
          <w:szCs w:val="22"/>
        </w:rPr>
        <w:t>p</w:t>
      </w:r>
      <w:r w:rsidR="007030F1" w:rsidRPr="00C26076">
        <w:rPr>
          <w:rFonts w:cs="Arial"/>
          <w:b/>
          <w:i/>
          <w:szCs w:val="22"/>
        </w:rPr>
        <w:t>ost-injection</w:t>
      </w:r>
      <w:r w:rsidRPr="00717D30">
        <w:rPr>
          <w:rFonts w:cs="Arial"/>
          <w:i/>
          <w:szCs w:val="22"/>
        </w:rPr>
        <w:t xml:space="preserve"> </w:t>
      </w:r>
      <w:r w:rsidRPr="00717D30">
        <w:rPr>
          <w:rFonts w:cs="Arial"/>
        </w:rPr>
        <w:t>(at least 30 minutes)</w:t>
      </w:r>
      <w:r w:rsidR="007030F1" w:rsidRPr="00717D30">
        <w:rPr>
          <w:rFonts w:cs="Arial"/>
          <w:i/>
          <w:szCs w:val="22"/>
        </w:rPr>
        <w:t>:</w:t>
      </w:r>
    </w:p>
    <w:p w14:paraId="696BE964" w14:textId="2085B916" w:rsidR="007030F1" w:rsidRPr="00C26076" w:rsidRDefault="007030F1" w:rsidP="009E0AB3">
      <w:pPr>
        <w:pStyle w:val="ListParagraph"/>
        <w:numPr>
          <w:ilvl w:val="0"/>
          <w:numId w:val="9"/>
        </w:numPr>
        <w:spacing w:before="120" w:after="120"/>
        <w:ind w:left="720"/>
        <w:rPr>
          <w:rFonts w:ascii="Arial" w:hAnsi="Arial" w:cs="Arial"/>
        </w:rPr>
      </w:pPr>
      <w:r w:rsidRPr="00C26076">
        <w:rPr>
          <w:rFonts w:ascii="Arial" w:hAnsi="Arial" w:cs="Arial"/>
        </w:rPr>
        <w:t xml:space="preserve">Injection site checks </w:t>
      </w:r>
      <w:r w:rsidR="00883462">
        <w:rPr>
          <w:rFonts w:ascii="Arial" w:hAnsi="Arial" w:cs="Arial"/>
        </w:rPr>
        <w:t xml:space="preserve">(pain, erythema, induration) </w:t>
      </w:r>
      <w:r w:rsidRPr="00C26076">
        <w:rPr>
          <w:rFonts w:ascii="Arial" w:hAnsi="Arial" w:cs="Arial"/>
        </w:rPr>
        <w:t xml:space="preserve">and specific </w:t>
      </w:r>
      <w:r w:rsidR="00717D30">
        <w:rPr>
          <w:rFonts w:ascii="Arial" w:hAnsi="Arial" w:cs="Arial"/>
        </w:rPr>
        <w:t>solicited systemic symptoms</w:t>
      </w:r>
      <w:r w:rsidR="00883462">
        <w:rPr>
          <w:rFonts w:ascii="Arial" w:hAnsi="Arial" w:cs="Arial"/>
        </w:rPr>
        <w:t xml:space="preserve"> (</w:t>
      </w:r>
      <w:r w:rsidR="00883462" w:rsidRPr="00883462">
        <w:rPr>
          <w:rFonts w:ascii="Arial" w:hAnsi="Arial" w:cs="Arial"/>
          <w:lang w:val="en-US"/>
        </w:rPr>
        <w:t>arthralgia, chills, nausea, fever, fatigue, myalgia</w:t>
      </w:r>
      <w:r w:rsidR="00883462">
        <w:rPr>
          <w:rFonts w:ascii="Arial" w:hAnsi="Arial" w:cs="Arial"/>
          <w:lang w:val="en-US"/>
        </w:rPr>
        <w:t>)</w:t>
      </w:r>
      <w:r w:rsidR="003F0938">
        <w:rPr>
          <w:rFonts w:ascii="Arial" w:hAnsi="Arial" w:cs="Arial"/>
        </w:rPr>
        <w:t>.</w:t>
      </w:r>
      <w:r w:rsidR="00717D30">
        <w:rPr>
          <w:rFonts w:ascii="Arial" w:hAnsi="Arial" w:cs="Arial"/>
        </w:rPr>
        <w:t xml:space="preserve"> </w:t>
      </w:r>
    </w:p>
    <w:p w14:paraId="61E3220D" w14:textId="56A4D169" w:rsidR="007030F1" w:rsidRPr="00E42EBA" w:rsidRDefault="007030F1" w:rsidP="009E0AB3">
      <w:pPr>
        <w:pStyle w:val="ListParagraph"/>
        <w:numPr>
          <w:ilvl w:val="0"/>
          <w:numId w:val="9"/>
        </w:numPr>
        <w:spacing w:before="120" w:after="120"/>
        <w:ind w:left="720"/>
        <w:rPr>
          <w:rFonts w:ascii="Arial" w:hAnsi="Arial" w:cs="Arial"/>
        </w:rPr>
      </w:pPr>
      <w:r w:rsidRPr="00E42EBA">
        <w:rPr>
          <w:rFonts w:ascii="Arial" w:hAnsi="Arial" w:cs="Arial"/>
        </w:rPr>
        <w:t>Adverse events</w:t>
      </w:r>
      <w:r w:rsidR="00E42EBA" w:rsidRPr="00E42EBA">
        <w:rPr>
          <w:rFonts w:ascii="Arial" w:hAnsi="Arial" w:cs="Arial"/>
        </w:rPr>
        <w:t xml:space="preserve">, including </w:t>
      </w:r>
      <w:r w:rsidRPr="00E42EBA">
        <w:rPr>
          <w:rFonts w:ascii="Arial" w:hAnsi="Arial" w:cs="Arial"/>
        </w:rPr>
        <w:t>SAEs and AESIs</w:t>
      </w:r>
      <w:r w:rsidR="003F0938">
        <w:rPr>
          <w:rFonts w:ascii="Arial" w:hAnsi="Arial" w:cs="Arial"/>
        </w:rPr>
        <w:t>.</w:t>
      </w:r>
    </w:p>
    <w:p w14:paraId="1086F6F2" w14:textId="1A0C7ADF" w:rsidR="007030F1" w:rsidRPr="002F03BB" w:rsidRDefault="007030F1" w:rsidP="009E0AB3">
      <w:pPr>
        <w:pStyle w:val="Heading3"/>
      </w:pPr>
      <w:bookmarkStart w:id="268" w:name="_Toc389129996"/>
      <w:bookmarkStart w:id="269" w:name="_Toc440906301"/>
      <w:r w:rsidRPr="00101FC1">
        <w:t xml:space="preserve">Day </w:t>
      </w:r>
      <w:r w:rsidR="00621D19">
        <w:t>59</w:t>
      </w:r>
      <w:r w:rsidR="00621D19" w:rsidRPr="00101FC1">
        <w:t xml:space="preserve"> </w:t>
      </w:r>
      <w:r w:rsidR="00A762A9">
        <w:t>(3 days from Day 56</w:t>
      </w:r>
      <w:r w:rsidR="00A95506">
        <w:t xml:space="preserve"> visit</w:t>
      </w:r>
      <w:r w:rsidR="00A762A9">
        <w:t>)</w:t>
      </w:r>
      <w:bookmarkEnd w:id="268"/>
      <w:bookmarkEnd w:id="269"/>
    </w:p>
    <w:p w14:paraId="283E0F21" w14:textId="1F5B72E7" w:rsidR="00101FC1" w:rsidRPr="00717D30" w:rsidRDefault="00717D30" w:rsidP="009E0AB3">
      <w:pPr>
        <w:pStyle w:val="ListParagraph"/>
        <w:numPr>
          <w:ilvl w:val="0"/>
          <w:numId w:val="31"/>
        </w:numPr>
        <w:spacing w:before="120" w:after="120"/>
        <w:ind w:left="720"/>
        <w:rPr>
          <w:rFonts w:ascii="Arial" w:hAnsi="Arial" w:cs="Arial"/>
        </w:rPr>
      </w:pPr>
      <w:r>
        <w:rPr>
          <w:rFonts w:ascii="Arial" w:hAnsi="Arial" w:cs="Arial"/>
        </w:rPr>
        <w:t>I</w:t>
      </w:r>
      <w:r w:rsidR="00101FC1" w:rsidRPr="00717D30">
        <w:rPr>
          <w:rFonts w:ascii="Arial" w:hAnsi="Arial" w:cs="Arial"/>
        </w:rPr>
        <w:t>njection s</w:t>
      </w:r>
      <w:r w:rsidR="00194ACF" w:rsidRPr="00717D30">
        <w:rPr>
          <w:rFonts w:ascii="Arial" w:hAnsi="Arial" w:cs="Arial"/>
        </w:rPr>
        <w:t xml:space="preserve">ite </w:t>
      </w:r>
      <w:r>
        <w:rPr>
          <w:rFonts w:ascii="Arial" w:hAnsi="Arial" w:cs="Arial"/>
        </w:rPr>
        <w:t>checks</w:t>
      </w:r>
      <w:r w:rsidR="00194ACF" w:rsidRPr="00717D30">
        <w:rPr>
          <w:rFonts w:ascii="Arial" w:hAnsi="Arial" w:cs="Arial"/>
        </w:rPr>
        <w:t xml:space="preserve"> </w:t>
      </w:r>
      <w:r w:rsidR="00883462">
        <w:rPr>
          <w:rFonts w:ascii="Arial" w:hAnsi="Arial" w:cs="Arial"/>
        </w:rPr>
        <w:t xml:space="preserve">(pain, erythema, induration) </w:t>
      </w:r>
      <w:r w:rsidR="00194ACF" w:rsidRPr="00717D30">
        <w:rPr>
          <w:rFonts w:ascii="Arial" w:hAnsi="Arial" w:cs="Arial"/>
        </w:rPr>
        <w:t xml:space="preserve">and </w:t>
      </w:r>
      <w:r w:rsidRPr="00717D30">
        <w:rPr>
          <w:rFonts w:ascii="Arial" w:hAnsi="Arial" w:cs="Arial"/>
        </w:rPr>
        <w:t xml:space="preserve">specific solicited systemic </w:t>
      </w:r>
      <w:r w:rsidR="00101FC1" w:rsidRPr="00717D30">
        <w:rPr>
          <w:rFonts w:ascii="Arial" w:hAnsi="Arial" w:cs="Arial"/>
        </w:rPr>
        <w:t>symptoms</w:t>
      </w:r>
      <w:r w:rsidR="00883462">
        <w:rPr>
          <w:rFonts w:ascii="Arial" w:hAnsi="Arial" w:cs="Arial"/>
        </w:rPr>
        <w:t xml:space="preserve"> (</w:t>
      </w:r>
      <w:r w:rsidR="00883462" w:rsidRPr="00883462">
        <w:rPr>
          <w:rFonts w:ascii="Arial" w:hAnsi="Arial" w:cs="Arial"/>
          <w:lang w:val="en-US"/>
        </w:rPr>
        <w:t>arthralgia, chills, nausea, fever, fatigue, myalgia</w:t>
      </w:r>
      <w:r w:rsidR="00883462">
        <w:rPr>
          <w:rFonts w:ascii="Arial" w:hAnsi="Arial" w:cs="Arial"/>
          <w:lang w:val="en-US"/>
        </w:rPr>
        <w:t>)</w:t>
      </w:r>
      <w:r w:rsidR="00A762A9">
        <w:rPr>
          <w:rFonts w:ascii="Arial" w:hAnsi="Arial" w:cs="Arial"/>
        </w:rPr>
        <w:t>.</w:t>
      </w:r>
    </w:p>
    <w:p w14:paraId="4969D397" w14:textId="1E8AF654" w:rsidR="00C90A03" w:rsidRPr="00717D30" w:rsidRDefault="00C90A03" w:rsidP="009E0AB3">
      <w:pPr>
        <w:pStyle w:val="ListParagraph"/>
        <w:numPr>
          <w:ilvl w:val="0"/>
          <w:numId w:val="12"/>
        </w:numPr>
        <w:spacing w:before="120" w:after="120"/>
        <w:ind w:left="720"/>
        <w:rPr>
          <w:rFonts w:ascii="Arial" w:hAnsi="Arial" w:cs="Arial"/>
        </w:rPr>
      </w:pPr>
      <w:r w:rsidRPr="00717D30">
        <w:rPr>
          <w:rFonts w:ascii="Arial" w:hAnsi="Arial" w:cs="Arial"/>
        </w:rPr>
        <w:t xml:space="preserve">Concomitant </w:t>
      </w:r>
      <w:r w:rsidR="000A5076">
        <w:rPr>
          <w:rFonts w:ascii="Arial" w:hAnsi="Arial" w:cs="Arial"/>
        </w:rPr>
        <w:t>medications</w:t>
      </w:r>
      <w:r w:rsidR="00A762A9">
        <w:rPr>
          <w:rFonts w:ascii="Arial" w:hAnsi="Arial" w:cs="Arial"/>
        </w:rPr>
        <w:t>.</w:t>
      </w:r>
      <w:r w:rsidRPr="00717D30">
        <w:rPr>
          <w:rFonts w:ascii="Arial" w:hAnsi="Arial" w:cs="Arial"/>
        </w:rPr>
        <w:t xml:space="preserve"> </w:t>
      </w:r>
    </w:p>
    <w:p w14:paraId="7BE718A0" w14:textId="5418B301" w:rsidR="00C90A03" w:rsidRPr="00717D30" w:rsidRDefault="00C90A03" w:rsidP="009E0AB3">
      <w:pPr>
        <w:pStyle w:val="ListParagraph"/>
        <w:numPr>
          <w:ilvl w:val="0"/>
          <w:numId w:val="10"/>
        </w:numPr>
        <w:spacing w:before="120" w:after="120"/>
        <w:ind w:left="720"/>
        <w:rPr>
          <w:rFonts w:ascii="Arial" w:hAnsi="Arial" w:cs="Arial"/>
        </w:rPr>
      </w:pPr>
      <w:r w:rsidRPr="00717D30">
        <w:rPr>
          <w:rFonts w:ascii="Arial" w:hAnsi="Arial" w:cs="Arial"/>
        </w:rPr>
        <w:t>Vital signs</w:t>
      </w:r>
      <w:r w:rsidR="00A762A9">
        <w:rPr>
          <w:rFonts w:ascii="Arial" w:hAnsi="Arial" w:cs="Arial"/>
        </w:rPr>
        <w:t>.</w:t>
      </w:r>
    </w:p>
    <w:p w14:paraId="6BA8AAFB" w14:textId="529819EF" w:rsidR="00C90A03" w:rsidRPr="00717D30" w:rsidRDefault="00C90A03" w:rsidP="009E0AB3">
      <w:pPr>
        <w:pStyle w:val="ListParagraph"/>
        <w:numPr>
          <w:ilvl w:val="0"/>
          <w:numId w:val="10"/>
        </w:numPr>
        <w:spacing w:before="120" w:after="120"/>
        <w:ind w:left="720"/>
        <w:rPr>
          <w:rFonts w:ascii="Arial" w:hAnsi="Arial" w:cs="Arial"/>
        </w:rPr>
      </w:pPr>
      <w:r w:rsidRPr="00717D30">
        <w:rPr>
          <w:rFonts w:ascii="Arial" w:hAnsi="Arial" w:cs="Arial"/>
        </w:rPr>
        <w:t>TB symptom screen and two sputum samples for Xpert MTB/RIF and MGIT culture if symptom directed</w:t>
      </w:r>
      <w:r w:rsidR="00A762A9">
        <w:rPr>
          <w:rFonts w:ascii="Arial" w:hAnsi="Arial" w:cs="Arial"/>
        </w:rPr>
        <w:t>.</w:t>
      </w:r>
    </w:p>
    <w:p w14:paraId="40B45EF0" w14:textId="129FCD72" w:rsidR="00C90A03" w:rsidRPr="00717D30" w:rsidRDefault="00C90A03" w:rsidP="009E0AB3">
      <w:pPr>
        <w:pStyle w:val="ListParagraph"/>
        <w:numPr>
          <w:ilvl w:val="0"/>
          <w:numId w:val="10"/>
        </w:numPr>
        <w:spacing w:before="120" w:after="120"/>
        <w:ind w:left="720"/>
        <w:rPr>
          <w:rFonts w:ascii="Arial" w:hAnsi="Arial" w:cs="Arial"/>
        </w:rPr>
      </w:pPr>
      <w:r w:rsidRPr="00717D30">
        <w:rPr>
          <w:rFonts w:ascii="Arial" w:hAnsi="Arial" w:cs="Arial"/>
        </w:rPr>
        <w:t>Immunology blood</w:t>
      </w:r>
      <w:r w:rsidR="00772693">
        <w:rPr>
          <w:rFonts w:ascii="Arial" w:hAnsi="Arial" w:cs="Arial"/>
        </w:rPr>
        <w:t>:</w:t>
      </w:r>
      <w:r w:rsidRPr="00717D30">
        <w:rPr>
          <w:rFonts w:ascii="Arial" w:hAnsi="Arial" w:cs="Arial"/>
        </w:rPr>
        <w:t xml:space="preserve"> </w:t>
      </w:r>
      <w:r w:rsidR="00621D19">
        <w:rPr>
          <w:rFonts w:ascii="Arial" w:hAnsi="Arial" w:cs="Arial"/>
        </w:rPr>
        <w:t>gene signature</w:t>
      </w:r>
      <w:r w:rsidR="00772693">
        <w:rPr>
          <w:rFonts w:ascii="Arial" w:hAnsi="Arial" w:cs="Arial"/>
        </w:rPr>
        <w:t>s</w:t>
      </w:r>
      <w:r w:rsidR="00846605">
        <w:rPr>
          <w:rFonts w:ascii="Arial" w:hAnsi="Arial" w:cs="Arial"/>
        </w:rPr>
        <w:t xml:space="preserve"> and whole blood absolute count</w:t>
      </w:r>
      <w:r w:rsidR="00A762A9">
        <w:rPr>
          <w:rFonts w:ascii="Arial" w:hAnsi="Arial" w:cs="Arial"/>
        </w:rPr>
        <w:t>.</w:t>
      </w:r>
    </w:p>
    <w:p w14:paraId="06623591" w14:textId="4F17DB6C" w:rsidR="007030F1" w:rsidRPr="009E0AB3" w:rsidRDefault="00C90A03" w:rsidP="009E0AB3">
      <w:pPr>
        <w:pStyle w:val="ListParagraph"/>
        <w:numPr>
          <w:ilvl w:val="0"/>
          <w:numId w:val="31"/>
        </w:numPr>
        <w:spacing w:before="120" w:after="120"/>
        <w:ind w:left="720"/>
        <w:rPr>
          <w:rFonts w:cs="Arial"/>
        </w:rPr>
      </w:pPr>
      <w:r w:rsidRPr="009E0AB3">
        <w:rPr>
          <w:rFonts w:ascii="Arial" w:hAnsi="Arial" w:cs="Arial"/>
        </w:rPr>
        <w:t xml:space="preserve">Adverse </w:t>
      </w:r>
      <w:r w:rsidR="00A762A9" w:rsidRPr="009E0AB3">
        <w:rPr>
          <w:rFonts w:ascii="Arial" w:hAnsi="Arial" w:cs="Arial"/>
        </w:rPr>
        <w:t>e</w:t>
      </w:r>
      <w:r w:rsidRPr="009E0AB3">
        <w:rPr>
          <w:rFonts w:ascii="Arial" w:hAnsi="Arial" w:cs="Arial"/>
        </w:rPr>
        <w:t>vents</w:t>
      </w:r>
      <w:r w:rsidR="00E42EBA" w:rsidRPr="009E0AB3">
        <w:rPr>
          <w:rFonts w:ascii="Arial" w:hAnsi="Arial" w:cs="Arial"/>
        </w:rPr>
        <w:t>, including SAEs and AESIs</w:t>
      </w:r>
      <w:r w:rsidR="00A762A9" w:rsidRPr="009E0AB3">
        <w:rPr>
          <w:rFonts w:ascii="Arial" w:hAnsi="Arial" w:cs="Arial"/>
        </w:rPr>
        <w:t>.</w:t>
      </w:r>
    </w:p>
    <w:p w14:paraId="00ADA963" w14:textId="09CB60C4" w:rsidR="007030F1" w:rsidRPr="00C26076" w:rsidRDefault="007030F1" w:rsidP="009E0AB3">
      <w:pPr>
        <w:pStyle w:val="Heading3"/>
      </w:pPr>
      <w:bookmarkStart w:id="270" w:name="_Toc389129997"/>
      <w:bookmarkStart w:id="271" w:name="_Toc440906302"/>
      <w:r w:rsidRPr="00C26076">
        <w:t xml:space="preserve">Day </w:t>
      </w:r>
      <w:r w:rsidR="00621D19">
        <w:t>63</w:t>
      </w:r>
      <w:r w:rsidR="00621D19" w:rsidRPr="00C26076">
        <w:t xml:space="preserve"> </w:t>
      </w:r>
      <w:r w:rsidRPr="00C26076">
        <w:t>(</w:t>
      </w:r>
      <w:r w:rsidR="00A762A9">
        <w:t xml:space="preserve">7 days </w:t>
      </w:r>
      <w:r w:rsidRPr="00C26076">
        <w:t>±1</w:t>
      </w:r>
      <w:r w:rsidR="000A5076">
        <w:t xml:space="preserve"> from Day 56</w:t>
      </w:r>
      <w:r w:rsidR="00A95506">
        <w:t xml:space="preserve"> visit</w:t>
      </w:r>
      <w:r w:rsidRPr="00C26076">
        <w:t>)</w:t>
      </w:r>
      <w:bookmarkEnd w:id="270"/>
      <w:bookmarkEnd w:id="271"/>
    </w:p>
    <w:p w14:paraId="2147E6CD" w14:textId="469A3238" w:rsidR="007030F1" w:rsidRPr="00C26076" w:rsidRDefault="007030F1" w:rsidP="009E0AB3">
      <w:pPr>
        <w:pStyle w:val="ListParagraph"/>
        <w:numPr>
          <w:ilvl w:val="0"/>
          <w:numId w:val="12"/>
        </w:numPr>
        <w:spacing w:before="120" w:after="120"/>
        <w:ind w:left="720"/>
        <w:rPr>
          <w:rFonts w:ascii="Arial" w:hAnsi="Arial" w:cs="Arial"/>
        </w:rPr>
      </w:pPr>
      <w:r w:rsidRPr="00C26076">
        <w:rPr>
          <w:rFonts w:ascii="Arial" w:hAnsi="Arial" w:cs="Arial"/>
        </w:rPr>
        <w:t xml:space="preserve">Concomitant </w:t>
      </w:r>
      <w:r w:rsidR="000A5076">
        <w:rPr>
          <w:rFonts w:ascii="Arial" w:hAnsi="Arial" w:cs="Arial"/>
        </w:rPr>
        <w:t>medications</w:t>
      </w:r>
      <w:r w:rsidR="00A762A9">
        <w:rPr>
          <w:rFonts w:ascii="Arial" w:hAnsi="Arial" w:cs="Arial"/>
        </w:rPr>
        <w:t>.</w:t>
      </w:r>
      <w:r w:rsidRPr="00C26076">
        <w:rPr>
          <w:rFonts w:ascii="Arial" w:hAnsi="Arial" w:cs="Arial"/>
        </w:rPr>
        <w:t xml:space="preserve"> </w:t>
      </w:r>
    </w:p>
    <w:p w14:paraId="5E6E03EA" w14:textId="24856F27" w:rsidR="007030F1" w:rsidRPr="005669C1" w:rsidRDefault="007030F1" w:rsidP="009E0AB3">
      <w:pPr>
        <w:pStyle w:val="ListParagraph"/>
        <w:numPr>
          <w:ilvl w:val="0"/>
          <w:numId w:val="11"/>
        </w:numPr>
        <w:spacing w:before="120" w:after="120"/>
        <w:ind w:left="720"/>
        <w:rPr>
          <w:rFonts w:ascii="Arial" w:hAnsi="Arial" w:cs="Arial"/>
        </w:rPr>
      </w:pPr>
      <w:r w:rsidRPr="005669C1">
        <w:rPr>
          <w:rFonts w:ascii="Arial" w:hAnsi="Arial" w:cs="Arial"/>
        </w:rPr>
        <w:t>TB symptom screen</w:t>
      </w:r>
      <w:r w:rsidR="005669C1" w:rsidRPr="005669C1">
        <w:rPr>
          <w:rFonts w:ascii="Arial" w:hAnsi="Arial" w:cs="Arial"/>
        </w:rPr>
        <w:t xml:space="preserve"> and two sputum samples for Xpert MTB/RIF and MGIT culture if symptom directed</w:t>
      </w:r>
      <w:r w:rsidR="00A762A9">
        <w:rPr>
          <w:rFonts w:ascii="Arial" w:hAnsi="Arial" w:cs="Arial"/>
        </w:rPr>
        <w:t>.</w:t>
      </w:r>
    </w:p>
    <w:p w14:paraId="3D990B40" w14:textId="2E05F8B8" w:rsidR="007030F1" w:rsidRPr="00C26076" w:rsidRDefault="007030F1" w:rsidP="009E0AB3">
      <w:pPr>
        <w:pStyle w:val="ListParagraph"/>
        <w:numPr>
          <w:ilvl w:val="0"/>
          <w:numId w:val="11"/>
        </w:numPr>
        <w:spacing w:before="120" w:after="120"/>
        <w:ind w:left="720"/>
        <w:rPr>
          <w:rFonts w:ascii="Arial" w:hAnsi="Arial" w:cs="Arial"/>
        </w:rPr>
      </w:pPr>
      <w:r w:rsidRPr="00C26076">
        <w:rPr>
          <w:rFonts w:ascii="Arial" w:hAnsi="Arial" w:cs="Arial"/>
        </w:rPr>
        <w:t>Vital signs</w:t>
      </w:r>
      <w:r w:rsidR="00A762A9">
        <w:rPr>
          <w:rFonts w:ascii="Arial" w:hAnsi="Arial" w:cs="Arial"/>
        </w:rPr>
        <w:t>.</w:t>
      </w:r>
    </w:p>
    <w:p w14:paraId="5DB9EA68" w14:textId="76F88F3A" w:rsidR="00621D19" w:rsidRDefault="00D1352E" w:rsidP="009E0AB3">
      <w:pPr>
        <w:pStyle w:val="ListParagraph"/>
        <w:numPr>
          <w:ilvl w:val="0"/>
          <w:numId w:val="11"/>
        </w:numPr>
        <w:spacing w:before="120" w:after="120"/>
        <w:ind w:left="720"/>
        <w:rPr>
          <w:rFonts w:ascii="Arial" w:hAnsi="Arial" w:cs="Arial"/>
        </w:rPr>
      </w:pPr>
      <w:r>
        <w:rPr>
          <w:rFonts w:ascii="Arial" w:hAnsi="Arial" w:cs="Arial"/>
        </w:rPr>
        <w:t>Hematology</w:t>
      </w:r>
      <w:r w:rsidR="007030F1" w:rsidRPr="00C26076">
        <w:rPr>
          <w:rFonts w:ascii="Arial" w:hAnsi="Arial" w:cs="Arial"/>
        </w:rPr>
        <w:t xml:space="preserve"> and chemistry</w:t>
      </w:r>
      <w:r w:rsidR="00827AFA">
        <w:rPr>
          <w:rFonts w:ascii="Arial" w:hAnsi="Arial" w:cs="Arial"/>
        </w:rPr>
        <w:t xml:space="preserve">: </w:t>
      </w:r>
      <w:r w:rsidR="00827AFA" w:rsidRPr="007346FE">
        <w:rPr>
          <w:rFonts w:ascii="Arial" w:hAnsi="Arial" w:cs="Arial"/>
        </w:rPr>
        <w:t>tota</w:t>
      </w:r>
      <w:r w:rsidR="00827AFA">
        <w:rPr>
          <w:rFonts w:ascii="Arial" w:hAnsi="Arial" w:cs="Arial"/>
        </w:rPr>
        <w:t>l WBC count, h</w:t>
      </w:r>
      <w:r w:rsidR="00827AFA" w:rsidRPr="007346FE">
        <w:rPr>
          <w:rFonts w:ascii="Arial" w:hAnsi="Arial" w:cs="Arial"/>
        </w:rPr>
        <w:t xml:space="preserve">emoglobin, platelet count, total bilirubin, creatinine, </w:t>
      </w:r>
      <w:r w:rsidR="00827AFA">
        <w:rPr>
          <w:rFonts w:ascii="Arial" w:hAnsi="Arial" w:cs="Arial"/>
        </w:rPr>
        <w:t xml:space="preserve">and </w:t>
      </w:r>
      <w:r w:rsidR="00827AFA" w:rsidRPr="007346FE">
        <w:rPr>
          <w:rFonts w:ascii="Arial" w:hAnsi="Arial" w:cs="Arial"/>
        </w:rPr>
        <w:t>ALT</w:t>
      </w:r>
      <w:r w:rsidR="00A762A9">
        <w:rPr>
          <w:rFonts w:ascii="Arial" w:hAnsi="Arial" w:cs="Arial"/>
        </w:rPr>
        <w:t>.</w:t>
      </w:r>
    </w:p>
    <w:p w14:paraId="4A991D6D" w14:textId="67AD7FCC" w:rsidR="00DD31EF" w:rsidRDefault="00DD31EF" w:rsidP="009E0AB3">
      <w:pPr>
        <w:pStyle w:val="ListParagraph"/>
        <w:numPr>
          <w:ilvl w:val="0"/>
          <w:numId w:val="11"/>
        </w:numPr>
        <w:spacing w:before="120" w:after="120"/>
        <w:ind w:left="720"/>
        <w:rPr>
          <w:rFonts w:ascii="Arial" w:hAnsi="Arial" w:cs="Arial"/>
        </w:rPr>
      </w:pPr>
      <w:r>
        <w:rPr>
          <w:rFonts w:ascii="Arial" w:hAnsi="Arial" w:cs="Arial"/>
        </w:rPr>
        <w:t>HIV counselling and s</w:t>
      </w:r>
      <w:r w:rsidRPr="00C26076">
        <w:rPr>
          <w:rFonts w:ascii="Arial" w:hAnsi="Arial" w:cs="Arial"/>
        </w:rPr>
        <w:t>erology if confirmed TB</w:t>
      </w:r>
      <w:r w:rsidR="00534A40">
        <w:rPr>
          <w:rFonts w:ascii="Arial" w:hAnsi="Arial" w:cs="Arial"/>
        </w:rPr>
        <w:t>.</w:t>
      </w:r>
    </w:p>
    <w:p w14:paraId="33517350" w14:textId="17995633" w:rsidR="007030F1" w:rsidRPr="00C26076" w:rsidRDefault="00621D19" w:rsidP="009E0AB3">
      <w:pPr>
        <w:pStyle w:val="ListParagraph"/>
        <w:numPr>
          <w:ilvl w:val="0"/>
          <w:numId w:val="11"/>
        </w:numPr>
        <w:spacing w:before="120" w:after="120"/>
        <w:ind w:left="720"/>
        <w:rPr>
          <w:rFonts w:ascii="Arial" w:hAnsi="Arial" w:cs="Arial"/>
        </w:rPr>
      </w:pPr>
      <w:r w:rsidRPr="000A5076">
        <w:rPr>
          <w:rFonts w:ascii="Arial" w:hAnsi="Arial" w:cs="Arial"/>
        </w:rPr>
        <w:t>Immunology</w:t>
      </w:r>
      <w:r w:rsidR="00772693">
        <w:rPr>
          <w:rFonts w:ascii="Arial" w:hAnsi="Arial" w:cs="Arial"/>
        </w:rPr>
        <w:t xml:space="preserve"> blood:</w:t>
      </w:r>
      <w:r w:rsidRPr="000A5076">
        <w:rPr>
          <w:rFonts w:ascii="Arial" w:hAnsi="Arial" w:cs="Arial"/>
        </w:rPr>
        <w:t xml:space="preserve"> gene signature</w:t>
      </w:r>
      <w:r w:rsidR="00772693">
        <w:rPr>
          <w:rFonts w:ascii="Arial" w:hAnsi="Arial" w:cs="Arial"/>
        </w:rPr>
        <w:t>s</w:t>
      </w:r>
      <w:r w:rsidR="00846605">
        <w:rPr>
          <w:rFonts w:ascii="Arial" w:hAnsi="Arial" w:cs="Arial"/>
        </w:rPr>
        <w:t xml:space="preserve"> and whole blood absolute count</w:t>
      </w:r>
      <w:r w:rsidR="00A762A9">
        <w:rPr>
          <w:rFonts w:ascii="Arial" w:hAnsi="Arial" w:cs="Arial"/>
        </w:rPr>
        <w:t>.</w:t>
      </w:r>
    </w:p>
    <w:p w14:paraId="56C18E77" w14:textId="0536E97A" w:rsidR="007030F1" w:rsidRPr="00C26076" w:rsidRDefault="007030F1" w:rsidP="009E0AB3">
      <w:pPr>
        <w:pStyle w:val="ListParagraph"/>
        <w:numPr>
          <w:ilvl w:val="0"/>
          <w:numId w:val="11"/>
        </w:numPr>
        <w:spacing w:before="120" w:after="120"/>
        <w:ind w:left="720"/>
        <w:rPr>
          <w:rFonts w:ascii="Arial" w:hAnsi="Arial" w:cs="Arial"/>
        </w:rPr>
      </w:pPr>
      <w:r w:rsidRPr="00C26076">
        <w:rPr>
          <w:rFonts w:ascii="Arial" w:hAnsi="Arial" w:cs="Arial"/>
        </w:rPr>
        <w:t xml:space="preserve">Injection site check </w:t>
      </w:r>
      <w:r w:rsidR="00893E46">
        <w:rPr>
          <w:rFonts w:ascii="Arial" w:hAnsi="Arial" w:cs="Arial"/>
        </w:rPr>
        <w:t xml:space="preserve">(pain, erythema, induration) </w:t>
      </w:r>
      <w:r w:rsidRPr="00C26076">
        <w:rPr>
          <w:rFonts w:ascii="Arial" w:hAnsi="Arial" w:cs="Arial"/>
        </w:rPr>
        <w:t xml:space="preserve">and specific </w:t>
      </w:r>
      <w:r w:rsidR="00A95506">
        <w:rPr>
          <w:rFonts w:ascii="Arial" w:hAnsi="Arial" w:cs="Arial"/>
        </w:rPr>
        <w:t xml:space="preserve">solicited </w:t>
      </w:r>
      <w:r w:rsidRPr="00C26076">
        <w:rPr>
          <w:rFonts w:ascii="Arial" w:hAnsi="Arial" w:cs="Arial"/>
        </w:rPr>
        <w:t>systemic symptoms</w:t>
      </w:r>
      <w:r w:rsidR="00893E46">
        <w:rPr>
          <w:rFonts w:ascii="Arial" w:hAnsi="Arial" w:cs="Arial"/>
        </w:rPr>
        <w:t xml:space="preserve"> (</w:t>
      </w:r>
      <w:r w:rsidR="00893E46" w:rsidRPr="00893E46">
        <w:rPr>
          <w:rFonts w:ascii="Arial" w:hAnsi="Arial" w:cs="Arial"/>
          <w:lang w:val="en-US"/>
        </w:rPr>
        <w:t>arthralgia, chills, nausea, fever, fatigue, myalgia</w:t>
      </w:r>
      <w:r w:rsidR="00893E46">
        <w:rPr>
          <w:rFonts w:ascii="Arial" w:hAnsi="Arial" w:cs="Arial"/>
          <w:lang w:val="en-US"/>
        </w:rPr>
        <w:t>)</w:t>
      </w:r>
      <w:r w:rsidR="00A762A9">
        <w:rPr>
          <w:rFonts w:ascii="Arial" w:hAnsi="Arial" w:cs="Arial"/>
        </w:rPr>
        <w:t>.</w:t>
      </w:r>
      <w:r w:rsidRPr="00C26076">
        <w:rPr>
          <w:rFonts w:ascii="Arial" w:hAnsi="Arial" w:cs="Arial"/>
        </w:rPr>
        <w:t xml:space="preserve"> </w:t>
      </w:r>
    </w:p>
    <w:p w14:paraId="5DE0DB6C" w14:textId="45FD40C4" w:rsidR="007030F1" w:rsidRPr="009E0AB3" w:rsidRDefault="007030F1" w:rsidP="009E0AB3">
      <w:pPr>
        <w:pStyle w:val="ListParagraph"/>
        <w:numPr>
          <w:ilvl w:val="0"/>
          <w:numId w:val="11"/>
        </w:numPr>
        <w:spacing w:before="120" w:after="120"/>
        <w:ind w:left="720"/>
        <w:rPr>
          <w:rFonts w:ascii="Arial" w:hAnsi="Arial" w:cs="Arial"/>
        </w:rPr>
      </w:pPr>
      <w:r w:rsidRPr="009E0AB3">
        <w:rPr>
          <w:rFonts w:ascii="Arial" w:hAnsi="Arial" w:cs="Arial"/>
        </w:rPr>
        <w:t xml:space="preserve">Adverse </w:t>
      </w:r>
      <w:r w:rsidR="00A762A9" w:rsidRPr="009E0AB3">
        <w:rPr>
          <w:rFonts w:ascii="Arial" w:hAnsi="Arial" w:cs="Arial"/>
        </w:rPr>
        <w:t>e</w:t>
      </w:r>
      <w:r w:rsidRPr="009E0AB3">
        <w:rPr>
          <w:rFonts w:ascii="Arial" w:hAnsi="Arial" w:cs="Arial"/>
        </w:rPr>
        <w:t>vents</w:t>
      </w:r>
      <w:r w:rsidR="00A95506" w:rsidRPr="009E0AB3">
        <w:rPr>
          <w:rFonts w:ascii="Arial" w:hAnsi="Arial" w:cs="Arial"/>
        </w:rPr>
        <w:t>, in</w:t>
      </w:r>
      <w:r w:rsidR="00E42EBA" w:rsidRPr="009E0AB3">
        <w:rPr>
          <w:rFonts w:ascii="Arial" w:hAnsi="Arial" w:cs="Arial"/>
        </w:rPr>
        <w:t>cluding S</w:t>
      </w:r>
      <w:r w:rsidRPr="009E0AB3">
        <w:rPr>
          <w:rFonts w:ascii="Arial" w:hAnsi="Arial" w:cs="Arial"/>
        </w:rPr>
        <w:t>AEs</w:t>
      </w:r>
      <w:r w:rsidR="00E42EBA" w:rsidRPr="009E0AB3">
        <w:rPr>
          <w:rFonts w:ascii="Arial" w:hAnsi="Arial" w:cs="Arial"/>
        </w:rPr>
        <w:t xml:space="preserve"> and </w:t>
      </w:r>
      <w:r w:rsidRPr="009E0AB3">
        <w:rPr>
          <w:rFonts w:ascii="Arial" w:hAnsi="Arial" w:cs="Arial"/>
        </w:rPr>
        <w:t>AESIs</w:t>
      </w:r>
      <w:r w:rsidR="00A762A9" w:rsidRPr="009E0AB3">
        <w:rPr>
          <w:rFonts w:ascii="Arial" w:hAnsi="Arial" w:cs="Arial"/>
        </w:rPr>
        <w:t>.</w:t>
      </w:r>
    </w:p>
    <w:p w14:paraId="21730C3D" w14:textId="0F9B03CC" w:rsidR="00621D19" w:rsidRDefault="00621D19" w:rsidP="009E0AB3">
      <w:pPr>
        <w:pStyle w:val="Heading3"/>
      </w:pPr>
      <w:bookmarkStart w:id="272" w:name="_Toc389129998"/>
      <w:bookmarkStart w:id="273" w:name="_Toc440906303"/>
      <w:r w:rsidRPr="00C26076">
        <w:t xml:space="preserve">Day </w:t>
      </w:r>
      <w:r>
        <w:t>70</w:t>
      </w:r>
      <w:r w:rsidRPr="00C26076">
        <w:t xml:space="preserve"> (</w:t>
      </w:r>
      <w:r w:rsidR="00DC65F4">
        <w:t xml:space="preserve">14 days </w:t>
      </w:r>
      <w:r w:rsidRPr="00C26076">
        <w:t>±1</w:t>
      </w:r>
      <w:r w:rsidR="00DC65F4">
        <w:t xml:space="preserve"> from Day 56 visit</w:t>
      </w:r>
      <w:r w:rsidRPr="00C26076">
        <w:t>)</w:t>
      </w:r>
      <w:bookmarkEnd w:id="272"/>
      <w:bookmarkEnd w:id="273"/>
    </w:p>
    <w:p w14:paraId="740A7703" w14:textId="0C89CBB9" w:rsidR="002D39E9" w:rsidRPr="00CF3F4D" w:rsidRDefault="002D39E9" w:rsidP="009E0AB3">
      <w:pPr>
        <w:pStyle w:val="ListParagraph"/>
        <w:numPr>
          <w:ilvl w:val="0"/>
          <w:numId w:val="9"/>
        </w:numPr>
        <w:spacing w:before="120" w:after="120"/>
        <w:ind w:left="720"/>
      </w:pPr>
      <w:r w:rsidRPr="00C26076">
        <w:rPr>
          <w:rFonts w:ascii="Arial" w:hAnsi="Arial" w:cs="Arial"/>
        </w:rPr>
        <w:t xml:space="preserve">Concomitant </w:t>
      </w:r>
      <w:r>
        <w:rPr>
          <w:rFonts w:ascii="Arial" w:hAnsi="Arial" w:cs="Arial"/>
        </w:rPr>
        <w:t>medications.</w:t>
      </w:r>
    </w:p>
    <w:p w14:paraId="5343D7FB" w14:textId="77777777" w:rsidR="000B51E2" w:rsidRPr="007B2DBD" w:rsidRDefault="000B51E2" w:rsidP="000B51E2">
      <w:pPr>
        <w:pStyle w:val="ListParagraph"/>
        <w:numPr>
          <w:ilvl w:val="0"/>
          <w:numId w:val="9"/>
        </w:numPr>
        <w:spacing w:before="120" w:after="120"/>
        <w:ind w:left="720"/>
      </w:pPr>
      <w:r w:rsidRPr="000A5076">
        <w:rPr>
          <w:rFonts w:ascii="Arial" w:hAnsi="Arial" w:cs="Arial"/>
        </w:rPr>
        <w:t>TB symptom screen and two sputum samples for Xpert MTB/RIF and MGIT culture if symptom directed.</w:t>
      </w:r>
    </w:p>
    <w:p w14:paraId="293210FB" w14:textId="354E83D5" w:rsidR="00825626" w:rsidRPr="00CF3F4D" w:rsidRDefault="00825626" w:rsidP="009E0AB3">
      <w:pPr>
        <w:pStyle w:val="ListParagraph"/>
        <w:numPr>
          <w:ilvl w:val="0"/>
          <w:numId w:val="9"/>
        </w:numPr>
        <w:spacing w:before="120" w:after="120"/>
        <w:ind w:left="720"/>
      </w:pPr>
      <w:r w:rsidRPr="009E0AB3">
        <w:rPr>
          <w:rFonts w:ascii="Arial" w:hAnsi="Arial" w:cs="Arial"/>
        </w:rPr>
        <w:t>Adverse events, including SAEs and AESIs</w:t>
      </w:r>
      <w:r>
        <w:rPr>
          <w:rFonts w:ascii="Arial" w:hAnsi="Arial" w:cs="Arial"/>
        </w:rPr>
        <w:t>.</w:t>
      </w:r>
    </w:p>
    <w:p w14:paraId="2D600235" w14:textId="3E3532EF" w:rsidR="009E7E87" w:rsidRPr="009E7E87" w:rsidRDefault="00A95506" w:rsidP="009E0AB3">
      <w:pPr>
        <w:pStyle w:val="ListParagraph"/>
        <w:numPr>
          <w:ilvl w:val="0"/>
          <w:numId w:val="9"/>
        </w:numPr>
        <w:spacing w:before="120" w:after="120"/>
        <w:ind w:left="720"/>
      </w:pPr>
      <w:r>
        <w:rPr>
          <w:rFonts w:ascii="Arial" w:hAnsi="Arial" w:cs="Arial"/>
        </w:rPr>
        <w:t>Immunology blood</w:t>
      </w:r>
      <w:r w:rsidR="009E7E87" w:rsidRPr="00723BE7">
        <w:rPr>
          <w:rFonts w:ascii="Arial" w:hAnsi="Arial" w:cs="Arial"/>
        </w:rPr>
        <w:t xml:space="preserve">: </w:t>
      </w:r>
      <w:r>
        <w:rPr>
          <w:rFonts w:ascii="Arial" w:hAnsi="Arial" w:cs="Arial"/>
        </w:rPr>
        <w:t>w</w:t>
      </w:r>
      <w:r w:rsidR="009E7E87" w:rsidRPr="00723BE7">
        <w:rPr>
          <w:rFonts w:ascii="Arial" w:hAnsi="Arial" w:cs="Arial"/>
        </w:rPr>
        <w:t xml:space="preserve">hole </w:t>
      </w:r>
      <w:r w:rsidR="00610EFA">
        <w:rPr>
          <w:rFonts w:ascii="Arial" w:hAnsi="Arial" w:cs="Arial"/>
        </w:rPr>
        <w:t>b</w:t>
      </w:r>
      <w:r w:rsidR="009E7E87" w:rsidRPr="00723BE7">
        <w:rPr>
          <w:rFonts w:ascii="Arial" w:hAnsi="Arial" w:cs="Arial"/>
        </w:rPr>
        <w:t>lood ICS, PBMCs, serum for IgG ELISA</w:t>
      </w:r>
      <w:r w:rsidR="00610EFA">
        <w:rPr>
          <w:rFonts w:ascii="Arial" w:hAnsi="Arial" w:cs="Arial"/>
        </w:rPr>
        <w:t>.</w:t>
      </w:r>
      <w:r w:rsidR="009E7E87" w:rsidRPr="00723BE7">
        <w:rPr>
          <w:rFonts w:ascii="Arial" w:hAnsi="Arial" w:cs="Arial"/>
        </w:rPr>
        <w:t xml:space="preserve"> </w:t>
      </w:r>
    </w:p>
    <w:p w14:paraId="164EB0E1" w14:textId="11A16145" w:rsidR="007030F1" w:rsidRPr="00C26076" w:rsidRDefault="007030F1" w:rsidP="009E0AB3">
      <w:pPr>
        <w:pStyle w:val="Heading3"/>
      </w:pPr>
      <w:bookmarkStart w:id="274" w:name="_Toc389129999"/>
      <w:bookmarkStart w:id="275" w:name="_Toc440906304"/>
      <w:r w:rsidRPr="00C26076">
        <w:t xml:space="preserve">Day </w:t>
      </w:r>
      <w:r w:rsidR="00621D19">
        <w:t>84</w:t>
      </w:r>
      <w:r w:rsidR="00621D19" w:rsidRPr="00C26076">
        <w:t xml:space="preserve"> </w:t>
      </w:r>
      <w:r w:rsidRPr="00C26076">
        <w:t>(±3)</w:t>
      </w:r>
      <w:bookmarkEnd w:id="274"/>
      <w:bookmarkEnd w:id="275"/>
    </w:p>
    <w:p w14:paraId="63E457C4" w14:textId="2405968D" w:rsidR="007030F1" w:rsidRPr="00C26076" w:rsidRDefault="007030F1" w:rsidP="009E0AB3">
      <w:pPr>
        <w:pStyle w:val="ListParagraph"/>
        <w:numPr>
          <w:ilvl w:val="0"/>
          <w:numId w:val="12"/>
        </w:numPr>
        <w:spacing w:before="120" w:after="120"/>
        <w:ind w:left="720"/>
        <w:rPr>
          <w:rFonts w:ascii="Arial" w:hAnsi="Arial" w:cs="Arial"/>
        </w:rPr>
      </w:pPr>
      <w:r w:rsidRPr="00C26076">
        <w:rPr>
          <w:rFonts w:ascii="Arial" w:hAnsi="Arial" w:cs="Arial"/>
        </w:rPr>
        <w:t xml:space="preserve">Concomitant </w:t>
      </w:r>
      <w:r w:rsidR="000A5076">
        <w:rPr>
          <w:rFonts w:ascii="Arial" w:hAnsi="Arial" w:cs="Arial"/>
        </w:rPr>
        <w:t>medications</w:t>
      </w:r>
      <w:r w:rsidR="00A95506">
        <w:rPr>
          <w:rFonts w:ascii="Arial" w:hAnsi="Arial" w:cs="Arial"/>
        </w:rPr>
        <w:t>.</w:t>
      </w:r>
    </w:p>
    <w:p w14:paraId="7EBF73C2" w14:textId="11C8C4A1" w:rsidR="00446596" w:rsidRDefault="00446596" w:rsidP="009E0AB3">
      <w:pPr>
        <w:pStyle w:val="ListParagraph"/>
        <w:numPr>
          <w:ilvl w:val="0"/>
          <w:numId w:val="12"/>
        </w:numPr>
        <w:spacing w:before="120" w:after="120"/>
        <w:ind w:left="720"/>
        <w:rPr>
          <w:rFonts w:ascii="Arial" w:hAnsi="Arial" w:cs="Arial"/>
        </w:rPr>
      </w:pPr>
      <w:r>
        <w:rPr>
          <w:rFonts w:ascii="Arial" w:hAnsi="Arial" w:cs="Arial"/>
        </w:rPr>
        <w:t>Vital signs.</w:t>
      </w:r>
    </w:p>
    <w:p w14:paraId="2BD9BF17" w14:textId="0473344A" w:rsidR="007030F1" w:rsidRDefault="007030F1" w:rsidP="009E0AB3">
      <w:pPr>
        <w:pStyle w:val="ListParagraph"/>
        <w:numPr>
          <w:ilvl w:val="0"/>
          <w:numId w:val="12"/>
        </w:numPr>
        <w:spacing w:before="120" w:after="120"/>
        <w:ind w:left="720"/>
        <w:rPr>
          <w:rFonts w:ascii="Arial" w:hAnsi="Arial" w:cs="Arial"/>
        </w:rPr>
      </w:pPr>
      <w:r w:rsidRPr="00C26076">
        <w:rPr>
          <w:rFonts w:ascii="Arial" w:hAnsi="Arial" w:cs="Arial"/>
        </w:rPr>
        <w:t xml:space="preserve">Directed physical exam including </w:t>
      </w:r>
      <w:r w:rsidR="00C16FE7">
        <w:rPr>
          <w:rFonts w:ascii="Arial" w:hAnsi="Arial" w:cs="Arial"/>
        </w:rPr>
        <w:t xml:space="preserve">weight and </w:t>
      </w:r>
      <w:r w:rsidRPr="00C26076">
        <w:rPr>
          <w:rFonts w:ascii="Arial" w:hAnsi="Arial" w:cs="Arial"/>
        </w:rPr>
        <w:t xml:space="preserve">assessment of unexplained persistent </w:t>
      </w:r>
      <w:r w:rsidR="00534A40">
        <w:rPr>
          <w:rFonts w:ascii="Arial" w:hAnsi="Arial" w:cs="Arial"/>
        </w:rPr>
        <w:t>(</w:t>
      </w:r>
      <w:r w:rsidR="00F12F4C">
        <w:rPr>
          <w:rFonts w:ascii="Arial" w:hAnsi="Arial" w:cs="Arial"/>
        </w:rPr>
        <w:t>14 days or longer</w:t>
      </w:r>
      <w:r w:rsidR="00534A40">
        <w:rPr>
          <w:rFonts w:ascii="Arial" w:hAnsi="Arial" w:cs="Arial"/>
        </w:rPr>
        <w:t xml:space="preserve">) </w:t>
      </w:r>
      <w:r w:rsidRPr="00C26076">
        <w:rPr>
          <w:rFonts w:ascii="Arial" w:hAnsi="Arial" w:cs="Arial"/>
        </w:rPr>
        <w:t>or productive cough, fever, weight loss, fatigue, chest pain, or hemoptysis</w:t>
      </w:r>
      <w:r w:rsidR="00534A40">
        <w:rPr>
          <w:rFonts w:ascii="Arial" w:hAnsi="Arial" w:cs="Arial"/>
        </w:rPr>
        <w:t>,</w:t>
      </w:r>
      <w:r w:rsidRPr="00C26076">
        <w:rPr>
          <w:rFonts w:ascii="Arial" w:hAnsi="Arial" w:cs="Arial"/>
        </w:rPr>
        <w:t xml:space="preserve"> including chest radiography as indicated, to screen for suspected recurrent TB. Investigation for suspected extra-pulmonary TB may include aspiration, biopsy, or radiological i</w:t>
      </w:r>
      <w:r w:rsidR="00A95506">
        <w:rPr>
          <w:rFonts w:ascii="Arial" w:hAnsi="Arial" w:cs="Arial"/>
        </w:rPr>
        <w:t>maging, as clinically indicated.</w:t>
      </w:r>
    </w:p>
    <w:p w14:paraId="5B849259" w14:textId="18630C59" w:rsidR="007030F1" w:rsidRPr="0016010A" w:rsidRDefault="000B51E2" w:rsidP="0016010A">
      <w:pPr>
        <w:pStyle w:val="ListParagraph"/>
        <w:numPr>
          <w:ilvl w:val="0"/>
          <w:numId w:val="12"/>
        </w:numPr>
        <w:spacing w:before="120" w:after="120"/>
        <w:ind w:left="720"/>
        <w:rPr>
          <w:rFonts w:ascii="Arial" w:hAnsi="Arial" w:cs="Arial"/>
        </w:rPr>
      </w:pPr>
      <w:r w:rsidRPr="0016010A">
        <w:rPr>
          <w:rFonts w:ascii="Arial" w:hAnsi="Arial" w:cs="Arial"/>
        </w:rPr>
        <w:t>TB symptom screen</w:t>
      </w:r>
      <w:r w:rsidR="00534A40">
        <w:rPr>
          <w:rFonts w:ascii="Arial" w:hAnsi="Arial" w:cs="Arial"/>
        </w:rPr>
        <w:t xml:space="preserve"> </w:t>
      </w:r>
      <w:r w:rsidRPr="0016010A">
        <w:rPr>
          <w:rFonts w:ascii="Arial" w:hAnsi="Arial" w:cs="Arial"/>
        </w:rPr>
        <w:t>and two sputum samples (MGIT culture and XPert MTB/RIF for suspected recurrent TB if symptom directed)</w:t>
      </w:r>
      <w:r w:rsidR="00A95506" w:rsidRPr="0016010A">
        <w:rPr>
          <w:rFonts w:ascii="Arial" w:hAnsi="Arial" w:cs="Arial"/>
        </w:rPr>
        <w:t>.</w:t>
      </w:r>
      <w:r w:rsidR="00CE3D4B" w:rsidRPr="0016010A">
        <w:rPr>
          <w:rFonts w:ascii="Arial" w:hAnsi="Arial" w:cs="Arial"/>
        </w:rPr>
        <w:t xml:space="preserve"> </w:t>
      </w:r>
    </w:p>
    <w:p w14:paraId="01D6C7D2" w14:textId="37B56443" w:rsidR="00AB1FBE" w:rsidRDefault="00A95506" w:rsidP="009E0AB3">
      <w:pPr>
        <w:pStyle w:val="ListParagraph"/>
        <w:numPr>
          <w:ilvl w:val="0"/>
          <w:numId w:val="13"/>
        </w:numPr>
        <w:spacing w:before="120" w:after="120"/>
        <w:ind w:left="720"/>
        <w:rPr>
          <w:rFonts w:ascii="Arial" w:hAnsi="Arial" w:cs="Arial"/>
        </w:rPr>
      </w:pPr>
      <w:r>
        <w:rPr>
          <w:rFonts w:ascii="Arial" w:hAnsi="Arial" w:cs="Arial"/>
        </w:rPr>
        <w:t>Immunology blood</w:t>
      </w:r>
      <w:r w:rsidR="00AB1FBE" w:rsidRPr="00C26076">
        <w:rPr>
          <w:rFonts w:ascii="Arial" w:hAnsi="Arial" w:cs="Arial"/>
        </w:rPr>
        <w:t xml:space="preserve">: </w:t>
      </w:r>
      <w:r>
        <w:rPr>
          <w:rFonts w:ascii="Arial" w:hAnsi="Arial" w:cs="Arial"/>
        </w:rPr>
        <w:t>w</w:t>
      </w:r>
      <w:r w:rsidR="00AB1FBE" w:rsidRPr="00C26076">
        <w:rPr>
          <w:rFonts w:ascii="Arial" w:hAnsi="Arial" w:cs="Arial"/>
        </w:rPr>
        <w:t xml:space="preserve">hole </w:t>
      </w:r>
      <w:r>
        <w:rPr>
          <w:rFonts w:ascii="Arial" w:hAnsi="Arial" w:cs="Arial"/>
        </w:rPr>
        <w:t>b</w:t>
      </w:r>
      <w:r w:rsidR="00AB1FBE" w:rsidRPr="00C26076">
        <w:rPr>
          <w:rFonts w:ascii="Arial" w:hAnsi="Arial" w:cs="Arial"/>
        </w:rPr>
        <w:t xml:space="preserve">lood ICS, </w:t>
      </w:r>
      <w:r w:rsidR="00AB1FBE">
        <w:rPr>
          <w:rFonts w:ascii="Arial" w:hAnsi="Arial" w:cs="Arial"/>
        </w:rPr>
        <w:t>PBMCs, serum for IgG ELISA</w:t>
      </w:r>
      <w:r>
        <w:rPr>
          <w:rFonts w:ascii="Arial" w:hAnsi="Arial" w:cs="Arial"/>
        </w:rPr>
        <w:t>.</w:t>
      </w:r>
      <w:r w:rsidR="00725327">
        <w:rPr>
          <w:rFonts w:ascii="Arial" w:hAnsi="Arial" w:cs="Arial"/>
        </w:rPr>
        <w:t xml:space="preserve"> </w:t>
      </w:r>
    </w:p>
    <w:p w14:paraId="11151984" w14:textId="64E9D314" w:rsidR="007030F1" w:rsidRDefault="00A95506" w:rsidP="009E0AB3">
      <w:pPr>
        <w:pStyle w:val="ListParagraph"/>
        <w:numPr>
          <w:ilvl w:val="0"/>
          <w:numId w:val="13"/>
        </w:numPr>
        <w:spacing w:before="120" w:after="120"/>
        <w:ind w:left="720"/>
        <w:rPr>
          <w:rFonts w:ascii="Arial" w:hAnsi="Arial" w:cs="Arial"/>
        </w:rPr>
      </w:pPr>
      <w:r>
        <w:rPr>
          <w:rFonts w:ascii="Arial" w:hAnsi="Arial" w:cs="Arial"/>
        </w:rPr>
        <w:t xml:space="preserve">HIV </w:t>
      </w:r>
      <w:r w:rsidR="00DD31EF">
        <w:rPr>
          <w:rFonts w:ascii="Arial" w:hAnsi="Arial" w:cs="Arial"/>
        </w:rPr>
        <w:t xml:space="preserve">counselling and </w:t>
      </w:r>
      <w:r>
        <w:rPr>
          <w:rFonts w:ascii="Arial" w:hAnsi="Arial" w:cs="Arial"/>
        </w:rPr>
        <w:t>s</w:t>
      </w:r>
      <w:r w:rsidR="007030F1" w:rsidRPr="00C26076">
        <w:rPr>
          <w:rFonts w:ascii="Arial" w:hAnsi="Arial" w:cs="Arial"/>
        </w:rPr>
        <w:t>erology if confirmed TB</w:t>
      </w:r>
      <w:r>
        <w:rPr>
          <w:rFonts w:ascii="Arial" w:hAnsi="Arial" w:cs="Arial"/>
        </w:rPr>
        <w:t>.</w:t>
      </w:r>
    </w:p>
    <w:p w14:paraId="00AAFDA1" w14:textId="5C74B542" w:rsidR="00AB1FBE" w:rsidRPr="00C26076" w:rsidRDefault="00AB1FBE" w:rsidP="009E0AB3">
      <w:pPr>
        <w:pStyle w:val="ListParagraph"/>
        <w:numPr>
          <w:ilvl w:val="0"/>
          <w:numId w:val="13"/>
        </w:numPr>
        <w:spacing w:before="120" w:after="120"/>
        <w:ind w:left="720"/>
        <w:rPr>
          <w:rFonts w:ascii="Arial" w:hAnsi="Arial" w:cs="Arial"/>
        </w:rPr>
      </w:pPr>
      <w:r w:rsidRPr="000A5076">
        <w:rPr>
          <w:rFonts w:ascii="Arial" w:hAnsi="Arial" w:cs="Arial"/>
        </w:rPr>
        <w:t>Immunology</w:t>
      </w:r>
      <w:r w:rsidR="00A95506">
        <w:rPr>
          <w:rFonts w:ascii="Arial" w:hAnsi="Arial" w:cs="Arial"/>
        </w:rPr>
        <w:t xml:space="preserve"> blood for </w:t>
      </w:r>
      <w:r w:rsidRPr="000A5076">
        <w:rPr>
          <w:rFonts w:ascii="Arial" w:hAnsi="Arial" w:cs="Arial"/>
        </w:rPr>
        <w:t>gene signature</w:t>
      </w:r>
      <w:r w:rsidR="00A95506">
        <w:rPr>
          <w:rFonts w:ascii="Arial" w:hAnsi="Arial" w:cs="Arial"/>
        </w:rPr>
        <w:t>s</w:t>
      </w:r>
      <w:r>
        <w:rPr>
          <w:rFonts w:ascii="Arial" w:hAnsi="Arial" w:cs="Arial"/>
        </w:rPr>
        <w:t xml:space="preserve"> </w:t>
      </w:r>
      <w:r w:rsidR="00846605">
        <w:rPr>
          <w:rFonts w:ascii="Arial" w:hAnsi="Arial" w:cs="Arial"/>
        </w:rPr>
        <w:t xml:space="preserve">and whole blood absolute count </w:t>
      </w:r>
      <w:r>
        <w:rPr>
          <w:rFonts w:ascii="Arial" w:hAnsi="Arial" w:cs="Arial"/>
        </w:rPr>
        <w:t>if TB confirmed.</w:t>
      </w:r>
    </w:p>
    <w:p w14:paraId="262C15BA" w14:textId="61927DF5" w:rsidR="007030F1" w:rsidRPr="00E42EBA" w:rsidRDefault="007030F1" w:rsidP="009E0AB3">
      <w:pPr>
        <w:pStyle w:val="ListParagraph"/>
        <w:numPr>
          <w:ilvl w:val="0"/>
          <w:numId w:val="13"/>
        </w:numPr>
        <w:spacing w:before="120" w:after="120"/>
        <w:ind w:left="720"/>
        <w:rPr>
          <w:rFonts w:ascii="Arial" w:hAnsi="Arial" w:cs="Arial"/>
        </w:rPr>
      </w:pPr>
      <w:r w:rsidRPr="00E42EBA">
        <w:rPr>
          <w:rFonts w:ascii="Arial" w:hAnsi="Arial" w:cs="Arial"/>
        </w:rPr>
        <w:t>Adverse events</w:t>
      </w:r>
      <w:r w:rsidR="00E42EBA" w:rsidRPr="00E42EBA">
        <w:rPr>
          <w:rFonts w:ascii="Arial" w:hAnsi="Arial" w:cs="Arial"/>
        </w:rPr>
        <w:t xml:space="preserve">, including </w:t>
      </w:r>
      <w:r w:rsidRPr="00E42EBA">
        <w:rPr>
          <w:rFonts w:ascii="Arial" w:hAnsi="Arial" w:cs="Arial"/>
        </w:rPr>
        <w:t>SAEs</w:t>
      </w:r>
      <w:r w:rsidR="00E42EBA">
        <w:rPr>
          <w:rFonts w:ascii="Arial" w:hAnsi="Arial" w:cs="Arial"/>
        </w:rPr>
        <w:t xml:space="preserve"> and </w:t>
      </w:r>
      <w:r w:rsidRPr="00E42EBA">
        <w:rPr>
          <w:rFonts w:ascii="Arial" w:hAnsi="Arial" w:cs="Arial"/>
        </w:rPr>
        <w:t>AESIs</w:t>
      </w:r>
      <w:r w:rsidR="00A95506">
        <w:rPr>
          <w:rFonts w:ascii="Arial" w:hAnsi="Arial" w:cs="Arial"/>
        </w:rPr>
        <w:t>.</w:t>
      </w:r>
      <w:r w:rsidRPr="00E42EBA">
        <w:rPr>
          <w:rFonts w:ascii="Arial" w:hAnsi="Arial" w:cs="Arial"/>
        </w:rPr>
        <w:t xml:space="preserve"> </w:t>
      </w:r>
    </w:p>
    <w:p w14:paraId="746F3A35" w14:textId="77777777" w:rsidR="003B0B90" w:rsidRDefault="003B0B90" w:rsidP="009E0AB3">
      <w:pPr>
        <w:spacing w:before="120" w:after="120" w:line="276" w:lineRule="auto"/>
        <w:contextualSpacing/>
        <w:rPr>
          <w:rFonts w:cs="Arial"/>
          <w:b/>
          <w:szCs w:val="22"/>
        </w:rPr>
      </w:pPr>
    </w:p>
    <w:p w14:paraId="48C18818" w14:textId="66BD29E3" w:rsidR="00C9799D" w:rsidRPr="000F1C1E" w:rsidRDefault="007030F1" w:rsidP="009E0AB3">
      <w:pPr>
        <w:spacing w:before="120" w:after="120" w:line="276" w:lineRule="auto"/>
        <w:contextualSpacing/>
        <w:rPr>
          <w:rFonts w:cs="Arial"/>
          <w:szCs w:val="22"/>
        </w:rPr>
      </w:pPr>
      <w:r w:rsidRPr="000F1C1E">
        <w:rPr>
          <w:rFonts w:cs="Arial"/>
          <w:b/>
          <w:szCs w:val="22"/>
        </w:rPr>
        <w:t xml:space="preserve">Follow up </w:t>
      </w:r>
      <w:r w:rsidR="00194ACF" w:rsidRPr="000F1C1E">
        <w:rPr>
          <w:rFonts w:cs="Arial"/>
          <w:b/>
          <w:szCs w:val="22"/>
        </w:rPr>
        <w:t xml:space="preserve">Phase </w:t>
      </w:r>
      <w:r w:rsidRPr="000F1C1E">
        <w:rPr>
          <w:rFonts w:cs="Arial"/>
          <w:b/>
          <w:szCs w:val="22"/>
        </w:rPr>
        <w:t xml:space="preserve">Visits </w:t>
      </w:r>
      <w:r w:rsidR="00F12F4C" w:rsidRPr="000F1C1E">
        <w:rPr>
          <w:rFonts w:cs="Arial"/>
          <w:b/>
          <w:szCs w:val="22"/>
        </w:rPr>
        <w:t>(Day 112 and Day 168 may be field visits with referral to clinic if symptomatic for TB)</w:t>
      </w:r>
    </w:p>
    <w:p w14:paraId="33758013" w14:textId="48729BE1" w:rsidR="007030F1" w:rsidRPr="000F1C1E" w:rsidRDefault="007030F1" w:rsidP="009E0AB3">
      <w:pPr>
        <w:pStyle w:val="Heading3"/>
      </w:pPr>
      <w:bookmarkStart w:id="276" w:name="_Toc389130000"/>
      <w:bookmarkStart w:id="277" w:name="_Toc440906305"/>
      <w:r w:rsidRPr="000F1C1E">
        <w:t>Day 112 (±5)</w:t>
      </w:r>
      <w:r w:rsidR="005669C1" w:rsidRPr="000F1C1E">
        <w:t xml:space="preserve"> Field Visit</w:t>
      </w:r>
      <w:bookmarkEnd w:id="276"/>
      <w:bookmarkEnd w:id="277"/>
    </w:p>
    <w:p w14:paraId="6C35673E" w14:textId="28B94BFB" w:rsidR="007030F1" w:rsidRPr="000F1C1E" w:rsidRDefault="007030F1" w:rsidP="009E0AB3">
      <w:pPr>
        <w:pStyle w:val="ListParagraph"/>
        <w:numPr>
          <w:ilvl w:val="0"/>
          <w:numId w:val="12"/>
        </w:numPr>
        <w:spacing w:before="120" w:after="120"/>
        <w:ind w:left="720"/>
        <w:rPr>
          <w:rFonts w:ascii="Arial" w:hAnsi="Arial" w:cs="Arial"/>
        </w:rPr>
      </w:pPr>
      <w:r w:rsidRPr="000F1C1E">
        <w:rPr>
          <w:rFonts w:ascii="Arial" w:hAnsi="Arial" w:cs="Arial"/>
        </w:rPr>
        <w:t>TB symptom screen</w:t>
      </w:r>
      <w:r w:rsidR="00F12F4C" w:rsidRPr="000F1C1E">
        <w:rPr>
          <w:rFonts w:ascii="Arial" w:hAnsi="Arial" w:cs="Arial"/>
        </w:rPr>
        <w:t xml:space="preserve"> (referral to clinic if symptomatic for TB)</w:t>
      </w:r>
      <w:r w:rsidR="00A95506">
        <w:rPr>
          <w:rFonts w:ascii="Arial" w:hAnsi="Arial" w:cs="Arial"/>
        </w:rPr>
        <w:t>.</w:t>
      </w:r>
    </w:p>
    <w:p w14:paraId="377EB2DF" w14:textId="77777777" w:rsidR="004B1990" w:rsidRPr="000F1C1E" w:rsidRDefault="004B1990" w:rsidP="004B1990">
      <w:pPr>
        <w:pStyle w:val="ListParagraph"/>
        <w:numPr>
          <w:ilvl w:val="0"/>
          <w:numId w:val="12"/>
        </w:numPr>
        <w:spacing w:before="120" w:after="120"/>
        <w:ind w:left="720"/>
        <w:rPr>
          <w:rFonts w:ascii="Arial" w:hAnsi="Arial" w:cs="Arial"/>
        </w:rPr>
      </w:pPr>
      <w:r>
        <w:rPr>
          <w:rFonts w:ascii="Arial" w:hAnsi="Arial" w:cs="Arial"/>
        </w:rPr>
        <w:t>Vital signs</w:t>
      </w:r>
    </w:p>
    <w:p w14:paraId="57C6AEAE" w14:textId="52A9B2B4" w:rsidR="007030F1" w:rsidRDefault="007030F1" w:rsidP="009E0AB3">
      <w:pPr>
        <w:pStyle w:val="ListParagraph"/>
        <w:numPr>
          <w:ilvl w:val="0"/>
          <w:numId w:val="12"/>
        </w:numPr>
        <w:spacing w:before="120" w:after="120"/>
        <w:ind w:left="720"/>
        <w:rPr>
          <w:rFonts w:ascii="Arial" w:hAnsi="Arial" w:cs="Arial"/>
        </w:rPr>
      </w:pPr>
      <w:r w:rsidRPr="000F1C1E">
        <w:rPr>
          <w:rFonts w:ascii="Arial" w:hAnsi="Arial" w:cs="Arial"/>
        </w:rPr>
        <w:t xml:space="preserve">Directed physical exam including </w:t>
      </w:r>
      <w:r w:rsidR="00AB1FBE">
        <w:rPr>
          <w:rFonts w:ascii="Arial" w:hAnsi="Arial" w:cs="Arial"/>
        </w:rPr>
        <w:t xml:space="preserve">weight and </w:t>
      </w:r>
      <w:r w:rsidRPr="000F1C1E">
        <w:rPr>
          <w:rFonts w:ascii="Arial" w:hAnsi="Arial" w:cs="Arial"/>
        </w:rPr>
        <w:t>assessment of unexplained persistent</w:t>
      </w:r>
      <w:r w:rsidR="00F12F4C" w:rsidRPr="000F1C1E">
        <w:rPr>
          <w:rFonts w:ascii="Arial" w:hAnsi="Arial" w:cs="Arial"/>
        </w:rPr>
        <w:t xml:space="preserve"> </w:t>
      </w:r>
      <w:r w:rsidR="00534A40">
        <w:rPr>
          <w:rFonts w:ascii="Arial" w:hAnsi="Arial" w:cs="Arial"/>
        </w:rPr>
        <w:t>(</w:t>
      </w:r>
      <w:r w:rsidR="00F12F4C" w:rsidRPr="000F1C1E">
        <w:rPr>
          <w:rFonts w:ascii="Arial" w:hAnsi="Arial" w:cs="Arial"/>
        </w:rPr>
        <w:t>14 days or longer</w:t>
      </w:r>
      <w:r w:rsidR="00534A40">
        <w:rPr>
          <w:rFonts w:ascii="Arial" w:hAnsi="Arial" w:cs="Arial"/>
        </w:rPr>
        <w:t>)</w:t>
      </w:r>
      <w:r w:rsidR="00534A40" w:rsidRPr="000F1C1E">
        <w:rPr>
          <w:rFonts w:ascii="Arial" w:hAnsi="Arial" w:cs="Arial"/>
        </w:rPr>
        <w:t xml:space="preserve"> </w:t>
      </w:r>
      <w:r w:rsidRPr="000F1C1E">
        <w:rPr>
          <w:rFonts w:ascii="Arial" w:hAnsi="Arial" w:cs="Arial"/>
        </w:rPr>
        <w:t>or productive cough, fever, weight loss, fatigue, chest pain, or hemoptysis</w:t>
      </w:r>
      <w:r w:rsidR="00534A40">
        <w:rPr>
          <w:rFonts w:ascii="Arial" w:hAnsi="Arial" w:cs="Arial"/>
        </w:rPr>
        <w:t>,</w:t>
      </w:r>
      <w:r w:rsidRPr="000F1C1E">
        <w:rPr>
          <w:rFonts w:ascii="Arial" w:hAnsi="Arial" w:cs="Arial"/>
        </w:rPr>
        <w:t xml:space="preserve"> including chest radiography as indicated, to screen for suspected recurrent TB. Investigation for suspected extra-pulmonary TB may include aspiration, biopsy, or radiological i</w:t>
      </w:r>
      <w:r w:rsidR="00A95506">
        <w:rPr>
          <w:rFonts w:ascii="Arial" w:hAnsi="Arial" w:cs="Arial"/>
        </w:rPr>
        <w:t>maging, as clinically indicated.</w:t>
      </w:r>
    </w:p>
    <w:p w14:paraId="7C283E78" w14:textId="63100346" w:rsidR="007030F1" w:rsidRDefault="007030F1" w:rsidP="009E0AB3">
      <w:pPr>
        <w:pStyle w:val="ListParagraph"/>
        <w:numPr>
          <w:ilvl w:val="0"/>
          <w:numId w:val="9"/>
        </w:numPr>
        <w:spacing w:before="120" w:after="120"/>
        <w:ind w:left="720"/>
        <w:rPr>
          <w:rFonts w:ascii="Arial" w:hAnsi="Arial" w:cs="Arial"/>
        </w:rPr>
      </w:pPr>
      <w:r w:rsidRPr="000F1C1E">
        <w:rPr>
          <w:rFonts w:ascii="Arial" w:hAnsi="Arial" w:cs="Arial"/>
        </w:rPr>
        <w:t xml:space="preserve">Sputum samples </w:t>
      </w:r>
      <w:r w:rsidR="00C9799D" w:rsidRPr="000F1C1E">
        <w:rPr>
          <w:rFonts w:ascii="Arial" w:hAnsi="Arial" w:cs="Arial"/>
        </w:rPr>
        <w:t xml:space="preserve">(MGIT culture </w:t>
      </w:r>
      <w:r w:rsidR="00A95506">
        <w:rPr>
          <w:rFonts w:ascii="Arial" w:hAnsi="Arial" w:cs="Arial"/>
        </w:rPr>
        <w:t xml:space="preserve">and </w:t>
      </w:r>
      <w:r w:rsidR="00C9799D" w:rsidRPr="000F1C1E">
        <w:rPr>
          <w:rFonts w:ascii="Arial" w:hAnsi="Arial" w:cs="Arial"/>
        </w:rPr>
        <w:t>XPert MTB/RIF for suspected recurrent TB if symptom directed)</w:t>
      </w:r>
      <w:r w:rsidR="00A95506">
        <w:rPr>
          <w:rFonts w:ascii="Arial" w:hAnsi="Arial" w:cs="Arial"/>
        </w:rPr>
        <w:t>.</w:t>
      </w:r>
    </w:p>
    <w:p w14:paraId="2EF18C10" w14:textId="6594C86B" w:rsidR="007030F1" w:rsidRDefault="007030F1" w:rsidP="009E0AB3">
      <w:pPr>
        <w:pStyle w:val="ListParagraph"/>
        <w:numPr>
          <w:ilvl w:val="0"/>
          <w:numId w:val="14"/>
        </w:numPr>
        <w:spacing w:before="120" w:after="120"/>
        <w:ind w:left="720"/>
        <w:rPr>
          <w:rFonts w:ascii="Arial" w:hAnsi="Arial" w:cs="Arial"/>
        </w:rPr>
      </w:pPr>
      <w:r w:rsidRPr="000F1C1E">
        <w:rPr>
          <w:rFonts w:ascii="Arial" w:hAnsi="Arial" w:cs="Arial"/>
        </w:rPr>
        <w:t>HIV serology if confirmed TB</w:t>
      </w:r>
      <w:r w:rsidR="003F0938">
        <w:rPr>
          <w:rFonts w:ascii="Arial" w:hAnsi="Arial" w:cs="Arial"/>
        </w:rPr>
        <w:t>.</w:t>
      </w:r>
    </w:p>
    <w:p w14:paraId="1E90B4D4" w14:textId="20B9D2D7" w:rsidR="00AB1FBE" w:rsidRPr="00C26076" w:rsidRDefault="00AB1FBE" w:rsidP="009E0AB3">
      <w:pPr>
        <w:pStyle w:val="ListParagraph"/>
        <w:numPr>
          <w:ilvl w:val="0"/>
          <w:numId w:val="14"/>
        </w:numPr>
        <w:spacing w:before="120" w:after="120"/>
        <w:ind w:left="720"/>
        <w:rPr>
          <w:rFonts w:ascii="Arial" w:hAnsi="Arial" w:cs="Arial"/>
        </w:rPr>
      </w:pPr>
      <w:r w:rsidRPr="000A5076">
        <w:rPr>
          <w:rFonts w:ascii="Arial" w:hAnsi="Arial" w:cs="Arial"/>
        </w:rPr>
        <w:t xml:space="preserve">Immunology </w:t>
      </w:r>
      <w:r w:rsidR="00A95506">
        <w:rPr>
          <w:rFonts w:ascii="Arial" w:hAnsi="Arial" w:cs="Arial"/>
        </w:rPr>
        <w:t xml:space="preserve">blood </w:t>
      </w:r>
      <w:r w:rsidRPr="000A5076">
        <w:rPr>
          <w:rFonts w:ascii="Arial" w:hAnsi="Arial" w:cs="Arial"/>
        </w:rPr>
        <w:t>for gene signature</w:t>
      </w:r>
      <w:r w:rsidR="00A95506">
        <w:rPr>
          <w:rFonts w:ascii="Arial" w:hAnsi="Arial" w:cs="Arial"/>
        </w:rPr>
        <w:t>s</w:t>
      </w:r>
      <w:r>
        <w:rPr>
          <w:rFonts w:ascii="Arial" w:hAnsi="Arial" w:cs="Arial"/>
        </w:rPr>
        <w:t xml:space="preserve"> </w:t>
      </w:r>
      <w:r w:rsidR="00846605">
        <w:rPr>
          <w:rFonts w:ascii="Arial" w:hAnsi="Arial" w:cs="Arial"/>
        </w:rPr>
        <w:t xml:space="preserve">and whole blood absolute count </w:t>
      </w:r>
      <w:r>
        <w:rPr>
          <w:rFonts w:ascii="Arial" w:hAnsi="Arial" w:cs="Arial"/>
        </w:rPr>
        <w:t>if TB confirmed</w:t>
      </w:r>
      <w:r w:rsidR="00A95506">
        <w:rPr>
          <w:rFonts w:ascii="Arial" w:hAnsi="Arial" w:cs="Arial"/>
        </w:rPr>
        <w:t>.</w:t>
      </w:r>
    </w:p>
    <w:p w14:paraId="5529BD11" w14:textId="2F38C4D6" w:rsidR="007030F1" w:rsidRPr="00D7798D" w:rsidRDefault="00A95506" w:rsidP="008A6826">
      <w:pPr>
        <w:pStyle w:val="ListParagraph"/>
        <w:numPr>
          <w:ilvl w:val="0"/>
          <w:numId w:val="14"/>
        </w:numPr>
        <w:spacing w:before="120" w:after="120"/>
        <w:ind w:left="720"/>
        <w:rPr>
          <w:rFonts w:ascii="Arial" w:hAnsi="Arial" w:cs="Arial"/>
        </w:rPr>
      </w:pPr>
      <w:r w:rsidRPr="00D7798D">
        <w:rPr>
          <w:rFonts w:ascii="Arial" w:hAnsi="Arial" w:cs="Arial"/>
        </w:rPr>
        <w:t>SAEs/</w:t>
      </w:r>
      <w:r w:rsidR="007030F1" w:rsidRPr="00D7798D">
        <w:rPr>
          <w:rFonts w:ascii="Arial" w:hAnsi="Arial" w:cs="Arial"/>
        </w:rPr>
        <w:t>AESIs</w:t>
      </w:r>
      <w:r w:rsidR="00D7798D">
        <w:rPr>
          <w:rFonts w:ascii="Arial" w:hAnsi="Arial" w:cs="Arial"/>
        </w:rPr>
        <w:t xml:space="preserve"> </w:t>
      </w:r>
      <w:r w:rsidR="00D7798D" w:rsidRPr="00D7798D">
        <w:rPr>
          <w:rFonts w:ascii="Arial" w:hAnsi="Arial" w:cs="Arial"/>
        </w:rPr>
        <w:t>(</w:t>
      </w:r>
      <w:r w:rsidR="00D7798D">
        <w:rPr>
          <w:rFonts w:ascii="Arial" w:hAnsi="Arial" w:cs="Arial"/>
        </w:rPr>
        <w:t>and c</w:t>
      </w:r>
      <w:r w:rsidR="00D7798D" w:rsidRPr="00D7798D">
        <w:rPr>
          <w:rFonts w:ascii="Arial" w:hAnsi="Arial" w:cs="Arial"/>
        </w:rPr>
        <w:t>oncomitant medications</w:t>
      </w:r>
      <w:r w:rsidR="00D7798D">
        <w:rPr>
          <w:rFonts w:ascii="Arial" w:hAnsi="Arial" w:cs="Arial"/>
        </w:rPr>
        <w:t xml:space="preserve"> </w:t>
      </w:r>
      <w:r w:rsidR="00D7798D" w:rsidRPr="00D7798D">
        <w:rPr>
          <w:rFonts w:ascii="Arial" w:hAnsi="Arial" w:cs="Arial"/>
        </w:rPr>
        <w:t>if taken for SAE or AESI).</w:t>
      </w:r>
    </w:p>
    <w:p w14:paraId="3D47105D" w14:textId="5BEF4A45" w:rsidR="007030F1" w:rsidRPr="000F1C1E" w:rsidRDefault="007030F1" w:rsidP="009E0AB3">
      <w:pPr>
        <w:pStyle w:val="Heading3"/>
      </w:pPr>
      <w:bookmarkStart w:id="278" w:name="_Toc389130001"/>
      <w:bookmarkStart w:id="279" w:name="_Toc440906306"/>
      <w:r w:rsidRPr="000F1C1E">
        <w:t>Day 168 (±10)</w:t>
      </w:r>
      <w:r w:rsidR="005669C1" w:rsidRPr="000F1C1E">
        <w:t xml:space="preserve"> Field Visit</w:t>
      </w:r>
      <w:bookmarkEnd w:id="278"/>
      <w:bookmarkEnd w:id="279"/>
    </w:p>
    <w:p w14:paraId="71A4BD0B" w14:textId="18DF17D3" w:rsidR="007030F1" w:rsidRPr="000F1C1E" w:rsidRDefault="007030F1" w:rsidP="009E0AB3">
      <w:pPr>
        <w:pStyle w:val="ListParagraph"/>
        <w:numPr>
          <w:ilvl w:val="0"/>
          <w:numId w:val="12"/>
        </w:numPr>
        <w:spacing w:before="120" w:after="120"/>
        <w:ind w:left="720"/>
        <w:rPr>
          <w:rFonts w:ascii="Arial" w:hAnsi="Arial" w:cs="Arial"/>
        </w:rPr>
      </w:pPr>
      <w:r w:rsidRPr="000F1C1E">
        <w:rPr>
          <w:rFonts w:ascii="Arial" w:hAnsi="Arial" w:cs="Arial"/>
        </w:rPr>
        <w:t>TB symptom screen</w:t>
      </w:r>
      <w:r w:rsidR="00A2672B" w:rsidRPr="000F1C1E">
        <w:rPr>
          <w:rFonts w:ascii="Arial" w:hAnsi="Arial" w:cs="Arial"/>
        </w:rPr>
        <w:t xml:space="preserve"> (referral to clinic if symptomatic for TB)</w:t>
      </w:r>
      <w:r w:rsidR="00A95506">
        <w:rPr>
          <w:rFonts w:ascii="Arial" w:hAnsi="Arial" w:cs="Arial"/>
        </w:rPr>
        <w:t>.</w:t>
      </w:r>
    </w:p>
    <w:p w14:paraId="757A67C8" w14:textId="73EC6847" w:rsidR="004B1990" w:rsidRDefault="004B1990" w:rsidP="009E0AB3">
      <w:pPr>
        <w:pStyle w:val="ListParagraph"/>
        <w:numPr>
          <w:ilvl w:val="0"/>
          <w:numId w:val="12"/>
        </w:numPr>
        <w:spacing w:before="120" w:after="120"/>
        <w:ind w:left="720"/>
        <w:rPr>
          <w:rFonts w:ascii="Arial" w:hAnsi="Arial" w:cs="Arial"/>
        </w:rPr>
      </w:pPr>
      <w:r>
        <w:rPr>
          <w:rFonts w:ascii="Arial" w:hAnsi="Arial" w:cs="Arial"/>
        </w:rPr>
        <w:t>Vital signs</w:t>
      </w:r>
    </w:p>
    <w:p w14:paraId="57F54A54" w14:textId="48D3AF28" w:rsidR="007030F1" w:rsidRPr="000F1C1E" w:rsidRDefault="007030F1" w:rsidP="009E0AB3">
      <w:pPr>
        <w:pStyle w:val="ListParagraph"/>
        <w:numPr>
          <w:ilvl w:val="0"/>
          <w:numId w:val="12"/>
        </w:numPr>
        <w:spacing w:before="120" w:after="120"/>
        <w:ind w:left="720"/>
        <w:rPr>
          <w:rFonts w:ascii="Arial" w:hAnsi="Arial" w:cs="Arial"/>
        </w:rPr>
      </w:pPr>
      <w:r w:rsidRPr="000F1C1E">
        <w:rPr>
          <w:rFonts w:ascii="Arial" w:hAnsi="Arial" w:cs="Arial"/>
        </w:rPr>
        <w:t xml:space="preserve">Directed physical exam including </w:t>
      </w:r>
      <w:r w:rsidR="00AB1FBE">
        <w:rPr>
          <w:rFonts w:ascii="Arial" w:hAnsi="Arial" w:cs="Arial"/>
        </w:rPr>
        <w:t xml:space="preserve">weight and </w:t>
      </w:r>
      <w:r w:rsidRPr="000F1C1E">
        <w:rPr>
          <w:rFonts w:ascii="Arial" w:hAnsi="Arial" w:cs="Arial"/>
        </w:rPr>
        <w:t>assessment of unexplained persistent</w:t>
      </w:r>
      <w:r w:rsidR="00A2672B" w:rsidRPr="000F1C1E">
        <w:rPr>
          <w:rFonts w:ascii="Arial" w:hAnsi="Arial" w:cs="Arial"/>
        </w:rPr>
        <w:t xml:space="preserve"> </w:t>
      </w:r>
      <w:r w:rsidR="00534A40">
        <w:rPr>
          <w:rFonts w:ascii="Arial" w:hAnsi="Arial" w:cs="Arial"/>
        </w:rPr>
        <w:t>(</w:t>
      </w:r>
      <w:r w:rsidR="00A2672B" w:rsidRPr="000F1C1E">
        <w:rPr>
          <w:rFonts w:ascii="Arial" w:hAnsi="Arial" w:cs="Arial"/>
        </w:rPr>
        <w:t>14 days or longer</w:t>
      </w:r>
      <w:r w:rsidR="00534A40">
        <w:rPr>
          <w:rFonts w:ascii="Arial" w:hAnsi="Arial" w:cs="Arial"/>
        </w:rPr>
        <w:t>)</w:t>
      </w:r>
      <w:r w:rsidR="00534A40" w:rsidRPr="000F1C1E">
        <w:rPr>
          <w:rFonts w:ascii="Arial" w:hAnsi="Arial" w:cs="Arial"/>
        </w:rPr>
        <w:t xml:space="preserve"> </w:t>
      </w:r>
      <w:r w:rsidRPr="000F1C1E">
        <w:rPr>
          <w:rFonts w:ascii="Arial" w:hAnsi="Arial" w:cs="Arial"/>
        </w:rPr>
        <w:t>or productive cough, fever, weight loss, fatigue, chest pain, or hemoptysis</w:t>
      </w:r>
      <w:r w:rsidR="00534A40">
        <w:rPr>
          <w:rFonts w:ascii="Arial" w:hAnsi="Arial" w:cs="Arial"/>
        </w:rPr>
        <w:t>,</w:t>
      </w:r>
      <w:r w:rsidRPr="000F1C1E">
        <w:rPr>
          <w:rFonts w:ascii="Arial" w:hAnsi="Arial" w:cs="Arial"/>
        </w:rPr>
        <w:t xml:space="preserve"> including chest radiography as indicated, to screen for suspected recurrent TB. Investigation for suspected extra-pulmonary TB may include aspiration, biopsy, or radiological i</w:t>
      </w:r>
      <w:r w:rsidR="00A95506">
        <w:rPr>
          <w:rFonts w:ascii="Arial" w:hAnsi="Arial" w:cs="Arial"/>
        </w:rPr>
        <w:t>maging, as clinically indicated.</w:t>
      </w:r>
    </w:p>
    <w:p w14:paraId="783151C1" w14:textId="463118C0" w:rsidR="007030F1" w:rsidRDefault="007030F1" w:rsidP="009E0AB3">
      <w:pPr>
        <w:pStyle w:val="ListParagraph"/>
        <w:numPr>
          <w:ilvl w:val="0"/>
          <w:numId w:val="9"/>
        </w:numPr>
        <w:spacing w:before="120" w:after="120"/>
        <w:ind w:left="720"/>
        <w:rPr>
          <w:rFonts w:ascii="Arial" w:hAnsi="Arial" w:cs="Arial"/>
        </w:rPr>
      </w:pPr>
      <w:r w:rsidRPr="000F1C1E">
        <w:rPr>
          <w:rFonts w:ascii="Arial" w:hAnsi="Arial" w:cs="Arial"/>
        </w:rPr>
        <w:t xml:space="preserve">Sputum samples </w:t>
      </w:r>
      <w:r w:rsidR="00C9799D" w:rsidRPr="000F1C1E">
        <w:rPr>
          <w:rFonts w:ascii="Arial" w:hAnsi="Arial" w:cs="Arial"/>
        </w:rPr>
        <w:t xml:space="preserve">(MGIT culture </w:t>
      </w:r>
      <w:r w:rsidR="00A95506">
        <w:rPr>
          <w:rFonts w:ascii="Arial" w:hAnsi="Arial" w:cs="Arial"/>
        </w:rPr>
        <w:t>and</w:t>
      </w:r>
      <w:r w:rsidR="00C9799D" w:rsidRPr="000F1C1E">
        <w:rPr>
          <w:rFonts w:ascii="Arial" w:hAnsi="Arial" w:cs="Arial"/>
        </w:rPr>
        <w:t xml:space="preserve"> XPert MTB/RIF for suspected recurrent TB if symptom directed)</w:t>
      </w:r>
      <w:r w:rsidR="00A95506">
        <w:rPr>
          <w:rFonts w:ascii="Arial" w:hAnsi="Arial" w:cs="Arial"/>
        </w:rPr>
        <w:t>.</w:t>
      </w:r>
      <w:r w:rsidR="00C9799D" w:rsidRPr="000F1C1E">
        <w:rPr>
          <w:rFonts w:ascii="Arial" w:hAnsi="Arial" w:cs="Arial"/>
        </w:rPr>
        <w:t xml:space="preserve"> </w:t>
      </w:r>
    </w:p>
    <w:p w14:paraId="171A3FC5" w14:textId="40EC5210" w:rsidR="007030F1" w:rsidRDefault="007030F1" w:rsidP="009E0AB3">
      <w:pPr>
        <w:pStyle w:val="ListParagraph"/>
        <w:numPr>
          <w:ilvl w:val="0"/>
          <w:numId w:val="14"/>
        </w:numPr>
        <w:spacing w:before="120" w:after="120"/>
        <w:ind w:left="720"/>
        <w:rPr>
          <w:rFonts w:ascii="Arial" w:hAnsi="Arial" w:cs="Arial"/>
        </w:rPr>
      </w:pPr>
      <w:r w:rsidRPr="000F1C1E">
        <w:rPr>
          <w:rFonts w:ascii="Arial" w:hAnsi="Arial" w:cs="Arial"/>
        </w:rPr>
        <w:t xml:space="preserve">HIV </w:t>
      </w:r>
      <w:r w:rsidR="00DD31EF">
        <w:rPr>
          <w:rFonts w:ascii="Arial" w:hAnsi="Arial" w:cs="Arial"/>
        </w:rPr>
        <w:t xml:space="preserve">counselling and </w:t>
      </w:r>
      <w:r w:rsidRPr="000F1C1E">
        <w:rPr>
          <w:rFonts w:ascii="Arial" w:hAnsi="Arial" w:cs="Arial"/>
        </w:rPr>
        <w:t>serology if confirmed TB</w:t>
      </w:r>
      <w:r w:rsidR="00A95506">
        <w:rPr>
          <w:rFonts w:ascii="Arial" w:hAnsi="Arial" w:cs="Arial"/>
        </w:rPr>
        <w:t>.</w:t>
      </w:r>
    </w:p>
    <w:p w14:paraId="3075F020" w14:textId="35BF215F" w:rsidR="00AB1FBE" w:rsidRPr="00AB1FBE" w:rsidRDefault="00AB1FBE" w:rsidP="009E0AB3">
      <w:pPr>
        <w:pStyle w:val="ListParagraph"/>
        <w:numPr>
          <w:ilvl w:val="0"/>
          <w:numId w:val="14"/>
        </w:numPr>
        <w:spacing w:before="120" w:after="120"/>
        <w:ind w:left="720"/>
        <w:rPr>
          <w:rFonts w:ascii="Arial" w:hAnsi="Arial" w:cs="Arial"/>
        </w:rPr>
      </w:pPr>
      <w:r w:rsidRPr="00AB1FBE">
        <w:rPr>
          <w:rFonts w:ascii="Arial" w:hAnsi="Arial" w:cs="Arial"/>
        </w:rPr>
        <w:t xml:space="preserve">Immunology </w:t>
      </w:r>
      <w:r w:rsidR="00A95506">
        <w:rPr>
          <w:rFonts w:ascii="Arial" w:hAnsi="Arial" w:cs="Arial"/>
        </w:rPr>
        <w:t xml:space="preserve">blood </w:t>
      </w:r>
      <w:r w:rsidRPr="00AB1FBE">
        <w:rPr>
          <w:rFonts w:ascii="Arial" w:hAnsi="Arial" w:cs="Arial"/>
        </w:rPr>
        <w:t>for gene signature</w:t>
      </w:r>
      <w:r w:rsidR="00A95506">
        <w:rPr>
          <w:rFonts w:ascii="Arial" w:hAnsi="Arial" w:cs="Arial"/>
        </w:rPr>
        <w:t>s</w:t>
      </w:r>
      <w:r w:rsidRPr="00AB1FBE">
        <w:rPr>
          <w:rFonts w:ascii="Arial" w:hAnsi="Arial" w:cs="Arial"/>
        </w:rPr>
        <w:t xml:space="preserve"> </w:t>
      </w:r>
      <w:r w:rsidR="00846605">
        <w:rPr>
          <w:rFonts w:ascii="Arial" w:hAnsi="Arial" w:cs="Arial"/>
        </w:rPr>
        <w:t>and whole blood absolute count</w:t>
      </w:r>
      <w:r w:rsidR="00846605" w:rsidRPr="00AB1FBE">
        <w:rPr>
          <w:rFonts w:ascii="Arial" w:hAnsi="Arial" w:cs="Arial"/>
        </w:rPr>
        <w:t xml:space="preserve"> </w:t>
      </w:r>
      <w:r w:rsidRPr="00AB1FBE">
        <w:rPr>
          <w:rFonts w:ascii="Arial" w:hAnsi="Arial" w:cs="Arial"/>
        </w:rPr>
        <w:t>if TB confirmed</w:t>
      </w:r>
      <w:r w:rsidR="00A95506">
        <w:rPr>
          <w:rFonts w:ascii="Arial" w:hAnsi="Arial" w:cs="Arial"/>
        </w:rPr>
        <w:t>.</w:t>
      </w:r>
    </w:p>
    <w:p w14:paraId="412140D2" w14:textId="51607E73" w:rsidR="007030F1" w:rsidRPr="009E0AB3" w:rsidRDefault="009E0AB3" w:rsidP="009E0AB3">
      <w:pPr>
        <w:pStyle w:val="ListParagraph"/>
        <w:numPr>
          <w:ilvl w:val="0"/>
          <w:numId w:val="14"/>
        </w:numPr>
        <w:spacing w:before="120" w:after="120"/>
        <w:ind w:left="720"/>
        <w:rPr>
          <w:rFonts w:ascii="Arial" w:hAnsi="Arial" w:cs="Arial"/>
        </w:rPr>
      </w:pPr>
      <w:r>
        <w:rPr>
          <w:rFonts w:ascii="Arial" w:hAnsi="Arial" w:cs="Arial"/>
        </w:rPr>
        <w:t>SAEs/</w:t>
      </w:r>
      <w:r w:rsidR="007030F1" w:rsidRPr="009E0AB3">
        <w:rPr>
          <w:rFonts w:ascii="Arial" w:hAnsi="Arial" w:cs="Arial"/>
        </w:rPr>
        <w:t>AESIs</w:t>
      </w:r>
      <w:r w:rsidR="00D7798D">
        <w:rPr>
          <w:rFonts w:ascii="Arial" w:hAnsi="Arial" w:cs="Arial"/>
        </w:rPr>
        <w:t xml:space="preserve"> </w:t>
      </w:r>
      <w:r w:rsidR="00D7798D" w:rsidRPr="00D7798D">
        <w:rPr>
          <w:rFonts w:ascii="Arial" w:hAnsi="Arial" w:cs="Arial"/>
        </w:rPr>
        <w:t>(</w:t>
      </w:r>
      <w:r w:rsidR="00D7798D">
        <w:rPr>
          <w:rFonts w:ascii="Arial" w:hAnsi="Arial" w:cs="Arial"/>
        </w:rPr>
        <w:t>and c</w:t>
      </w:r>
      <w:r w:rsidR="00D7798D" w:rsidRPr="00D7798D">
        <w:rPr>
          <w:rFonts w:ascii="Arial" w:hAnsi="Arial" w:cs="Arial"/>
        </w:rPr>
        <w:t>oncomitant medications</w:t>
      </w:r>
      <w:r w:rsidR="00D7798D">
        <w:rPr>
          <w:rFonts w:ascii="Arial" w:hAnsi="Arial" w:cs="Arial"/>
        </w:rPr>
        <w:t xml:space="preserve"> </w:t>
      </w:r>
      <w:r w:rsidR="00D7798D" w:rsidRPr="00D7798D">
        <w:rPr>
          <w:rFonts w:ascii="Arial" w:hAnsi="Arial" w:cs="Arial"/>
        </w:rPr>
        <w:t>if taken for SAE or AESI)</w:t>
      </w:r>
      <w:r w:rsidR="00A95506" w:rsidRPr="009E0AB3">
        <w:rPr>
          <w:rFonts w:ascii="Arial" w:hAnsi="Arial" w:cs="Arial"/>
        </w:rPr>
        <w:t>.</w:t>
      </w:r>
    </w:p>
    <w:p w14:paraId="33C09068" w14:textId="631C0026" w:rsidR="007030F1" w:rsidRPr="007B2DBD" w:rsidRDefault="007030F1" w:rsidP="009E0AB3">
      <w:pPr>
        <w:pStyle w:val="Heading3"/>
      </w:pPr>
      <w:bookmarkStart w:id="280" w:name="_Toc389130002"/>
      <w:bookmarkStart w:id="281" w:name="_Toc440906307"/>
      <w:r w:rsidRPr="007B2DBD">
        <w:t xml:space="preserve">Day </w:t>
      </w:r>
      <w:r w:rsidR="00567485">
        <w:t>224</w:t>
      </w:r>
      <w:r w:rsidR="003755C8">
        <w:t xml:space="preserve"> </w:t>
      </w:r>
      <w:r w:rsidR="003755C8" w:rsidRPr="003755C8">
        <w:t>/ EOS visit</w:t>
      </w:r>
      <w:r w:rsidRPr="007B2DBD">
        <w:t xml:space="preserve"> (±10)</w:t>
      </w:r>
      <w:bookmarkEnd w:id="280"/>
      <w:bookmarkEnd w:id="281"/>
      <w:r w:rsidRPr="007B2DBD">
        <w:t xml:space="preserve"> </w:t>
      </w:r>
    </w:p>
    <w:p w14:paraId="6735224C" w14:textId="3246AD1F" w:rsidR="007030F1" w:rsidRPr="00C26076" w:rsidRDefault="007030F1" w:rsidP="009E0AB3">
      <w:pPr>
        <w:pStyle w:val="ListParagraph"/>
        <w:numPr>
          <w:ilvl w:val="0"/>
          <w:numId w:val="12"/>
        </w:numPr>
        <w:spacing w:before="120" w:after="120"/>
        <w:ind w:left="720"/>
        <w:rPr>
          <w:rFonts w:ascii="Arial" w:hAnsi="Arial" w:cs="Arial"/>
        </w:rPr>
      </w:pPr>
      <w:r w:rsidRPr="00C26076">
        <w:rPr>
          <w:rFonts w:ascii="Arial" w:hAnsi="Arial" w:cs="Arial"/>
        </w:rPr>
        <w:t>TB symptom screen</w:t>
      </w:r>
      <w:r w:rsidR="00A95506">
        <w:rPr>
          <w:rFonts w:ascii="Arial" w:hAnsi="Arial" w:cs="Arial"/>
        </w:rPr>
        <w:t>.</w:t>
      </w:r>
    </w:p>
    <w:p w14:paraId="050475EB" w14:textId="172C6688" w:rsidR="002739A1" w:rsidRDefault="002739A1" w:rsidP="009E0AB3">
      <w:pPr>
        <w:pStyle w:val="ListParagraph"/>
        <w:numPr>
          <w:ilvl w:val="0"/>
          <w:numId w:val="12"/>
        </w:numPr>
        <w:spacing w:before="120" w:after="120"/>
        <w:ind w:left="720"/>
        <w:rPr>
          <w:rFonts w:ascii="Arial" w:hAnsi="Arial" w:cs="Arial"/>
        </w:rPr>
      </w:pPr>
      <w:r>
        <w:rPr>
          <w:rFonts w:ascii="Arial" w:hAnsi="Arial" w:cs="Arial"/>
        </w:rPr>
        <w:t>Vital signs</w:t>
      </w:r>
    </w:p>
    <w:p w14:paraId="7C71A9BA" w14:textId="78A2D1AA" w:rsidR="007030F1" w:rsidRPr="00C26076" w:rsidRDefault="007030F1" w:rsidP="009E0AB3">
      <w:pPr>
        <w:pStyle w:val="ListParagraph"/>
        <w:numPr>
          <w:ilvl w:val="0"/>
          <w:numId w:val="12"/>
        </w:numPr>
        <w:spacing w:before="120" w:after="120"/>
        <w:ind w:left="720"/>
        <w:rPr>
          <w:rFonts w:ascii="Arial" w:hAnsi="Arial" w:cs="Arial"/>
        </w:rPr>
      </w:pPr>
      <w:r w:rsidRPr="00C26076">
        <w:rPr>
          <w:rFonts w:ascii="Arial" w:hAnsi="Arial" w:cs="Arial"/>
        </w:rPr>
        <w:t xml:space="preserve">Directed physical exam including </w:t>
      </w:r>
      <w:r w:rsidR="00AB1FBE">
        <w:rPr>
          <w:rFonts w:ascii="Arial" w:hAnsi="Arial" w:cs="Arial"/>
        </w:rPr>
        <w:t xml:space="preserve">weight and </w:t>
      </w:r>
      <w:r w:rsidRPr="00C26076">
        <w:rPr>
          <w:rFonts w:ascii="Arial" w:hAnsi="Arial" w:cs="Arial"/>
        </w:rPr>
        <w:t xml:space="preserve">assessment of unexplained persistent </w:t>
      </w:r>
      <w:r w:rsidR="00534A40">
        <w:rPr>
          <w:rFonts w:ascii="Arial" w:hAnsi="Arial" w:cs="Arial"/>
        </w:rPr>
        <w:t>(</w:t>
      </w:r>
      <w:r w:rsidR="00A2672B">
        <w:rPr>
          <w:rFonts w:ascii="Arial" w:hAnsi="Arial" w:cs="Arial"/>
        </w:rPr>
        <w:t>14 days or longer</w:t>
      </w:r>
      <w:r w:rsidR="00534A40">
        <w:rPr>
          <w:rFonts w:ascii="Arial" w:hAnsi="Arial" w:cs="Arial"/>
        </w:rPr>
        <w:t xml:space="preserve">) </w:t>
      </w:r>
      <w:r w:rsidRPr="00C26076">
        <w:rPr>
          <w:rFonts w:ascii="Arial" w:hAnsi="Arial" w:cs="Arial"/>
        </w:rPr>
        <w:t>or productive cough, fever, weight loss, fatigue, chest pain, or hemoptysis</w:t>
      </w:r>
      <w:r w:rsidR="00534A40">
        <w:rPr>
          <w:rFonts w:ascii="Arial" w:hAnsi="Arial" w:cs="Arial"/>
        </w:rPr>
        <w:t>,</w:t>
      </w:r>
      <w:r w:rsidRPr="00C26076">
        <w:rPr>
          <w:rFonts w:ascii="Arial" w:hAnsi="Arial" w:cs="Arial"/>
        </w:rPr>
        <w:t xml:space="preserve"> including chest radiography as indicated, to screen for suspected recurrent TB. Investigation for suspected extra-pulmonary TB may include aspiration, biopsy, or radiological imaging, as clinically indicated.</w:t>
      </w:r>
    </w:p>
    <w:p w14:paraId="2F8948E5" w14:textId="76E01AFE" w:rsidR="007030F1" w:rsidRDefault="007030F1" w:rsidP="009E0AB3">
      <w:pPr>
        <w:pStyle w:val="ListParagraph"/>
        <w:numPr>
          <w:ilvl w:val="0"/>
          <w:numId w:val="9"/>
        </w:numPr>
        <w:spacing w:before="120" w:after="120"/>
        <w:ind w:left="720"/>
        <w:rPr>
          <w:rFonts w:ascii="Arial" w:hAnsi="Arial" w:cs="Arial"/>
        </w:rPr>
      </w:pPr>
      <w:r w:rsidRPr="00C26076">
        <w:rPr>
          <w:rFonts w:ascii="Arial" w:hAnsi="Arial" w:cs="Arial"/>
        </w:rPr>
        <w:t xml:space="preserve">Sputum samples </w:t>
      </w:r>
      <w:r w:rsidR="00C9799D">
        <w:rPr>
          <w:rFonts w:ascii="Arial" w:hAnsi="Arial" w:cs="Arial"/>
        </w:rPr>
        <w:t xml:space="preserve">(MGIT culture </w:t>
      </w:r>
      <w:r w:rsidR="00A95506">
        <w:rPr>
          <w:rFonts w:ascii="Arial" w:hAnsi="Arial" w:cs="Arial"/>
        </w:rPr>
        <w:t>and</w:t>
      </w:r>
      <w:r w:rsidR="00C9799D">
        <w:rPr>
          <w:rFonts w:ascii="Arial" w:hAnsi="Arial" w:cs="Arial"/>
        </w:rPr>
        <w:t xml:space="preserve"> </w:t>
      </w:r>
      <w:r w:rsidR="00C9799D" w:rsidRPr="00C26076">
        <w:rPr>
          <w:rFonts w:ascii="Arial" w:hAnsi="Arial" w:cs="Arial"/>
        </w:rPr>
        <w:t xml:space="preserve">XPert </w:t>
      </w:r>
      <w:r w:rsidR="00C9799D">
        <w:rPr>
          <w:rFonts w:ascii="Arial" w:hAnsi="Arial" w:cs="Arial"/>
        </w:rPr>
        <w:t>MTB/RIF for suspected recurrent TB if</w:t>
      </w:r>
      <w:r w:rsidR="00C9799D" w:rsidRPr="00C26076">
        <w:rPr>
          <w:rFonts w:ascii="Arial" w:hAnsi="Arial" w:cs="Arial"/>
        </w:rPr>
        <w:t xml:space="preserve"> symptom directed)</w:t>
      </w:r>
      <w:r w:rsidR="00A95506">
        <w:rPr>
          <w:rFonts w:ascii="Arial" w:hAnsi="Arial" w:cs="Arial"/>
        </w:rPr>
        <w:t>.</w:t>
      </w:r>
      <w:r w:rsidR="00C9799D" w:rsidRPr="00C26076">
        <w:rPr>
          <w:rFonts w:ascii="Arial" w:hAnsi="Arial" w:cs="Arial"/>
        </w:rPr>
        <w:t xml:space="preserve"> </w:t>
      </w:r>
    </w:p>
    <w:p w14:paraId="38BE6423" w14:textId="77C845CD" w:rsidR="00D2077E" w:rsidRPr="002F03BB" w:rsidRDefault="00D2077E" w:rsidP="009E0AB3">
      <w:pPr>
        <w:pStyle w:val="ListParagraph"/>
        <w:numPr>
          <w:ilvl w:val="0"/>
          <w:numId w:val="9"/>
        </w:numPr>
        <w:spacing w:before="120" w:after="120"/>
        <w:ind w:left="720"/>
        <w:rPr>
          <w:rFonts w:ascii="Arial" w:hAnsi="Arial" w:cs="Arial"/>
        </w:rPr>
      </w:pPr>
      <w:r w:rsidRPr="002F03BB">
        <w:rPr>
          <w:rFonts w:ascii="Arial" w:hAnsi="Arial" w:cs="Arial"/>
        </w:rPr>
        <w:t>Immunology blood</w:t>
      </w:r>
      <w:r w:rsidR="00AB1FBE">
        <w:rPr>
          <w:rFonts w:ascii="Arial" w:hAnsi="Arial" w:cs="Arial"/>
        </w:rPr>
        <w:t xml:space="preserve">: </w:t>
      </w:r>
      <w:r w:rsidR="00A95506">
        <w:rPr>
          <w:rFonts w:ascii="Arial" w:hAnsi="Arial" w:cs="Arial"/>
        </w:rPr>
        <w:t>w</w:t>
      </w:r>
      <w:r w:rsidR="00AB1FBE" w:rsidRPr="00AB1FBE">
        <w:rPr>
          <w:rFonts w:ascii="Arial" w:hAnsi="Arial" w:cs="Arial"/>
        </w:rPr>
        <w:t xml:space="preserve">hole </w:t>
      </w:r>
      <w:r w:rsidR="00A95506">
        <w:rPr>
          <w:rFonts w:ascii="Arial" w:hAnsi="Arial" w:cs="Arial"/>
        </w:rPr>
        <w:t>b</w:t>
      </w:r>
      <w:r w:rsidR="00AB1FBE" w:rsidRPr="00AB1FBE">
        <w:rPr>
          <w:rFonts w:ascii="Arial" w:hAnsi="Arial" w:cs="Arial"/>
        </w:rPr>
        <w:t xml:space="preserve">lood ICS, </w:t>
      </w:r>
      <w:r w:rsidR="00AB1FBE" w:rsidRPr="009039CC">
        <w:rPr>
          <w:rFonts w:ascii="Arial" w:hAnsi="Arial" w:cs="Arial"/>
        </w:rPr>
        <w:t>serum for IgG ELISA</w:t>
      </w:r>
      <w:r w:rsidR="0018634B">
        <w:rPr>
          <w:rFonts w:ascii="Arial" w:hAnsi="Arial" w:cs="Arial"/>
        </w:rPr>
        <w:t xml:space="preserve"> including serum to store</w:t>
      </w:r>
      <w:r w:rsidR="00A95506">
        <w:rPr>
          <w:rFonts w:ascii="Arial" w:hAnsi="Arial" w:cs="Arial"/>
        </w:rPr>
        <w:t>.</w:t>
      </w:r>
    </w:p>
    <w:p w14:paraId="40BE4AA4" w14:textId="1DCB56ED" w:rsidR="007030F1" w:rsidRDefault="007030F1" w:rsidP="009E0AB3">
      <w:pPr>
        <w:pStyle w:val="ListParagraph"/>
        <w:numPr>
          <w:ilvl w:val="0"/>
          <w:numId w:val="14"/>
        </w:numPr>
        <w:spacing w:before="120" w:after="120"/>
        <w:ind w:left="720"/>
        <w:rPr>
          <w:rFonts w:ascii="Arial" w:hAnsi="Arial" w:cs="Arial"/>
        </w:rPr>
      </w:pPr>
      <w:r w:rsidRPr="00C26076">
        <w:rPr>
          <w:rFonts w:ascii="Arial" w:hAnsi="Arial" w:cs="Arial"/>
        </w:rPr>
        <w:t xml:space="preserve">HIV </w:t>
      </w:r>
      <w:r w:rsidR="00DD31EF">
        <w:rPr>
          <w:rFonts w:ascii="Arial" w:hAnsi="Arial" w:cs="Arial"/>
        </w:rPr>
        <w:t xml:space="preserve">counselling and </w:t>
      </w:r>
      <w:r w:rsidRPr="00C26076">
        <w:rPr>
          <w:rFonts w:ascii="Arial" w:hAnsi="Arial" w:cs="Arial"/>
        </w:rPr>
        <w:t>serology if confirmed TB</w:t>
      </w:r>
      <w:r w:rsidR="00A95506">
        <w:rPr>
          <w:rFonts w:ascii="Arial" w:hAnsi="Arial" w:cs="Arial"/>
        </w:rPr>
        <w:t>.</w:t>
      </w:r>
    </w:p>
    <w:p w14:paraId="38A64BFF" w14:textId="7F589471" w:rsidR="00AB1FBE" w:rsidRPr="00AB1FBE" w:rsidRDefault="00AB1FBE" w:rsidP="009E0AB3">
      <w:pPr>
        <w:pStyle w:val="ListParagraph"/>
        <w:numPr>
          <w:ilvl w:val="0"/>
          <w:numId w:val="14"/>
        </w:numPr>
        <w:spacing w:before="120" w:after="120"/>
        <w:ind w:left="720"/>
        <w:rPr>
          <w:rFonts w:ascii="Arial" w:hAnsi="Arial" w:cs="Arial"/>
        </w:rPr>
      </w:pPr>
      <w:r w:rsidRPr="00AB1FBE">
        <w:rPr>
          <w:rFonts w:ascii="Arial" w:hAnsi="Arial" w:cs="Arial"/>
        </w:rPr>
        <w:t xml:space="preserve">Immunology </w:t>
      </w:r>
      <w:r w:rsidR="00A95506">
        <w:rPr>
          <w:rFonts w:ascii="Arial" w:hAnsi="Arial" w:cs="Arial"/>
        </w:rPr>
        <w:t xml:space="preserve">blood </w:t>
      </w:r>
      <w:r w:rsidRPr="00AB1FBE">
        <w:rPr>
          <w:rFonts w:ascii="Arial" w:hAnsi="Arial" w:cs="Arial"/>
        </w:rPr>
        <w:t>for gene signature</w:t>
      </w:r>
      <w:r w:rsidR="00A95506">
        <w:rPr>
          <w:rFonts w:ascii="Arial" w:hAnsi="Arial" w:cs="Arial"/>
        </w:rPr>
        <w:t>s</w:t>
      </w:r>
      <w:r w:rsidRPr="00AB1FBE">
        <w:rPr>
          <w:rFonts w:ascii="Arial" w:hAnsi="Arial" w:cs="Arial"/>
        </w:rPr>
        <w:t xml:space="preserve"> if TB confirmed</w:t>
      </w:r>
      <w:r w:rsidR="00A95506">
        <w:rPr>
          <w:rFonts w:ascii="Arial" w:hAnsi="Arial" w:cs="Arial"/>
        </w:rPr>
        <w:t>.</w:t>
      </w:r>
    </w:p>
    <w:p w14:paraId="6BDA8A9B" w14:textId="388247A6" w:rsidR="001F0014" w:rsidRPr="009E0AB3" w:rsidRDefault="009E0AB3" w:rsidP="009E0AB3">
      <w:pPr>
        <w:pStyle w:val="ListParagraph"/>
        <w:numPr>
          <w:ilvl w:val="0"/>
          <w:numId w:val="14"/>
        </w:numPr>
        <w:spacing w:before="120" w:after="120"/>
        <w:ind w:left="720"/>
        <w:rPr>
          <w:rFonts w:ascii="Arial" w:hAnsi="Arial" w:cs="Arial"/>
        </w:rPr>
      </w:pPr>
      <w:r>
        <w:rPr>
          <w:rFonts w:ascii="Arial" w:hAnsi="Arial" w:cs="Arial"/>
        </w:rPr>
        <w:t>SAEs/</w:t>
      </w:r>
      <w:r w:rsidR="007030F1" w:rsidRPr="009E0AB3">
        <w:rPr>
          <w:rFonts w:ascii="Arial" w:hAnsi="Arial" w:cs="Arial"/>
        </w:rPr>
        <w:t>AESIs</w:t>
      </w:r>
      <w:r w:rsidR="00D7798D">
        <w:rPr>
          <w:rFonts w:ascii="Arial" w:hAnsi="Arial" w:cs="Arial"/>
        </w:rPr>
        <w:t xml:space="preserve"> </w:t>
      </w:r>
      <w:r w:rsidR="00D7798D" w:rsidRPr="00D7798D">
        <w:rPr>
          <w:rFonts w:ascii="Arial" w:hAnsi="Arial" w:cs="Arial"/>
        </w:rPr>
        <w:t>(</w:t>
      </w:r>
      <w:r w:rsidR="00D7798D">
        <w:rPr>
          <w:rFonts w:ascii="Arial" w:hAnsi="Arial" w:cs="Arial"/>
        </w:rPr>
        <w:t>and c</w:t>
      </w:r>
      <w:r w:rsidR="00D7798D" w:rsidRPr="00D7798D">
        <w:rPr>
          <w:rFonts w:ascii="Arial" w:hAnsi="Arial" w:cs="Arial"/>
        </w:rPr>
        <w:t>oncomitant medications</w:t>
      </w:r>
      <w:r w:rsidR="00D7798D">
        <w:rPr>
          <w:rFonts w:ascii="Arial" w:hAnsi="Arial" w:cs="Arial"/>
        </w:rPr>
        <w:t xml:space="preserve"> </w:t>
      </w:r>
      <w:r w:rsidR="00D7798D" w:rsidRPr="00D7798D">
        <w:rPr>
          <w:rFonts w:ascii="Arial" w:hAnsi="Arial" w:cs="Arial"/>
        </w:rPr>
        <w:t>if taken for SAE or AESI)</w:t>
      </w:r>
      <w:r w:rsidR="00A95506" w:rsidRPr="009E0AB3">
        <w:rPr>
          <w:rFonts w:ascii="Arial" w:hAnsi="Arial" w:cs="Arial"/>
        </w:rPr>
        <w:t>.</w:t>
      </w:r>
    </w:p>
    <w:p w14:paraId="02B9C766" w14:textId="1F2D7C05" w:rsidR="007030F1" w:rsidRPr="00C26076" w:rsidRDefault="007030F1" w:rsidP="009E0AB3">
      <w:pPr>
        <w:pStyle w:val="Heading3"/>
      </w:pPr>
      <w:bookmarkStart w:id="282" w:name="_Toc389130003"/>
      <w:bookmarkStart w:id="283" w:name="_Toc440906308"/>
      <w:r w:rsidRPr="00C26076">
        <w:t>Unscheduled visit</w:t>
      </w:r>
      <w:r w:rsidR="00A95506">
        <w:t>s</w:t>
      </w:r>
      <w:bookmarkEnd w:id="282"/>
      <w:bookmarkEnd w:id="283"/>
    </w:p>
    <w:p w14:paraId="2C2342A9" w14:textId="65EE72B2" w:rsidR="007030F1" w:rsidRPr="00C26076" w:rsidRDefault="007030F1" w:rsidP="009E0AB3">
      <w:pPr>
        <w:pStyle w:val="ListParagraph"/>
        <w:numPr>
          <w:ilvl w:val="0"/>
          <w:numId w:val="15"/>
        </w:numPr>
        <w:spacing w:before="120" w:after="120"/>
        <w:ind w:left="720"/>
        <w:rPr>
          <w:rFonts w:ascii="Arial" w:hAnsi="Arial" w:cs="Arial"/>
        </w:rPr>
      </w:pPr>
      <w:r w:rsidRPr="00C26076">
        <w:rPr>
          <w:rFonts w:ascii="Arial" w:hAnsi="Arial" w:cs="Arial"/>
        </w:rPr>
        <w:t>Unscheduled visits may occur for investigation of adverse events/SAEs</w:t>
      </w:r>
      <w:r w:rsidR="00A95506">
        <w:rPr>
          <w:rFonts w:ascii="Arial" w:hAnsi="Arial" w:cs="Arial"/>
        </w:rPr>
        <w:t>/</w:t>
      </w:r>
      <w:r w:rsidRPr="00C26076">
        <w:rPr>
          <w:rFonts w:ascii="Arial" w:hAnsi="Arial" w:cs="Arial"/>
        </w:rPr>
        <w:t>AESIs or for further investigation of participant reported TB symptoms.</w:t>
      </w:r>
    </w:p>
    <w:p w14:paraId="472A2C24" w14:textId="07B315BF" w:rsidR="007030F1" w:rsidRPr="00EA150E" w:rsidRDefault="007030F1" w:rsidP="009E0AB3">
      <w:pPr>
        <w:pStyle w:val="ListParagraph"/>
        <w:numPr>
          <w:ilvl w:val="0"/>
          <w:numId w:val="15"/>
        </w:numPr>
        <w:spacing w:before="120" w:after="120"/>
        <w:ind w:left="720"/>
        <w:rPr>
          <w:rFonts w:ascii="Arial" w:hAnsi="Arial" w:cs="Arial"/>
        </w:rPr>
      </w:pPr>
      <w:r w:rsidRPr="00C26076">
        <w:rPr>
          <w:rFonts w:ascii="Arial" w:hAnsi="Arial" w:cs="Arial"/>
        </w:rPr>
        <w:t>Such visits should be documented on the unscheduled visit source document and CRF</w:t>
      </w:r>
      <w:r w:rsidR="00A95506">
        <w:rPr>
          <w:rFonts w:ascii="Arial" w:hAnsi="Arial" w:cs="Arial"/>
        </w:rPr>
        <w:t>.</w:t>
      </w:r>
    </w:p>
    <w:p w14:paraId="4E6375DA" w14:textId="77777777" w:rsidR="00F43682" w:rsidRDefault="00F43682">
      <w:pPr>
        <w:pStyle w:val="Heading2"/>
      </w:pPr>
      <w:bookmarkStart w:id="284" w:name="_Toc53202816"/>
      <w:bookmarkStart w:id="285" w:name="_Toc389130004"/>
      <w:bookmarkStart w:id="286" w:name="_Toc440906309"/>
      <w:r>
        <w:t>Laboratory Evaluations</w:t>
      </w:r>
      <w:bookmarkEnd w:id="284"/>
      <w:bookmarkEnd w:id="285"/>
      <w:bookmarkEnd w:id="286"/>
    </w:p>
    <w:p w14:paraId="58ACFE9E" w14:textId="77777777" w:rsidR="00F43682" w:rsidRDefault="00F43682" w:rsidP="009E0AB3">
      <w:pPr>
        <w:pStyle w:val="Heading3"/>
      </w:pPr>
      <w:bookmarkStart w:id="287" w:name="_Toc53202817"/>
      <w:bookmarkStart w:id="288" w:name="_Toc389130005"/>
      <w:bookmarkStart w:id="289" w:name="_Toc440906310"/>
      <w:r>
        <w:t>Clinical Laboratory Evaluations</w:t>
      </w:r>
      <w:bookmarkEnd w:id="287"/>
      <w:bookmarkEnd w:id="288"/>
      <w:bookmarkEnd w:id="289"/>
    </w:p>
    <w:p w14:paraId="0AF16D4F" w14:textId="5496EFDC" w:rsidR="00522E5A" w:rsidRPr="00EA150E" w:rsidRDefault="00522E5A" w:rsidP="00072B81">
      <w:pPr>
        <w:pStyle w:val="BodyText"/>
        <w:rPr>
          <w:iCs/>
          <w:color w:val="000000" w:themeColor="text1"/>
        </w:rPr>
      </w:pPr>
      <w:r w:rsidRPr="00EA150E">
        <w:rPr>
          <w:i/>
          <w:iCs/>
          <w:color w:val="000000" w:themeColor="text1"/>
        </w:rPr>
        <w:t xml:space="preserve">Screening </w:t>
      </w:r>
      <w:r w:rsidR="00EA150E">
        <w:rPr>
          <w:i/>
          <w:iCs/>
          <w:color w:val="000000" w:themeColor="text1"/>
        </w:rPr>
        <w:t xml:space="preserve">and </w:t>
      </w:r>
      <w:r w:rsidR="006113DB">
        <w:rPr>
          <w:i/>
          <w:iCs/>
          <w:color w:val="000000" w:themeColor="text1"/>
        </w:rPr>
        <w:t xml:space="preserve">Study Injection Phase </w:t>
      </w:r>
      <w:r w:rsidR="00EA150E">
        <w:rPr>
          <w:i/>
          <w:iCs/>
          <w:color w:val="000000" w:themeColor="text1"/>
        </w:rPr>
        <w:t xml:space="preserve">Safety </w:t>
      </w:r>
      <w:r w:rsidRPr="00EA150E">
        <w:rPr>
          <w:i/>
          <w:iCs/>
          <w:color w:val="000000" w:themeColor="text1"/>
        </w:rPr>
        <w:t>Evaluations</w:t>
      </w:r>
      <w:r w:rsidR="00EA150E">
        <w:rPr>
          <w:iCs/>
          <w:color w:val="000000" w:themeColor="text1"/>
        </w:rPr>
        <w:t xml:space="preserve"> will include:</w:t>
      </w:r>
    </w:p>
    <w:p w14:paraId="192D8276" w14:textId="1BC9D667" w:rsidR="00522E5A" w:rsidRPr="00EA150E" w:rsidRDefault="00522E5A" w:rsidP="00072B81">
      <w:pPr>
        <w:pStyle w:val="Bulletlisting"/>
        <w:ind w:left="0" w:firstLine="0"/>
        <w:rPr>
          <w:iCs/>
          <w:color w:val="000000" w:themeColor="text1"/>
        </w:rPr>
      </w:pPr>
      <w:r w:rsidRPr="00EA150E">
        <w:rPr>
          <w:iCs/>
          <w:color w:val="000000" w:themeColor="text1"/>
        </w:rPr>
        <w:t>Hematology:</w:t>
      </w:r>
      <w:r w:rsidR="00725327">
        <w:rPr>
          <w:iCs/>
          <w:color w:val="000000" w:themeColor="text1"/>
        </w:rPr>
        <w:t xml:space="preserve"> </w:t>
      </w:r>
      <w:r w:rsidRPr="00EA150E">
        <w:rPr>
          <w:iCs/>
          <w:color w:val="000000" w:themeColor="text1"/>
        </w:rPr>
        <w:t>hemoglobin, white blood cells</w:t>
      </w:r>
      <w:r w:rsidR="00EA150E">
        <w:rPr>
          <w:iCs/>
          <w:color w:val="000000" w:themeColor="text1"/>
        </w:rPr>
        <w:t xml:space="preserve"> (WBC) with differential count, </w:t>
      </w:r>
      <w:r w:rsidRPr="00EA150E">
        <w:rPr>
          <w:iCs/>
          <w:color w:val="000000" w:themeColor="text1"/>
        </w:rPr>
        <w:t>platelet count.</w:t>
      </w:r>
    </w:p>
    <w:p w14:paraId="01F29AB3" w14:textId="3EFE08F5" w:rsidR="00522E5A" w:rsidRPr="00EA150E" w:rsidRDefault="00A95506" w:rsidP="00072B81">
      <w:pPr>
        <w:pStyle w:val="Bulletlisting"/>
        <w:ind w:left="0" w:firstLine="0"/>
        <w:rPr>
          <w:iCs/>
          <w:color w:val="000000" w:themeColor="text1"/>
        </w:rPr>
      </w:pPr>
      <w:r>
        <w:rPr>
          <w:iCs/>
          <w:color w:val="000000" w:themeColor="text1"/>
        </w:rPr>
        <w:t>C</w:t>
      </w:r>
      <w:r w:rsidR="00522E5A" w:rsidRPr="00EA150E">
        <w:rPr>
          <w:iCs/>
          <w:color w:val="000000" w:themeColor="text1"/>
        </w:rPr>
        <w:t>hemistry:</w:t>
      </w:r>
      <w:r w:rsidR="00725327">
        <w:rPr>
          <w:iCs/>
          <w:color w:val="000000" w:themeColor="text1"/>
        </w:rPr>
        <w:t xml:space="preserve"> </w:t>
      </w:r>
      <w:r w:rsidR="00522E5A" w:rsidRPr="00EA150E">
        <w:rPr>
          <w:iCs/>
          <w:color w:val="000000" w:themeColor="text1"/>
        </w:rPr>
        <w:t xml:space="preserve">creatinine, total bilirubin, alanine aminotransferase (ALT), </w:t>
      </w:r>
      <w:r w:rsidR="00E03649">
        <w:rPr>
          <w:iCs/>
          <w:color w:val="000000" w:themeColor="text1"/>
        </w:rPr>
        <w:t xml:space="preserve">and </w:t>
      </w:r>
      <w:r w:rsidR="00522E5A" w:rsidRPr="00EA150E">
        <w:rPr>
          <w:iCs/>
          <w:color w:val="000000" w:themeColor="text1"/>
        </w:rPr>
        <w:t>aspartate aminotransferase (AST).</w:t>
      </w:r>
      <w:r w:rsidR="00590BE5">
        <w:rPr>
          <w:iCs/>
          <w:color w:val="000000" w:themeColor="text1"/>
        </w:rPr>
        <w:t xml:space="preserve"> Note: </w:t>
      </w:r>
      <w:r w:rsidR="006755C9">
        <w:rPr>
          <w:iCs/>
          <w:color w:val="000000" w:themeColor="text1"/>
        </w:rPr>
        <w:t>after screening</w:t>
      </w:r>
      <w:r w:rsidR="00590BE5">
        <w:rPr>
          <w:iCs/>
          <w:color w:val="000000" w:themeColor="text1"/>
        </w:rPr>
        <w:t xml:space="preserve"> only ALT will be documented in the CRF and followed for liver transaminase AEs. </w:t>
      </w:r>
    </w:p>
    <w:p w14:paraId="411C5487" w14:textId="7E1AEDBF" w:rsidR="00522E5A" w:rsidRDefault="00EA150E" w:rsidP="00072B81">
      <w:pPr>
        <w:pStyle w:val="Bulletlisting"/>
        <w:ind w:left="0" w:firstLine="0"/>
        <w:rPr>
          <w:iCs/>
          <w:color w:val="000000" w:themeColor="text1"/>
        </w:rPr>
      </w:pPr>
      <w:r>
        <w:rPr>
          <w:iCs/>
          <w:color w:val="000000" w:themeColor="text1"/>
        </w:rPr>
        <w:t xml:space="preserve">Pregnancy test: </w:t>
      </w:r>
      <w:r w:rsidR="00A2672B">
        <w:rPr>
          <w:iCs/>
          <w:color w:val="000000" w:themeColor="text1"/>
        </w:rPr>
        <w:t xml:space="preserve">serum pregnancy test </w:t>
      </w:r>
      <w:r w:rsidR="00590BE5">
        <w:rPr>
          <w:iCs/>
          <w:color w:val="000000" w:themeColor="text1"/>
        </w:rPr>
        <w:t xml:space="preserve">required </w:t>
      </w:r>
      <w:r w:rsidR="00A2672B">
        <w:rPr>
          <w:iCs/>
          <w:color w:val="000000" w:themeColor="text1"/>
        </w:rPr>
        <w:t xml:space="preserve">at screening for eligibility; urine pregnancy test </w:t>
      </w:r>
      <w:r w:rsidR="00522E5A" w:rsidRPr="00EA150E">
        <w:rPr>
          <w:iCs/>
          <w:color w:val="000000" w:themeColor="text1"/>
        </w:rPr>
        <w:t xml:space="preserve">to be done within 24 hours prior to study </w:t>
      </w:r>
      <w:r w:rsidR="00590BE5" w:rsidRPr="00EA150E">
        <w:rPr>
          <w:iCs/>
          <w:color w:val="000000" w:themeColor="text1"/>
        </w:rPr>
        <w:t>in</w:t>
      </w:r>
      <w:r w:rsidR="00590BE5">
        <w:rPr>
          <w:iCs/>
          <w:color w:val="000000" w:themeColor="text1"/>
        </w:rPr>
        <w:t>jections</w:t>
      </w:r>
      <w:r w:rsidR="00590BE5" w:rsidRPr="00EA150E">
        <w:rPr>
          <w:iCs/>
          <w:color w:val="000000" w:themeColor="text1"/>
        </w:rPr>
        <w:t xml:space="preserve"> </w:t>
      </w:r>
      <w:r w:rsidR="00522E5A" w:rsidRPr="00EA150E">
        <w:rPr>
          <w:iCs/>
          <w:color w:val="000000" w:themeColor="text1"/>
        </w:rPr>
        <w:t>and results must be available prior to administration of study product.</w:t>
      </w:r>
    </w:p>
    <w:p w14:paraId="7CBD9A33" w14:textId="4238F554" w:rsidR="00A52749" w:rsidRPr="00DE50BA" w:rsidRDefault="00EA150E" w:rsidP="00072B81">
      <w:pPr>
        <w:pStyle w:val="Bulletlisting"/>
        <w:ind w:left="0" w:firstLine="0"/>
        <w:rPr>
          <w:iCs/>
        </w:rPr>
      </w:pPr>
      <w:r>
        <w:rPr>
          <w:iCs/>
          <w:color w:val="000000" w:themeColor="text1"/>
        </w:rPr>
        <w:t xml:space="preserve">HIV rapid antibody test: to be </w:t>
      </w:r>
      <w:r w:rsidR="008E37CD">
        <w:rPr>
          <w:iCs/>
          <w:color w:val="000000" w:themeColor="text1"/>
        </w:rPr>
        <w:t xml:space="preserve">performed </w:t>
      </w:r>
      <w:r>
        <w:rPr>
          <w:iCs/>
          <w:color w:val="000000" w:themeColor="text1"/>
        </w:rPr>
        <w:t xml:space="preserve">using </w:t>
      </w:r>
      <w:r w:rsidR="008E37CD">
        <w:rPr>
          <w:iCs/>
        </w:rPr>
        <w:t>two</w:t>
      </w:r>
      <w:r w:rsidR="008E37CD" w:rsidRPr="00DE50BA">
        <w:rPr>
          <w:iCs/>
        </w:rPr>
        <w:t xml:space="preserve"> </w:t>
      </w:r>
      <w:r w:rsidRPr="00DE50BA">
        <w:rPr>
          <w:iCs/>
        </w:rPr>
        <w:t>test kit</w:t>
      </w:r>
      <w:r w:rsidR="008E37CD">
        <w:rPr>
          <w:iCs/>
        </w:rPr>
        <w:t>s</w:t>
      </w:r>
      <w:r w:rsidRPr="00DE50BA">
        <w:rPr>
          <w:iCs/>
        </w:rPr>
        <w:t xml:space="preserve"> from </w:t>
      </w:r>
      <w:r w:rsidR="008E37CD">
        <w:rPr>
          <w:iCs/>
        </w:rPr>
        <w:t>different</w:t>
      </w:r>
      <w:r w:rsidR="008E37CD" w:rsidRPr="00DE50BA">
        <w:rPr>
          <w:iCs/>
        </w:rPr>
        <w:t xml:space="preserve"> </w:t>
      </w:r>
      <w:r w:rsidRPr="00DE50BA">
        <w:rPr>
          <w:iCs/>
        </w:rPr>
        <w:t>manufacturer</w:t>
      </w:r>
      <w:r w:rsidR="008E37CD">
        <w:rPr>
          <w:iCs/>
        </w:rPr>
        <w:t>s</w:t>
      </w:r>
      <w:r w:rsidRPr="00DE50BA">
        <w:rPr>
          <w:iCs/>
        </w:rPr>
        <w:t xml:space="preserve">. </w:t>
      </w:r>
      <w:r w:rsidR="008E37CD">
        <w:rPr>
          <w:iCs/>
        </w:rPr>
        <w:t>Discordant or i</w:t>
      </w:r>
      <w:r w:rsidRPr="00DE50BA">
        <w:rPr>
          <w:iCs/>
        </w:rPr>
        <w:t xml:space="preserve">ndeterminate test results to be confirmed by laboratory HIV </w:t>
      </w:r>
      <w:r w:rsidR="008E37CD">
        <w:rPr>
          <w:iCs/>
        </w:rPr>
        <w:t>PCR</w:t>
      </w:r>
      <w:r w:rsidRPr="00DE50BA">
        <w:rPr>
          <w:iCs/>
        </w:rPr>
        <w:t>.</w:t>
      </w:r>
    </w:p>
    <w:p w14:paraId="0F09344B" w14:textId="2283B734" w:rsidR="00522E5A" w:rsidRPr="00DE50BA" w:rsidRDefault="00602EA5" w:rsidP="003B0B90">
      <w:pPr>
        <w:pStyle w:val="BodyText"/>
        <w:keepNext/>
        <w:rPr>
          <w:i/>
          <w:iCs/>
        </w:rPr>
      </w:pPr>
      <w:r w:rsidRPr="00DE50BA">
        <w:rPr>
          <w:i/>
          <w:iCs/>
        </w:rPr>
        <w:t>TB Disease</w:t>
      </w:r>
      <w:r w:rsidR="00EA150E" w:rsidRPr="00DE50BA">
        <w:rPr>
          <w:i/>
          <w:iCs/>
        </w:rPr>
        <w:t xml:space="preserve"> </w:t>
      </w:r>
      <w:r w:rsidR="00A52749" w:rsidRPr="00DE50BA">
        <w:rPr>
          <w:i/>
          <w:iCs/>
        </w:rPr>
        <w:t xml:space="preserve">Laboratory </w:t>
      </w:r>
      <w:r w:rsidR="00522E5A" w:rsidRPr="003F0938">
        <w:rPr>
          <w:i/>
          <w:iCs/>
        </w:rPr>
        <w:t>Evaluations</w:t>
      </w:r>
      <w:r w:rsidR="00EA150E" w:rsidRPr="00DE50BA">
        <w:rPr>
          <w:iCs/>
        </w:rPr>
        <w:t xml:space="preserve"> will include:</w:t>
      </w:r>
    </w:p>
    <w:p w14:paraId="24A1AA7C" w14:textId="65A2C7A0" w:rsidR="00EA150E" w:rsidRPr="00A52749" w:rsidRDefault="00EA150E" w:rsidP="00072B81">
      <w:pPr>
        <w:pStyle w:val="BodyText"/>
        <w:rPr>
          <w:iCs/>
          <w:color w:val="000000" w:themeColor="text1"/>
        </w:rPr>
      </w:pPr>
      <w:r w:rsidRPr="00A52749">
        <w:rPr>
          <w:iCs/>
          <w:color w:val="000000" w:themeColor="text1"/>
        </w:rPr>
        <w:t xml:space="preserve">Microbiology: Sputum </w:t>
      </w:r>
      <w:r w:rsidR="00A52749" w:rsidRPr="00A52749">
        <w:rPr>
          <w:iCs/>
          <w:color w:val="000000" w:themeColor="text1"/>
        </w:rPr>
        <w:t>Xpert MTB/RIF (Cepheid, USA)</w:t>
      </w:r>
      <w:r w:rsidR="006755C9">
        <w:rPr>
          <w:iCs/>
          <w:color w:val="000000" w:themeColor="text1"/>
        </w:rPr>
        <w:t xml:space="preserve"> </w:t>
      </w:r>
      <w:r w:rsidR="00A52749" w:rsidRPr="00A52749">
        <w:rPr>
          <w:iCs/>
          <w:color w:val="000000" w:themeColor="text1"/>
        </w:rPr>
        <w:t>and MGIT culture (Becton-Dickinson, USA). Samples from additional sites may be requested for investigation of extrapulmonary TB at the discretion of the investigator.</w:t>
      </w:r>
    </w:p>
    <w:p w14:paraId="00B04280" w14:textId="3C4C1FCA" w:rsidR="00F43682" w:rsidRDefault="00C9799D" w:rsidP="009E0AB3">
      <w:pPr>
        <w:pStyle w:val="Heading3"/>
      </w:pPr>
      <w:bookmarkStart w:id="290" w:name="_Toc53202818"/>
      <w:bookmarkStart w:id="291" w:name="_Toc389130006"/>
      <w:bookmarkStart w:id="292" w:name="_Toc440906311"/>
      <w:r>
        <w:t>Immunology</w:t>
      </w:r>
      <w:r w:rsidR="00F43682">
        <w:t xml:space="preserve"> </w:t>
      </w:r>
      <w:bookmarkEnd w:id="290"/>
      <w:r w:rsidR="0029198A">
        <w:t>Laboratory Evaluations</w:t>
      </w:r>
      <w:bookmarkEnd w:id="291"/>
      <w:bookmarkEnd w:id="292"/>
    </w:p>
    <w:p w14:paraId="4CCE2941" w14:textId="608C84A4" w:rsidR="0029198A" w:rsidRDefault="0029198A" w:rsidP="003F0938">
      <w:pPr>
        <w:spacing w:before="120" w:after="120"/>
      </w:pPr>
      <w:r>
        <w:t>A summary of immunologic assays to be performed on blood specimens is shown in</w:t>
      </w:r>
      <w:r w:rsidR="009E0AB3">
        <w:t xml:space="preserve"> </w:t>
      </w:r>
      <w:r w:rsidR="00276ADA" w:rsidRPr="00276ADA">
        <w:rPr>
          <w:color w:val="0000FF"/>
        </w:rPr>
        <w:fldChar w:fldCharType="begin"/>
      </w:r>
      <w:r w:rsidR="00276ADA" w:rsidRPr="00276ADA">
        <w:rPr>
          <w:color w:val="0000FF"/>
        </w:rPr>
        <w:instrText xml:space="preserve"> REF  _Ref389126733 \h  \* MERGEFORMAT </w:instrText>
      </w:r>
      <w:r w:rsidR="00276ADA" w:rsidRPr="00276ADA">
        <w:rPr>
          <w:color w:val="0000FF"/>
        </w:rPr>
      </w:r>
      <w:r w:rsidR="00276ADA" w:rsidRPr="00276ADA">
        <w:rPr>
          <w:color w:val="0000FF"/>
        </w:rPr>
        <w:fldChar w:fldCharType="separate"/>
      </w:r>
      <w:r w:rsidR="00024E24" w:rsidRPr="00024E24">
        <w:rPr>
          <w:color w:val="0000FF"/>
        </w:rPr>
        <w:t xml:space="preserve">Table </w:t>
      </w:r>
      <w:r w:rsidR="00024E24" w:rsidRPr="00024E24">
        <w:rPr>
          <w:noProof/>
          <w:color w:val="0000FF"/>
        </w:rPr>
        <w:t>10</w:t>
      </w:r>
      <w:r w:rsidR="00276ADA" w:rsidRPr="00276ADA">
        <w:rPr>
          <w:color w:val="0000FF"/>
        </w:rPr>
        <w:fldChar w:fldCharType="end"/>
      </w:r>
      <w:r>
        <w:t>.</w:t>
      </w:r>
      <w:r w:rsidR="00725327">
        <w:t xml:space="preserve"> </w:t>
      </w:r>
      <w:r>
        <w:t>Staff at the clinical research site will refer to the most current version of the Specimen Management Manual (provided under separate cover) for further instructions and additional information on specimen collection and processing.</w:t>
      </w:r>
    </w:p>
    <w:p w14:paraId="1DE2DFED" w14:textId="737208CC" w:rsidR="0029198A" w:rsidRPr="005B3567" w:rsidRDefault="00EA3161" w:rsidP="005B3567">
      <w:pPr>
        <w:pStyle w:val="Caption"/>
      </w:pPr>
      <w:bookmarkStart w:id="293" w:name="_Ref389126733"/>
      <w:bookmarkStart w:id="294" w:name="_Toc389130077"/>
      <w:bookmarkStart w:id="295" w:name="_Toc389130107"/>
      <w:bookmarkStart w:id="296" w:name="_Toc440906408"/>
      <w:r w:rsidRPr="005B3567">
        <w:t xml:space="preserve">Table </w:t>
      </w:r>
      <w:r w:rsidR="00024E24">
        <w:fldChar w:fldCharType="begin"/>
      </w:r>
      <w:r w:rsidR="00024E24">
        <w:instrText xml:space="preserve"> SEQ Table \* ARABIC </w:instrText>
      </w:r>
      <w:r w:rsidR="00024E24">
        <w:fldChar w:fldCharType="separate"/>
      </w:r>
      <w:r w:rsidR="00024E24">
        <w:rPr>
          <w:noProof/>
        </w:rPr>
        <w:t>10</w:t>
      </w:r>
      <w:r w:rsidR="00024E24">
        <w:rPr>
          <w:noProof/>
        </w:rPr>
        <w:fldChar w:fldCharType="end"/>
      </w:r>
      <w:bookmarkEnd w:id="293"/>
      <w:r w:rsidR="00063DC0" w:rsidRPr="005B3567">
        <w:t>:</w:t>
      </w:r>
      <w:r w:rsidR="005B3567">
        <w:tab/>
      </w:r>
      <w:r w:rsidR="0029198A" w:rsidRPr="005B3567">
        <w:t>Summary of Immunology Laboratory Evaluations</w:t>
      </w:r>
      <w:bookmarkEnd w:id="294"/>
      <w:bookmarkEnd w:id="295"/>
      <w:bookmarkEnd w:id="296"/>
      <w:r w:rsidR="0029198A" w:rsidRPr="005B3567">
        <w:t xml:space="preserve"> </w:t>
      </w:r>
    </w:p>
    <w:tbl>
      <w:tblPr>
        <w:tblpPr w:leftFromText="180" w:rightFromText="180" w:vertAnchor="text" w:tblpY="1"/>
        <w:tblOverlap w:val="never"/>
        <w:tblW w:w="99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121"/>
        <w:gridCol w:w="1301"/>
        <w:gridCol w:w="1957"/>
        <w:gridCol w:w="1692"/>
        <w:gridCol w:w="1406"/>
        <w:gridCol w:w="1441"/>
      </w:tblGrid>
      <w:tr w:rsidR="0013794C" w:rsidRPr="001A1029" w14:paraId="4F4EB280" w14:textId="69A7238A" w:rsidTr="00591C3C">
        <w:trPr>
          <w:tblHeader/>
        </w:trPr>
        <w:tc>
          <w:tcPr>
            <w:tcW w:w="2121" w:type="dxa"/>
            <w:shd w:val="clear" w:color="auto" w:fill="D9D9D9" w:themeFill="background1" w:themeFillShade="D9"/>
            <w:vAlign w:val="center"/>
          </w:tcPr>
          <w:p w14:paraId="7BAE9E66" w14:textId="00CF997E" w:rsidR="0013794C" w:rsidRPr="001A1029" w:rsidRDefault="0013794C" w:rsidP="009E0AB3">
            <w:pPr>
              <w:jc w:val="center"/>
              <w:rPr>
                <w:rFonts w:cs="Arial"/>
                <w:b/>
                <w:i/>
                <w:sz w:val="18"/>
                <w:szCs w:val="18"/>
              </w:rPr>
            </w:pPr>
            <w:r w:rsidRPr="001A1029">
              <w:rPr>
                <w:rFonts w:cs="Arial"/>
                <w:b/>
                <w:sz w:val="18"/>
                <w:szCs w:val="18"/>
              </w:rPr>
              <w:t>Sample type</w:t>
            </w:r>
          </w:p>
        </w:tc>
        <w:tc>
          <w:tcPr>
            <w:tcW w:w="1301" w:type="dxa"/>
            <w:shd w:val="clear" w:color="auto" w:fill="D9D9D9" w:themeFill="background1" w:themeFillShade="D9"/>
            <w:vAlign w:val="center"/>
          </w:tcPr>
          <w:p w14:paraId="74FF9A93" w14:textId="77777777" w:rsidR="0013794C" w:rsidRPr="001A1029" w:rsidRDefault="0013794C" w:rsidP="009E0AB3">
            <w:pPr>
              <w:jc w:val="center"/>
              <w:rPr>
                <w:rFonts w:cs="Arial"/>
                <w:b/>
                <w:sz w:val="18"/>
                <w:szCs w:val="18"/>
              </w:rPr>
            </w:pPr>
            <w:r w:rsidRPr="001A1029">
              <w:rPr>
                <w:rFonts w:cs="Arial"/>
                <w:b/>
                <w:sz w:val="18"/>
                <w:szCs w:val="18"/>
              </w:rPr>
              <w:t>Location</w:t>
            </w:r>
          </w:p>
        </w:tc>
        <w:tc>
          <w:tcPr>
            <w:tcW w:w="1957" w:type="dxa"/>
            <w:shd w:val="clear" w:color="auto" w:fill="D9D9D9" w:themeFill="background1" w:themeFillShade="D9"/>
            <w:vAlign w:val="center"/>
          </w:tcPr>
          <w:p w14:paraId="0CD9EC6C" w14:textId="77777777" w:rsidR="0013794C" w:rsidRPr="001A1029" w:rsidRDefault="0013794C" w:rsidP="009E0AB3">
            <w:pPr>
              <w:jc w:val="center"/>
              <w:rPr>
                <w:rFonts w:cs="Arial"/>
                <w:b/>
                <w:sz w:val="18"/>
                <w:szCs w:val="18"/>
              </w:rPr>
            </w:pPr>
            <w:r w:rsidRPr="001A1029">
              <w:rPr>
                <w:rFonts w:cs="Arial"/>
                <w:b/>
                <w:sz w:val="18"/>
                <w:szCs w:val="18"/>
              </w:rPr>
              <w:t>Assay</w:t>
            </w:r>
          </w:p>
        </w:tc>
        <w:tc>
          <w:tcPr>
            <w:tcW w:w="1692" w:type="dxa"/>
            <w:shd w:val="clear" w:color="auto" w:fill="D9D9D9" w:themeFill="background1" w:themeFillShade="D9"/>
            <w:vAlign w:val="center"/>
          </w:tcPr>
          <w:p w14:paraId="4B8009B0" w14:textId="3D3A4E03" w:rsidR="0013794C" w:rsidRPr="001A1029" w:rsidRDefault="0013794C" w:rsidP="009E0AB3">
            <w:pPr>
              <w:jc w:val="center"/>
              <w:rPr>
                <w:rFonts w:cs="Arial"/>
                <w:b/>
                <w:sz w:val="18"/>
                <w:szCs w:val="18"/>
              </w:rPr>
            </w:pPr>
            <w:r w:rsidRPr="001A1029">
              <w:rPr>
                <w:rFonts w:cs="Arial"/>
                <w:b/>
                <w:sz w:val="18"/>
                <w:szCs w:val="18"/>
              </w:rPr>
              <w:t>Purpose of Assay</w:t>
            </w:r>
          </w:p>
        </w:tc>
        <w:tc>
          <w:tcPr>
            <w:tcW w:w="1406" w:type="dxa"/>
            <w:shd w:val="clear" w:color="auto" w:fill="D9D9D9" w:themeFill="background1" w:themeFillShade="D9"/>
            <w:vAlign w:val="center"/>
          </w:tcPr>
          <w:p w14:paraId="4E562D6C" w14:textId="77777777" w:rsidR="0013794C" w:rsidRPr="001A1029" w:rsidRDefault="0013794C" w:rsidP="009E0AB3">
            <w:pPr>
              <w:jc w:val="center"/>
              <w:rPr>
                <w:rFonts w:cs="Arial"/>
                <w:b/>
                <w:sz w:val="18"/>
                <w:szCs w:val="18"/>
              </w:rPr>
            </w:pPr>
            <w:r w:rsidRPr="001A1029">
              <w:rPr>
                <w:rFonts w:cs="Arial"/>
                <w:b/>
                <w:sz w:val="18"/>
                <w:szCs w:val="18"/>
              </w:rPr>
              <w:t>Study Days</w:t>
            </w:r>
          </w:p>
          <w:p w14:paraId="0A0079D6" w14:textId="5B1956AF" w:rsidR="0013794C" w:rsidRPr="001A1029" w:rsidRDefault="0013794C" w:rsidP="009E0AB3">
            <w:pPr>
              <w:jc w:val="center"/>
              <w:rPr>
                <w:rFonts w:cs="Arial"/>
                <w:b/>
                <w:sz w:val="18"/>
                <w:szCs w:val="18"/>
              </w:rPr>
            </w:pPr>
            <w:r w:rsidRPr="001A1029">
              <w:rPr>
                <w:rFonts w:cs="Arial"/>
                <w:b/>
                <w:sz w:val="18"/>
                <w:szCs w:val="18"/>
              </w:rPr>
              <w:t>Cohorts 1 and 2</w:t>
            </w:r>
          </w:p>
        </w:tc>
        <w:tc>
          <w:tcPr>
            <w:tcW w:w="1441" w:type="dxa"/>
            <w:shd w:val="clear" w:color="auto" w:fill="D9D9D9" w:themeFill="background1" w:themeFillShade="D9"/>
          </w:tcPr>
          <w:p w14:paraId="4C0B63B0" w14:textId="761F583B" w:rsidR="0013794C" w:rsidRPr="001A1029" w:rsidRDefault="0013794C" w:rsidP="009E0AB3">
            <w:pPr>
              <w:jc w:val="center"/>
              <w:rPr>
                <w:rFonts w:cs="Arial"/>
                <w:b/>
                <w:sz w:val="18"/>
                <w:szCs w:val="18"/>
              </w:rPr>
            </w:pPr>
            <w:r w:rsidRPr="001A1029">
              <w:rPr>
                <w:rFonts w:cs="Arial"/>
                <w:b/>
                <w:sz w:val="18"/>
                <w:szCs w:val="18"/>
              </w:rPr>
              <w:t>Study Days Cohort 3</w:t>
            </w:r>
          </w:p>
        </w:tc>
      </w:tr>
      <w:tr w:rsidR="0013794C" w:rsidRPr="001A1029" w14:paraId="3B8F67CE" w14:textId="6BFC3FC3" w:rsidTr="00591C3C">
        <w:tc>
          <w:tcPr>
            <w:tcW w:w="2121" w:type="dxa"/>
            <w:shd w:val="clear" w:color="auto" w:fill="auto"/>
          </w:tcPr>
          <w:p w14:paraId="1922B557" w14:textId="1460E1D0" w:rsidR="0013794C" w:rsidRPr="001A1029" w:rsidRDefault="0013794C" w:rsidP="0013794C">
            <w:pPr>
              <w:rPr>
                <w:sz w:val="18"/>
                <w:szCs w:val="18"/>
              </w:rPr>
            </w:pPr>
            <w:r w:rsidRPr="001A1029">
              <w:rPr>
                <w:sz w:val="18"/>
                <w:szCs w:val="18"/>
              </w:rPr>
              <w:t>Primary Immunology: PBMC</w:t>
            </w:r>
          </w:p>
        </w:tc>
        <w:tc>
          <w:tcPr>
            <w:tcW w:w="1301" w:type="dxa"/>
          </w:tcPr>
          <w:p w14:paraId="6393801A" w14:textId="668A8338" w:rsidR="0013794C" w:rsidRPr="001A1029" w:rsidRDefault="0013794C" w:rsidP="0013794C">
            <w:pPr>
              <w:rPr>
                <w:sz w:val="18"/>
                <w:szCs w:val="18"/>
              </w:rPr>
            </w:pPr>
            <w:r w:rsidRPr="001A1029">
              <w:rPr>
                <w:sz w:val="18"/>
                <w:szCs w:val="18"/>
              </w:rPr>
              <w:t>IDRI</w:t>
            </w:r>
          </w:p>
        </w:tc>
        <w:tc>
          <w:tcPr>
            <w:tcW w:w="1957" w:type="dxa"/>
            <w:shd w:val="clear" w:color="auto" w:fill="auto"/>
          </w:tcPr>
          <w:p w14:paraId="2CA659CF" w14:textId="38C2DB88" w:rsidR="0013794C" w:rsidRPr="001A1029" w:rsidRDefault="0013794C" w:rsidP="0013794C">
            <w:pPr>
              <w:rPr>
                <w:sz w:val="18"/>
                <w:szCs w:val="18"/>
              </w:rPr>
            </w:pPr>
            <w:r w:rsidRPr="001A1029">
              <w:rPr>
                <w:sz w:val="18"/>
                <w:szCs w:val="18"/>
              </w:rPr>
              <w:t>Flow cytometry, intracellular cytokine staining (ICS)</w:t>
            </w:r>
          </w:p>
        </w:tc>
        <w:tc>
          <w:tcPr>
            <w:tcW w:w="1692" w:type="dxa"/>
            <w:shd w:val="clear" w:color="auto" w:fill="auto"/>
          </w:tcPr>
          <w:p w14:paraId="04D0376A" w14:textId="77777777" w:rsidR="0013794C" w:rsidRPr="001A1029" w:rsidRDefault="0013794C" w:rsidP="0013794C">
            <w:pPr>
              <w:rPr>
                <w:sz w:val="18"/>
                <w:szCs w:val="18"/>
              </w:rPr>
            </w:pPr>
            <w:r w:rsidRPr="001A1029">
              <w:rPr>
                <w:sz w:val="18"/>
                <w:szCs w:val="18"/>
              </w:rPr>
              <w:t>Determine cellular immune response to study vaccine</w:t>
            </w:r>
          </w:p>
        </w:tc>
        <w:tc>
          <w:tcPr>
            <w:tcW w:w="1406" w:type="dxa"/>
            <w:shd w:val="clear" w:color="auto" w:fill="auto"/>
          </w:tcPr>
          <w:p w14:paraId="42EA8F7C" w14:textId="02C9C110" w:rsidR="0013794C" w:rsidRPr="001A1029" w:rsidRDefault="0013794C" w:rsidP="0013794C">
            <w:pPr>
              <w:rPr>
                <w:sz w:val="18"/>
                <w:szCs w:val="18"/>
              </w:rPr>
            </w:pPr>
            <w:r w:rsidRPr="001A1029">
              <w:rPr>
                <w:sz w:val="18"/>
                <w:szCs w:val="18"/>
              </w:rPr>
              <w:t>Days 0, 14, 28, 56, 70, 84, 224</w:t>
            </w:r>
          </w:p>
        </w:tc>
        <w:tc>
          <w:tcPr>
            <w:tcW w:w="1441" w:type="dxa"/>
          </w:tcPr>
          <w:p w14:paraId="4726FA19" w14:textId="62E8E3B3" w:rsidR="0013794C" w:rsidRPr="001A1029" w:rsidRDefault="0013794C" w:rsidP="0013794C">
            <w:pPr>
              <w:rPr>
                <w:sz w:val="18"/>
                <w:szCs w:val="18"/>
              </w:rPr>
            </w:pPr>
            <w:r w:rsidRPr="001A1029">
              <w:rPr>
                <w:sz w:val="18"/>
                <w:szCs w:val="18"/>
              </w:rPr>
              <w:t xml:space="preserve">Days 0, 14, 28, </w:t>
            </w:r>
            <w:r w:rsidR="00591C3C" w:rsidRPr="001A1029">
              <w:rPr>
                <w:sz w:val="18"/>
                <w:szCs w:val="18"/>
              </w:rPr>
              <w:t xml:space="preserve">42, </w:t>
            </w:r>
            <w:r w:rsidRPr="001A1029">
              <w:rPr>
                <w:sz w:val="18"/>
                <w:szCs w:val="18"/>
              </w:rPr>
              <w:t>56, 70, 84, 224</w:t>
            </w:r>
          </w:p>
        </w:tc>
      </w:tr>
      <w:tr w:rsidR="0013794C" w:rsidRPr="001A1029" w14:paraId="24F8BDA8" w14:textId="3D557E41" w:rsidTr="00591C3C">
        <w:tc>
          <w:tcPr>
            <w:tcW w:w="2121" w:type="dxa"/>
            <w:shd w:val="clear" w:color="auto" w:fill="auto"/>
          </w:tcPr>
          <w:p w14:paraId="078E28EC" w14:textId="77777777" w:rsidR="0013794C" w:rsidRPr="001A1029" w:rsidRDefault="0013794C" w:rsidP="0013794C">
            <w:pPr>
              <w:rPr>
                <w:sz w:val="18"/>
                <w:szCs w:val="18"/>
              </w:rPr>
            </w:pPr>
            <w:r w:rsidRPr="001A1029">
              <w:rPr>
                <w:sz w:val="18"/>
                <w:szCs w:val="18"/>
              </w:rPr>
              <w:t xml:space="preserve">Primary Immunology: Serum </w:t>
            </w:r>
          </w:p>
        </w:tc>
        <w:tc>
          <w:tcPr>
            <w:tcW w:w="1301" w:type="dxa"/>
          </w:tcPr>
          <w:p w14:paraId="73C4AC77" w14:textId="77777777" w:rsidR="0013794C" w:rsidRPr="001A1029" w:rsidRDefault="0013794C" w:rsidP="0013794C">
            <w:pPr>
              <w:rPr>
                <w:sz w:val="18"/>
                <w:szCs w:val="18"/>
              </w:rPr>
            </w:pPr>
            <w:r w:rsidRPr="001A1029">
              <w:rPr>
                <w:sz w:val="18"/>
                <w:szCs w:val="18"/>
              </w:rPr>
              <w:t>IDRI or designee</w:t>
            </w:r>
          </w:p>
        </w:tc>
        <w:tc>
          <w:tcPr>
            <w:tcW w:w="1957" w:type="dxa"/>
            <w:shd w:val="clear" w:color="auto" w:fill="auto"/>
          </w:tcPr>
          <w:p w14:paraId="5B193D0D" w14:textId="77777777" w:rsidR="0013794C" w:rsidRPr="001A1029" w:rsidRDefault="0013794C" w:rsidP="0013794C">
            <w:pPr>
              <w:rPr>
                <w:sz w:val="18"/>
                <w:szCs w:val="18"/>
              </w:rPr>
            </w:pPr>
            <w:r w:rsidRPr="001A1029">
              <w:rPr>
                <w:sz w:val="18"/>
                <w:szCs w:val="18"/>
              </w:rPr>
              <w:t>Antigen-specific IgG</w:t>
            </w:r>
          </w:p>
        </w:tc>
        <w:tc>
          <w:tcPr>
            <w:tcW w:w="1692" w:type="dxa"/>
            <w:shd w:val="clear" w:color="auto" w:fill="auto"/>
          </w:tcPr>
          <w:p w14:paraId="7248043F" w14:textId="77777777" w:rsidR="0013794C" w:rsidRPr="001A1029" w:rsidRDefault="0013794C" w:rsidP="0013794C">
            <w:pPr>
              <w:rPr>
                <w:sz w:val="18"/>
                <w:szCs w:val="18"/>
              </w:rPr>
            </w:pPr>
            <w:r w:rsidRPr="001A1029">
              <w:rPr>
                <w:sz w:val="18"/>
                <w:szCs w:val="18"/>
              </w:rPr>
              <w:t>Determine humoral response to study vaccine</w:t>
            </w:r>
          </w:p>
        </w:tc>
        <w:tc>
          <w:tcPr>
            <w:tcW w:w="1406" w:type="dxa"/>
            <w:shd w:val="clear" w:color="auto" w:fill="auto"/>
          </w:tcPr>
          <w:p w14:paraId="4FD7CDA3" w14:textId="325CDE20" w:rsidR="0013794C" w:rsidRPr="001A1029" w:rsidRDefault="0013794C" w:rsidP="0013794C">
            <w:pPr>
              <w:rPr>
                <w:sz w:val="18"/>
                <w:szCs w:val="18"/>
              </w:rPr>
            </w:pPr>
            <w:r w:rsidRPr="001A1029">
              <w:rPr>
                <w:sz w:val="18"/>
                <w:szCs w:val="18"/>
              </w:rPr>
              <w:t>Days 0, 14, 28, 56, 70, 84, 224</w:t>
            </w:r>
          </w:p>
        </w:tc>
        <w:tc>
          <w:tcPr>
            <w:tcW w:w="1441" w:type="dxa"/>
          </w:tcPr>
          <w:p w14:paraId="13D9500B" w14:textId="1B74231F" w:rsidR="0013794C" w:rsidRPr="001A1029" w:rsidRDefault="0013794C" w:rsidP="0013794C">
            <w:pPr>
              <w:rPr>
                <w:sz w:val="18"/>
                <w:szCs w:val="18"/>
              </w:rPr>
            </w:pPr>
            <w:r w:rsidRPr="001A1029">
              <w:rPr>
                <w:sz w:val="18"/>
                <w:szCs w:val="18"/>
              </w:rPr>
              <w:t xml:space="preserve">Days 0, 14, 28, </w:t>
            </w:r>
            <w:r w:rsidR="00591C3C" w:rsidRPr="001A1029">
              <w:rPr>
                <w:sz w:val="18"/>
                <w:szCs w:val="18"/>
              </w:rPr>
              <w:t xml:space="preserve">42, </w:t>
            </w:r>
            <w:r w:rsidRPr="001A1029">
              <w:rPr>
                <w:sz w:val="18"/>
                <w:szCs w:val="18"/>
              </w:rPr>
              <w:t>56, 70, 84, 224</w:t>
            </w:r>
          </w:p>
        </w:tc>
      </w:tr>
      <w:tr w:rsidR="0013794C" w:rsidRPr="001A1029" w14:paraId="742374DF" w14:textId="12E073F7" w:rsidTr="00591C3C">
        <w:tc>
          <w:tcPr>
            <w:tcW w:w="2121" w:type="dxa"/>
            <w:shd w:val="clear" w:color="auto" w:fill="auto"/>
          </w:tcPr>
          <w:p w14:paraId="7590AEE5" w14:textId="549E66D7" w:rsidR="0013794C" w:rsidRPr="001A1029" w:rsidRDefault="0013794C" w:rsidP="0013794C">
            <w:pPr>
              <w:rPr>
                <w:sz w:val="18"/>
                <w:szCs w:val="18"/>
              </w:rPr>
            </w:pPr>
            <w:r w:rsidRPr="001A1029">
              <w:rPr>
                <w:sz w:val="18"/>
                <w:szCs w:val="18"/>
              </w:rPr>
              <w:t>Exploratory Immunology Whole blood ICS</w:t>
            </w:r>
          </w:p>
        </w:tc>
        <w:tc>
          <w:tcPr>
            <w:tcW w:w="1301" w:type="dxa"/>
          </w:tcPr>
          <w:p w14:paraId="4A92715D" w14:textId="466A9DF3" w:rsidR="0013794C" w:rsidRPr="001A1029" w:rsidRDefault="0013794C" w:rsidP="0013794C">
            <w:pPr>
              <w:rPr>
                <w:sz w:val="18"/>
                <w:szCs w:val="18"/>
              </w:rPr>
            </w:pPr>
            <w:r w:rsidRPr="001A1029">
              <w:rPr>
                <w:sz w:val="18"/>
                <w:szCs w:val="18"/>
              </w:rPr>
              <w:t>SATVI</w:t>
            </w:r>
          </w:p>
        </w:tc>
        <w:tc>
          <w:tcPr>
            <w:tcW w:w="1957" w:type="dxa"/>
            <w:shd w:val="clear" w:color="auto" w:fill="auto"/>
          </w:tcPr>
          <w:p w14:paraId="6F13E575" w14:textId="1C30BDA7" w:rsidR="0013794C" w:rsidRPr="001A1029" w:rsidRDefault="0013794C" w:rsidP="0013794C">
            <w:pPr>
              <w:rPr>
                <w:sz w:val="18"/>
                <w:szCs w:val="18"/>
              </w:rPr>
            </w:pPr>
            <w:r w:rsidRPr="001A1029">
              <w:rPr>
                <w:sz w:val="18"/>
                <w:szCs w:val="18"/>
              </w:rPr>
              <w:t>ICS</w:t>
            </w:r>
          </w:p>
        </w:tc>
        <w:tc>
          <w:tcPr>
            <w:tcW w:w="1692" w:type="dxa"/>
            <w:shd w:val="clear" w:color="auto" w:fill="auto"/>
          </w:tcPr>
          <w:p w14:paraId="6956B030" w14:textId="77777777" w:rsidR="0013794C" w:rsidRPr="001A1029" w:rsidRDefault="0013794C" w:rsidP="0013794C">
            <w:pPr>
              <w:rPr>
                <w:sz w:val="18"/>
                <w:szCs w:val="18"/>
              </w:rPr>
            </w:pPr>
            <w:r w:rsidRPr="001A1029">
              <w:rPr>
                <w:sz w:val="18"/>
                <w:szCs w:val="18"/>
              </w:rPr>
              <w:t>Determine cellular immune response to study vaccine</w:t>
            </w:r>
          </w:p>
        </w:tc>
        <w:tc>
          <w:tcPr>
            <w:tcW w:w="1406" w:type="dxa"/>
            <w:shd w:val="clear" w:color="auto" w:fill="auto"/>
          </w:tcPr>
          <w:p w14:paraId="3DB216DA" w14:textId="4C09A393" w:rsidR="0013794C" w:rsidRPr="001A1029" w:rsidRDefault="0013794C" w:rsidP="0013794C">
            <w:pPr>
              <w:rPr>
                <w:sz w:val="18"/>
                <w:szCs w:val="18"/>
              </w:rPr>
            </w:pPr>
            <w:r w:rsidRPr="001A1029">
              <w:rPr>
                <w:sz w:val="18"/>
                <w:szCs w:val="18"/>
              </w:rPr>
              <w:t>Days 0, 14, 28, 56, 70, 84, 224</w:t>
            </w:r>
          </w:p>
        </w:tc>
        <w:tc>
          <w:tcPr>
            <w:tcW w:w="1441" w:type="dxa"/>
          </w:tcPr>
          <w:p w14:paraId="47CD8686" w14:textId="20197A60" w:rsidR="0013794C" w:rsidRPr="001A1029" w:rsidRDefault="0013794C" w:rsidP="0013794C">
            <w:pPr>
              <w:rPr>
                <w:sz w:val="18"/>
                <w:szCs w:val="18"/>
              </w:rPr>
            </w:pPr>
            <w:r w:rsidRPr="001A1029">
              <w:rPr>
                <w:sz w:val="18"/>
                <w:szCs w:val="18"/>
              </w:rPr>
              <w:t xml:space="preserve">Days 0, 14, 28, </w:t>
            </w:r>
            <w:r w:rsidR="005B5156" w:rsidRPr="001A1029">
              <w:rPr>
                <w:sz w:val="18"/>
                <w:szCs w:val="18"/>
              </w:rPr>
              <w:t xml:space="preserve">42, </w:t>
            </w:r>
            <w:r w:rsidRPr="001A1029">
              <w:rPr>
                <w:sz w:val="18"/>
                <w:szCs w:val="18"/>
              </w:rPr>
              <w:t>56, 70, 84, 224</w:t>
            </w:r>
          </w:p>
        </w:tc>
      </w:tr>
      <w:tr w:rsidR="0013794C" w:rsidRPr="001A1029" w14:paraId="45BE1E4E" w14:textId="32AE9A92" w:rsidTr="00591C3C">
        <w:tc>
          <w:tcPr>
            <w:tcW w:w="2121" w:type="dxa"/>
            <w:shd w:val="clear" w:color="auto" w:fill="auto"/>
          </w:tcPr>
          <w:p w14:paraId="0F477A63" w14:textId="77777777" w:rsidR="0013794C" w:rsidRPr="001A1029" w:rsidRDefault="0013794C" w:rsidP="0013794C">
            <w:pPr>
              <w:rPr>
                <w:sz w:val="18"/>
                <w:szCs w:val="18"/>
              </w:rPr>
            </w:pPr>
            <w:r w:rsidRPr="001A1029">
              <w:rPr>
                <w:sz w:val="18"/>
                <w:szCs w:val="18"/>
              </w:rPr>
              <w:t>Exploratory Immunology Serum</w:t>
            </w:r>
          </w:p>
        </w:tc>
        <w:tc>
          <w:tcPr>
            <w:tcW w:w="1301" w:type="dxa"/>
          </w:tcPr>
          <w:p w14:paraId="442EE6AE" w14:textId="77777777" w:rsidR="0013794C" w:rsidRPr="001A1029" w:rsidRDefault="0013794C" w:rsidP="0013794C">
            <w:pPr>
              <w:rPr>
                <w:sz w:val="18"/>
                <w:szCs w:val="18"/>
              </w:rPr>
            </w:pPr>
            <w:r w:rsidRPr="001A1029">
              <w:rPr>
                <w:sz w:val="18"/>
                <w:szCs w:val="18"/>
              </w:rPr>
              <w:t>NA (to be stored)</w:t>
            </w:r>
          </w:p>
        </w:tc>
        <w:tc>
          <w:tcPr>
            <w:tcW w:w="1957" w:type="dxa"/>
            <w:shd w:val="clear" w:color="auto" w:fill="auto"/>
          </w:tcPr>
          <w:p w14:paraId="56547C53" w14:textId="77777777" w:rsidR="0013794C" w:rsidRPr="001A1029" w:rsidRDefault="0013794C" w:rsidP="0013794C">
            <w:pPr>
              <w:rPr>
                <w:sz w:val="18"/>
                <w:szCs w:val="18"/>
              </w:rPr>
            </w:pPr>
            <w:r w:rsidRPr="001A1029">
              <w:rPr>
                <w:sz w:val="18"/>
                <w:szCs w:val="18"/>
              </w:rPr>
              <w:t>Autoimmune antibodies (ELISA)</w:t>
            </w:r>
          </w:p>
        </w:tc>
        <w:tc>
          <w:tcPr>
            <w:tcW w:w="1692" w:type="dxa"/>
            <w:shd w:val="clear" w:color="auto" w:fill="auto"/>
          </w:tcPr>
          <w:p w14:paraId="02325133" w14:textId="77777777" w:rsidR="0013794C" w:rsidRPr="001A1029" w:rsidRDefault="0013794C" w:rsidP="0013794C">
            <w:pPr>
              <w:rPr>
                <w:sz w:val="18"/>
                <w:szCs w:val="18"/>
              </w:rPr>
            </w:pPr>
            <w:r w:rsidRPr="001A1029">
              <w:rPr>
                <w:sz w:val="18"/>
                <w:szCs w:val="18"/>
              </w:rPr>
              <w:t>Determination of vaccine-induced autoimmunity</w:t>
            </w:r>
          </w:p>
        </w:tc>
        <w:tc>
          <w:tcPr>
            <w:tcW w:w="1406" w:type="dxa"/>
            <w:shd w:val="clear" w:color="auto" w:fill="auto"/>
          </w:tcPr>
          <w:p w14:paraId="5F61CB38" w14:textId="12605094" w:rsidR="0013794C" w:rsidRPr="001A1029" w:rsidRDefault="0013794C" w:rsidP="0013794C">
            <w:pPr>
              <w:rPr>
                <w:i/>
                <w:color w:val="FF0000"/>
                <w:sz w:val="18"/>
                <w:szCs w:val="18"/>
              </w:rPr>
            </w:pPr>
            <w:r w:rsidRPr="001A1029">
              <w:rPr>
                <w:sz w:val="18"/>
                <w:szCs w:val="18"/>
              </w:rPr>
              <w:t>Days 0, 224</w:t>
            </w:r>
          </w:p>
        </w:tc>
        <w:tc>
          <w:tcPr>
            <w:tcW w:w="1441" w:type="dxa"/>
          </w:tcPr>
          <w:p w14:paraId="6F6CAF59" w14:textId="5D247BF3" w:rsidR="0013794C" w:rsidRPr="001A1029" w:rsidRDefault="0013794C" w:rsidP="0013794C">
            <w:pPr>
              <w:rPr>
                <w:sz w:val="18"/>
                <w:szCs w:val="18"/>
              </w:rPr>
            </w:pPr>
            <w:r w:rsidRPr="001A1029">
              <w:rPr>
                <w:sz w:val="18"/>
                <w:szCs w:val="18"/>
              </w:rPr>
              <w:t>Days 0, 224</w:t>
            </w:r>
          </w:p>
        </w:tc>
      </w:tr>
      <w:tr w:rsidR="0013794C" w:rsidRPr="001A1029" w14:paraId="2AF7F262" w14:textId="378FE125" w:rsidTr="00591C3C">
        <w:tc>
          <w:tcPr>
            <w:tcW w:w="2121" w:type="dxa"/>
            <w:shd w:val="clear" w:color="auto" w:fill="auto"/>
          </w:tcPr>
          <w:p w14:paraId="299D6397" w14:textId="17811BFE" w:rsidR="0013794C" w:rsidRPr="001A1029" w:rsidRDefault="0013794C" w:rsidP="0013794C">
            <w:pPr>
              <w:rPr>
                <w:sz w:val="18"/>
                <w:szCs w:val="18"/>
              </w:rPr>
            </w:pPr>
            <w:r w:rsidRPr="001A1029">
              <w:rPr>
                <w:sz w:val="18"/>
                <w:szCs w:val="18"/>
              </w:rPr>
              <w:t>Exploratory Immunology Whole blood for gene signatures</w:t>
            </w:r>
          </w:p>
        </w:tc>
        <w:tc>
          <w:tcPr>
            <w:tcW w:w="1301" w:type="dxa"/>
          </w:tcPr>
          <w:p w14:paraId="160255C0" w14:textId="7CFC8483" w:rsidR="0013794C" w:rsidRPr="001A1029" w:rsidRDefault="0013794C" w:rsidP="0013794C">
            <w:pPr>
              <w:rPr>
                <w:sz w:val="18"/>
                <w:szCs w:val="18"/>
              </w:rPr>
            </w:pPr>
            <w:r w:rsidRPr="001A1029">
              <w:rPr>
                <w:sz w:val="18"/>
                <w:szCs w:val="18"/>
              </w:rPr>
              <w:t>TBD</w:t>
            </w:r>
          </w:p>
        </w:tc>
        <w:tc>
          <w:tcPr>
            <w:tcW w:w="1957" w:type="dxa"/>
            <w:shd w:val="clear" w:color="auto" w:fill="auto"/>
          </w:tcPr>
          <w:p w14:paraId="72A05B92" w14:textId="77777777" w:rsidR="0013794C" w:rsidRPr="001A1029" w:rsidRDefault="0013794C" w:rsidP="0013794C">
            <w:pPr>
              <w:rPr>
                <w:sz w:val="18"/>
                <w:szCs w:val="18"/>
              </w:rPr>
            </w:pPr>
            <w:r w:rsidRPr="001A1029">
              <w:rPr>
                <w:sz w:val="18"/>
                <w:szCs w:val="18"/>
              </w:rPr>
              <w:t>Microarray transcriptional profiling or RNA sequencing</w:t>
            </w:r>
          </w:p>
        </w:tc>
        <w:tc>
          <w:tcPr>
            <w:tcW w:w="1692" w:type="dxa"/>
            <w:shd w:val="clear" w:color="auto" w:fill="auto"/>
          </w:tcPr>
          <w:p w14:paraId="0CE5F26B" w14:textId="77777777" w:rsidR="0013794C" w:rsidRPr="001A1029" w:rsidRDefault="0013794C" w:rsidP="0013794C">
            <w:pPr>
              <w:rPr>
                <w:sz w:val="18"/>
                <w:szCs w:val="18"/>
              </w:rPr>
            </w:pPr>
            <w:r w:rsidRPr="001A1029">
              <w:rPr>
                <w:sz w:val="18"/>
                <w:szCs w:val="18"/>
              </w:rPr>
              <w:t>Determine immune response to study vaccine</w:t>
            </w:r>
          </w:p>
        </w:tc>
        <w:tc>
          <w:tcPr>
            <w:tcW w:w="1406" w:type="dxa"/>
            <w:shd w:val="clear" w:color="auto" w:fill="auto"/>
          </w:tcPr>
          <w:p w14:paraId="6C91A871" w14:textId="0DEBA6D7" w:rsidR="0013794C" w:rsidRPr="001A1029" w:rsidRDefault="0013794C" w:rsidP="0013794C">
            <w:pPr>
              <w:rPr>
                <w:i/>
                <w:color w:val="FF0000"/>
                <w:sz w:val="18"/>
                <w:szCs w:val="18"/>
              </w:rPr>
            </w:pPr>
            <w:r w:rsidRPr="001A1029">
              <w:rPr>
                <w:sz w:val="18"/>
                <w:szCs w:val="18"/>
              </w:rPr>
              <w:t>Days 0, 3, 7, 59, 63 and if TB is confirmed</w:t>
            </w:r>
          </w:p>
        </w:tc>
        <w:tc>
          <w:tcPr>
            <w:tcW w:w="1441" w:type="dxa"/>
          </w:tcPr>
          <w:p w14:paraId="25BD0D01" w14:textId="1C69FB94" w:rsidR="0013794C" w:rsidRPr="001A1029" w:rsidRDefault="0013794C" w:rsidP="005B5156">
            <w:pPr>
              <w:rPr>
                <w:sz w:val="18"/>
                <w:szCs w:val="18"/>
              </w:rPr>
            </w:pPr>
            <w:r w:rsidRPr="001A1029">
              <w:rPr>
                <w:sz w:val="18"/>
                <w:szCs w:val="18"/>
              </w:rPr>
              <w:t xml:space="preserve">Days 0, 3, 7, </w:t>
            </w:r>
            <w:r w:rsidR="0027586B" w:rsidRPr="001A1029">
              <w:rPr>
                <w:sz w:val="18"/>
                <w:szCs w:val="18"/>
              </w:rPr>
              <w:t xml:space="preserve">28, </w:t>
            </w:r>
            <w:r w:rsidR="005B5156" w:rsidRPr="001A1029">
              <w:rPr>
                <w:sz w:val="18"/>
                <w:szCs w:val="18"/>
              </w:rPr>
              <w:t xml:space="preserve">31, 35, </w:t>
            </w:r>
            <w:r w:rsidR="0027586B" w:rsidRPr="001A1029">
              <w:rPr>
                <w:sz w:val="18"/>
                <w:szCs w:val="18"/>
              </w:rPr>
              <w:t xml:space="preserve">56, </w:t>
            </w:r>
            <w:r w:rsidRPr="001A1029">
              <w:rPr>
                <w:sz w:val="18"/>
                <w:szCs w:val="18"/>
              </w:rPr>
              <w:t>59, 63 and if TB is confirmed</w:t>
            </w:r>
          </w:p>
        </w:tc>
      </w:tr>
      <w:tr w:rsidR="0013794C" w:rsidRPr="001A1029" w14:paraId="683BB970" w14:textId="60A89A8E" w:rsidTr="00591C3C">
        <w:tc>
          <w:tcPr>
            <w:tcW w:w="2121" w:type="dxa"/>
            <w:shd w:val="clear" w:color="auto" w:fill="auto"/>
          </w:tcPr>
          <w:p w14:paraId="051A72D8" w14:textId="70667B15" w:rsidR="0013794C" w:rsidRPr="001A1029" w:rsidRDefault="0013794C" w:rsidP="0013794C">
            <w:pPr>
              <w:rPr>
                <w:sz w:val="18"/>
                <w:szCs w:val="18"/>
              </w:rPr>
            </w:pPr>
            <w:r w:rsidRPr="001A1029">
              <w:rPr>
                <w:sz w:val="18"/>
                <w:szCs w:val="18"/>
              </w:rPr>
              <w:t>Exploratory Immunology Whole blood absolute count</w:t>
            </w:r>
          </w:p>
        </w:tc>
        <w:tc>
          <w:tcPr>
            <w:tcW w:w="1301" w:type="dxa"/>
          </w:tcPr>
          <w:p w14:paraId="62B488C1" w14:textId="1B332806" w:rsidR="0013794C" w:rsidRPr="001A1029" w:rsidRDefault="0013794C" w:rsidP="0013794C">
            <w:pPr>
              <w:rPr>
                <w:sz w:val="18"/>
                <w:szCs w:val="18"/>
              </w:rPr>
            </w:pPr>
            <w:r w:rsidRPr="001A1029">
              <w:rPr>
                <w:sz w:val="18"/>
                <w:szCs w:val="18"/>
              </w:rPr>
              <w:t>SATVI</w:t>
            </w:r>
          </w:p>
        </w:tc>
        <w:tc>
          <w:tcPr>
            <w:tcW w:w="1957" w:type="dxa"/>
            <w:shd w:val="clear" w:color="auto" w:fill="auto"/>
          </w:tcPr>
          <w:p w14:paraId="42EF4E79" w14:textId="77777777" w:rsidR="0013794C" w:rsidRPr="001A1029" w:rsidRDefault="0013794C" w:rsidP="0013794C">
            <w:pPr>
              <w:rPr>
                <w:sz w:val="18"/>
                <w:szCs w:val="18"/>
              </w:rPr>
            </w:pPr>
            <w:r w:rsidRPr="001A1029">
              <w:rPr>
                <w:sz w:val="18"/>
                <w:szCs w:val="18"/>
              </w:rPr>
              <w:t>Whole blood absolute count</w:t>
            </w:r>
          </w:p>
        </w:tc>
        <w:tc>
          <w:tcPr>
            <w:tcW w:w="1692" w:type="dxa"/>
            <w:shd w:val="clear" w:color="auto" w:fill="auto"/>
          </w:tcPr>
          <w:p w14:paraId="71A2432F" w14:textId="77777777" w:rsidR="0013794C" w:rsidRPr="001A1029" w:rsidRDefault="0013794C" w:rsidP="0013794C">
            <w:pPr>
              <w:rPr>
                <w:sz w:val="18"/>
                <w:szCs w:val="18"/>
              </w:rPr>
            </w:pPr>
            <w:r w:rsidRPr="001A1029">
              <w:rPr>
                <w:sz w:val="18"/>
                <w:szCs w:val="18"/>
              </w:rPr>
              <w:t>Deconvolution of transcriptional data</w:t>
            </w:r>
          </w:p>
        </w:tc>
        <w:tc>
          <w:tcPr>
            <w:tcW w:w="1406" w:type="dxa"/>
            <w:shd w:val="clear" w:color="auto" w:fill="auto"/>
          </w:tcPr>
          <w:p w14:paraId="78F849FF" w14:textId="246C4A38" w:rsidR="0013794C" w:rsidRPr="001A1029" w:rsidRDefault="0013794C" w:rsidP="0013794C">
            <w:pPr>
              <w:rPr>
                <w:sz w:val="18"/>
                <w:szCs w:val="18"/>
              </w:rPr>
            </w:pPr>
            <w:r w:rsidRPr="001A1029">
              <w:rPr>
                <w:sz w:val="18"/>
                <w:szCs w:val="18"/>
              </w:rPr>
              <w:t>Days 0, 3, 7, 59, 63 and if TB is confirmed</w:t>
            </w:r>
          </w:p>
        </w:tc>
        <w:tc>
          <w:tcPr>
            <w:tcW w:w="1441" w:type="dxa"/>
          </w:tcPr>
          <w:p w14:paraId="3F3E2675" w14:textId="774B0514" w:rsidR="0013794C" w:rsidRPr="001A1029" w:rsidRDefault="0013794C" w:rsidP="0013794C">
            <w:pPr>
              <w:rPr>
                <w:sz w:val="18"/>
                <w:szCs w:val="18"/>
              </w:rPr>
            </w:pPr>
            <w:r w:rsidRPr="001A1029">
              <w:rPr>
                <w:sz w:val="18"/>
                <w:szCs w:val="18"/>
              </w:rPr>
              <w:t xml:space="preserve">Days 0, 3, 7, </w:t>
            </w:r>
            <w:r w:rsidR="0027586B" w:rsidRPr="001A1029">
              <w:rPr>
                <w:sz w:val="18"/>
                <w:szCs w:val="18"/>
              </w:rPr>
              <w:t xml:space="preserve">28, </w:t>
            </w:r>
            <w:r w:rsidR="00DE0885" w:rsidRPr="001A1029">
              <w:rPr>
                <w:sz w:val="18"/>
                <w:szCs w:val="18"/>
              </w:rPr>
              <w:t xml:space="preserve">31, 35, </w:t>
            </w:r>
            <w:r w:rsidR="0027586B" w:rsidRPr="001A1029">
              <w:rPr>
                <w:sz w:val="18"/>
                <w:szCs w:val="18"/>
              </w:rPr>
              <w:t xml:space="preserve">56, </w:t>
            </w:r>
            <w:r w:rsidRPr="001A1029">
              <w:rPr>
                <w:sz w:val="18"/>
                <w:szCs w:val="18"/>
              </w:rPr>
              <w:t>59, 63 and if TB is confirmed</w:t>
            </w:r>
          </w:p>
        </w:tc>
      </w:tr>
    </w:tbl>
    <w:p w14:paraId="136D6642" w14:textId="77777777" w:rsidR="00846605" w:rsidRPr="00A931FC" w:rsidRDefault="00846605" w:rsidP="00CF3F4D">
      <w:pPr>
        <w:pStyle w:val="Heading4"/>
        <w:spacing w:after="120"/>
      </w:pPr>
      <w:r>
        <w:t>Primary Immunology Evaluations:</w:t>
      </w:r>
    </w:p>
    <w:p w14:paraId="66F8AD8B" w14:textId="76F24DA8" w:rsidR="00846605" w:rsidRPr="00C7124B" w:rsidRDefault="00846605" w:rsidP="00846605">
      <w:pPr>
        <w:spacing w:before="120" w:after="120"/>
      </w:pPr>
      <w:r>
        <w:t>Both PBMC and whole blood will be collected in this study, to allow measurement of CD4 and CD8 T</w:t>
      </w:r>
      <w:r w:rsidR="00CF3F4D">
        <w:t>-</w:t>
      </w:r>
      <w:r>
        <w:t xml:space="preserve">cell responses to vaccine antigens by ICS. </w:t>
      </w:r>
      <w:r w:rsidRPr="00C7124B">
        <w:t>PBMC will be analyzed by IDRI as the primary immunological outcome, and data generated will be used to inform dose selection decisions for future safety and efficacy trials.</w:t>
      </w:r>
    </w:p>
    <w:p w14:paraId="6D2696D8" w14:textId="1C1D438F" w:rsidR="00846605" w:rsidRPr="00C7124B" w:rsidRDefault="00846605" w:rsidP="00846605">
      <w:pPr>
        <w:spacing w:before="120" w:after="120"/>
      </w:pPr>
      <w:r w:rsidRPr="00C7124B">
        <w:t>Immunology analyses will involve assessment of the immune response to the vaccine by measurement of the frequency of CD4+ and CD8+ T-cells that produce any of selected cytokines following stimulation with whole ID93 protein and peptide pools derived from and representing the entire amino acid sequences of the ID93 component antigens Rv2608, Rv3619, Rv3620, and Rv1813. Response will be measured using PBMCs by flow cytometry in the intracellular cytokine staining (ICS) assay, and will be presented using median</w:t>
      </w:r>
      <w:r w:rsidRPr="00C7124B">
        <w:rPr>
          <w:b/>
        </w:rPr>
        <w:t xml:space="preserve"> </w:t>
      </w:r>
      <w:r w:rsidRPr="00C7124B">
        <w:t xml:space="preserve">DMSO-subtracted cytokine responses and associated 95% CIs by treatment regimen. DMSO (background) values in vaccine recipients with respective antigen-stimulated responses and responses in the placebo recipients will be presented for comparison. Separate summaries will be presented by treatment regimen. Positivity of T-cell responses from the ICS assay will be determined according to a pre-specified methodology </w:t>
      </w:r>
      <w:r w:rsidRPr="00C7124B">
        <w:fldChar w:fldCharType="begin">
          <w:fldData xml:space="preserve">PEVuZE5vdGU+PENpdGU+PEF1dGhvcj5Ib3J0b248L0F1dGhvcj48WWVhcj4yMDA3PC9ZZWFyPjxS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</w:fldData>
        </w:fldChar>
      </w:r>
      <w:r w:rsidR="001A1F59" w:rsidRPr="00C7124B">
        <w:instrText xml:space="preserve"> ADDIN EN.CITE </w:instrText>
      </w:r>
      <w:r w:rsidR="001A1F59" w:rsidRPr="00C7124B">
        <w:fldChar w:fldCharType="begin">
          <w:fldData xml:space="preserve">PEVuZE5vdGU+PENpdGU+PEF1dGhvcj5Ib3J0b248L0F1dGhvcj48WWVhcj4yMDA3PC9ZZWFyPjxS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</w:fldData>
        </w:fldChar>
      </w:r>
      <w:r w:rsidR="001A1F59" w:rsidRPr="00C7124B">
        <w:instrText xml:space="preserve"> ADDIN EN.CITE.DATA </w:instrText>
      </w:r>
      <w:r w:rsidR="001A1F59" w:rsidRPr="00C7124B">
        <w:fldChar w:fldCharType="end"/>
      </w:r>
      <w:r w:rsidRPr="00C7124B">
        <w:fldChar w:fldCharType="separate"/>
      </w:r>
      <w:r w:rsidR="001A1F59" w:rsidRPr="00C7124B">
        <w:rPr>
          <w:noProof/>
        </w:rPr>
        <w:t>[</w:t>
      </w:r>
      <w:hyperlink w:anchor="_ENREF_13" w:tooltip="Horton, 2007 #13264" w:history="1">
        <w:r w:rsidR="001A1F59" w:rsidRPr="00C7124B">
          <w:rPr>
            <w:noProof/>
            <w:color w:val="0000FF"/>
          </w:rPr>
          <w:t>13</w:t>
        </w:r>
      </w:hyperlink>
      <w:r w:rsidR="001A1F59" w:rsidRPr="00C7124B">
        <w:rPr>
          <w:noProof/>
        </w:rPr>
        <w:t>]</w:t>
      </w:r>
      <w:r w:rsidRPr="00C7124B">
        <w:fldChar w:fldCharType="end"/>
      </w:r>
      <w:r w:rsidRPr="00C7124B">
        <w:t xml:space="preserve"> to be described in the statistical analysis plan, and will be summarized as number (percentage) of responders by treatment regimen. </w:t>
      </w:r>
    </w:p>
    <w:p w14:paraId="4D18ECD7" w14:textId="28E4306B" w:rsidR="00846605" w:rsidRPr="00C7124B" w:rsidRDefault="00846605" w:rsidP="00846605">
      <w:pPr>
        <w:spacing w:before="120" w:after="120"/>
      </w:pPr>
      <w:r w:rsidRPr="00C7124B">
        <w:t xml:space="preserve">Additionally, immune sera will be analyzed for the presence of antigen-specific IgG antibodies by ELISA. Responses will be summarized using geometric mean titers and associated 95% CIs by treatment regimen and by baseline QFT status, at all available time points. </w:t>
      </w:r>
    </w:p>
    <w:p w14:paraId="2D53D50E" w14:textId="77777777" w:rsidR="00846605" w:rsidRPr="00C7124B" w:rsidRDefault="00846605" w:rsidP="00CF3F4D">
      <w:pPr>
        <w:pStyle w:val="Heading4"/>
      </w:pPr>
      <w:r w:rsidRPr="00C7124B">
        <w:t>Exploratory Immunology Analyses</w:t>
      </w:r>
    </w:p>
    <w:p w14:paraId="04213B5A" w14:textId="59B74034" w:rsidR="00846605" w:rsidRPr="00C7124B" w:rsidRDefault="00846605" w:rsidP="00846605">
      <w:pPr>
        <w:spacing w:before="120" w:after="120"/>
      </w:pPr>
      <w:r w:rsidRPr="00C7124B">
        <w:t>A 13-color ICS assay using whole blood will be performed at SATVI’s immunology laboratory, where the reagents, equipment, and training of personnel have all been standardized</w:t>
      </w:r>
      <w:r w:rsidR="00CF3F4D" w:rsidRPr="00C7124B">
        <w:t xml:space="preserve"> to provide consistent results.</w:t>
      </w:r>
      <w:r w:rsidRPr="00C7124B">
        <w:t xml:space="preserve"> </w:t>
      </w:r>
    </w:p>
    <w:p w14:paraId="09EEA731" w14:textId="6626E327" w:rsidR="00846605" w:rsidRPr="00C7124B" w:rsidRDefault="00846605" w:rsidP="00846605">
      <w:pPr>
        <w:spacing w:before="120" w:after="120"/>
      </w:pPr>
      <w:r w:rsidRPr="00C7124B">
        <w:t xml:space="preserve">Samples will be stored for future transcriptomic analysis of whole blood and PBMC subsets, as well as RNA-Seq. RNA samples may be used for validation studies of existing candidate gene expression correlates. Whole blood will be collected in PAXgene tubes to allow for future analyses including transcriptomic profiling at early time point following vaccine priming. Whole blood will also be collected for absolute counts and analysis of cellular subsets to allow deconvolution of transcriptomic data according to peripheral blood cellularity. These outcomes will allow identification of innate response gene signatures that correlate with the magnitude and/or character of the ID93-induced T-cell response. </w:t>
      </w:r>
    </w:p>
    <w:p w14:paraId="2390BED2" w14:textId="77777777" w:rsidR="00846605" w:rsidRPr="00C7124B" w:rsidRDefault="00846605" w:rsidP="00846605">
      <w:pPr>
        <w:spacing w:before="120" w:after="120"/>
      </w:pPr>
      <w:r w:rsidRPr="00C7124B">
        <w:t>We will also collect PBMC samples to allow correlates of protection to be determined at a later time point, by looking at antigen specific responses in specific cellular subsets, in assays that are yet to be defined.</w:t>
      </w:r>
    </w:p>
    <w:p w14:paraId="02F544BA" w14:textId="77777777" w:rsidR="00846605" w:rsidRPr="00C7124B" w:rsidRDefault="00846605" w:rsidP="00846605">
      <w:pPr>
        <w:spacing w:before="120" w:after="120"/>
      </w:pPr>
      <w:r w:rsidRPr="00C7124B">
        <w:t>An exploratory analysis may also seek to identify innate response gene signatures that correlate with the magnitude of the ID93-induced IgG response.</w:t>
      </w:r>
    </w:p>
    <w:p w14:paraId="1EE8FA1B" w14:textId="12197D8D" w:rsidR="00846605" w:rsidRDefault="00846605" w:rsidP="00846605">
      <w:pPr>
        <w:spacing w:before="120" w:after="120"/>
      </w:pPr>
      <w:r w:rsidRPr="00C7124B">
        <w:t>Furthermore, serum will be collected and stored for future proteomic analysis, including cytokine measurement with ELISA and/or Luminex or other multiplex techn</w:t>
      </w:r>
      <w:r>
        <w:t>iques.</w:t>
      </w:r>
      <w:r w:rsidRPr="00072A4E">
        <w:t xml:space="preserve"> </w:t>
      </w:r>
      <w:r>
        <w:t>Serum will also be used</w:t>
      </w:r>
      <w:r w:rsidRPr="00072A4E">
        <w:t xml:space="preserve"> for microRNA measurement with microRNA arrays</w:t>
      </w:r>
      <w:r>
        <w:t xml:space="preserve">. </w:t>
      </w:r>
      <w:r w:rsidRPr="00862132">
        <w:t xml:space="preserve">These analyses will include the measurement of soluble host marker </w:t>
      </w:r>
      <w:r>
        <w:t>biosignatures</w:t>
      </w:r>
      <w:r w:rsidRPr="00862132">
        <w:t xml:space="preserve"> (up to 10 markers) and microRNA signatures (up to 40 markers) in sera of patients as correlates of risk for TB </w:t>
      </w:r>
      <w:r>
        <w:t>recurrence</w:t>
      </w:r>
      <w:r w:rsidRPr="00862132">
        <w:t>.</w:t>
      </w:r>
    </w:p>
    <w:p w14:paraId="4026F157" w14:textId="36A3CF03" w:rsidR="00CF3F4D" w:rsidRDefault="00CF3F4D" w:rsidP="00846605">
      <w:pPr>
        <w:spacing w:before="120" w:after="120"/>
      </w:pPr>
      <w:r>
        <w:t>Serum samples will be banked for autoimmune antibody analysis, if indicated by a clinical safety signal.</w:t>
      </w:r>
    </w:p>
    <w:p w14:paraId="187C0C51" w14:textId="77777777" w:rsidR="00F43682" w:rsidRDefault="00F43682" w:rsidP="009E0AB3">
      <w:pPr>
        <w:pStyle w:val="Heading3"/>
      </w:pPr>
      <w:bookmarkStart w:id="297" w:name="_Toc389817680"/>
      <w:bookmarkStart w:id="298" w:name="_Toc389817681"/>
      <w:bookmarkStart w:id="299" w:name="_Toc389817682"/>
      <w:bookmarkStart w:id="300" w:name="_Toc389817683"/>
      <w:bookmarkStart w:id="301" w:name="_Toc389817684"/>
      <w:bookmarkStart w:id="302" w:name="_Toc389817685"/>
      <w:bookmarkStart w:id="303" w:name="_Toc389817686"/>
      <w:bookmarkStart w:id="304" w:name="_Toc53202819"/>
      <w:bookmarkStart w:id="305" w:name="_Toc389130009"/>
      <w:bookmarkStart w:id="306" w:name="_Toc440906312"/>
      <w:bookmarkEnd w:id="297"/>
      <w:bookmarkEnd w:id="298"/>
      <w:bookmarkEnd w:id="299"/>
      <w:bookmarkEnd w:id="300"/>
      <w:bookmarkEnd w:id="301"/>
      <w:bookmarkEnd w:id="302"/>
      <w:bookmarkEnd w:id="303"/>
      <w:r>
        <w:t>Specimen Preparation, Handling, and Shipping</w:t>
      </w:r>
      <w:bookmarkEnd w:id="304"/>
      <w:bookmarkEnd w:id="305"/>
      <w:bookmarkEnd w:id="306"/>
    </w:p>
    <w:p w14:paraId="69F14943" w14:textId="77777777" w:rsidR="00F43682" w:rsidRDefault="00F43682" w:rsidP="009E0AB3">
      <w:pPr>
        <w:pStyle w:val="Heading4"/>
      </w:pPr>
      <w:bookmarkStart w:id="307" w:name="_Toc42588973"/>
      <w:bookmarkStart w:id="308" w:name="_Toc53202820"/>
      <w:r>
        <w:t>Instructions for Specimen Preparation, Handling, and Storage</w:t>
      </w:r>
      <w:bookmarkEnd w:id="307"/>
      <w:bookmarkEnd w:id="308"/>
    </w:p>
    <w:p w14:paraId="433F85BA" w14:textId="76CE228B" w:rsidR="0074206A" w:rsidRPr="0074206A" w:rsidRDefault="0074206A" w:rsidP="001A31CA">
      <w:pPr>
        <w:pStyle w:val="BodyText2"/>
        <w:ind w:left="0"/>
      </w:pPr>
      <w:r>
        <w:t>Instructions for the correct preparation, handli</w:t>
      </w:r>
      <w:r w:rsidR="001A31CA">
        <w:t xml:space="preserve">ng, and storage of samples for </w:t>
      </w:r>
      <w:r>
        <w:t>safety, immunology, and protection evaluations</w:t>
      </w:r>
      <w:r w:rsidR="001A31CA">
        <w:t xml:space="preserve"> are described in the S</w:t>
      </w:r>
      <w:r w:rsidR="002E0203">
        <w:t>pecimen Management Manual</w:t>
      </w:r>
      <w:r>
        <w:t>.</w:t>
      </w:r>
    </w:p>
    <w:p w14:paraId="22594F01" w14:textId="77777777" w:rsidR="00F43682" w:rsidRDefault="00F43682" w:rsidP="009E0AB3">
      <w:pPr>
        <w:pStyle w:val="Heading4"/>
      </w:pPr>
      <w:bookmarkStart w:id="309" w:name="_Toc42588974"/>
      <w:bookmarkStart w:id="310" w:name="_Toc53202821"/>
      <w:r>
        <w:t>Specimen Shipment</w:t>
      </w:r>
      <w:bookmarkEnd w:id="309"/>
      <w:bookmarkEnd w:id="310"/>
    </w:p>
    <w:p w14:paraId="52CBABCB" w14:textId="099666EB" w:rsidR="0074206A" w:rsidRPr="0074206A" w:rsidRDefault="0074206A" w:rsidP="001A31CA">
      <w:pPr>
        <w:pStyle w:val="BodyText2"/>
        <w:ind w:left="0"/>
      </w:pPr>
      <w:r>
        <w:t xml:space="preserve">Instructions for shipment of immunology samples (where relevant) are described </w:t>
      </w:r>
      <w:r>
        <w:tab/>
        <w:t xml:space="preserve">in the </w:t>
      </w:r>
      <w:r w:rsidR="002E0203">
        <w:t>Specimen Management Manual</w:t>
      </w:r>
      <w:r>
        <w:t>.</w:t>
      </w:r>
    </w:p>
    <w:p w14:paraId="30013FF5" w14:textId="77777777" w:rsidR="00F43682" w:rsidRDefault="00F43682">
      <w:pPr>
        <w:pStyle w:val="Heading1"/>
      </w:pPr>
      <w:bookmarkStart w:id="311" w:name="_Toc42588991"/>
      <w:bookmarkStart w:id="312" w:name="_Toc53202844"/>
      <w:bookmarkStart w:id="313" w:name="_Toc389130010"/>
      <w:bookmarkStart w:id="314" w:name="_Toc440906313"/>
      <w:r>
        <w:t>Assessment of Safety</w:t>
      </w:r>
      <w:bookmarkEnd w:id="311"/>
      <w:bookmarkEnd w:id="312"/>
      <w:bookmarkEnd w:id="313"/>
      <w:bookmarkEnd w:id="314"/>
    </w:p>
    <w:p w14:paraId="3AFF79C3" w14:textId="77777777" w:rsidR="00F43682" w:rsidRDefault="00F43682">
      <w:pPr>
        <w:pStyle w:val="Heading2"/>
      </w:pPr>
      <w:bookmarkStart w:id="315" w:name="_Toc42588992"/>
      <w:bookmarkStart w:id="316" w:name="_Toc53202845"/>
      <w:bookmarkStart w:id="317" w:name="_Toc389130011"/>
      <w:bookmarkStart w:id="318" w:name="_Toc440906314"/>
      <w:r>
        <w:t>Specification of Safety Parameters</w:t>
      </w:r>
      <w:bookmarkEnd w:id="315"/>
      <w:bookmarkEnd w:id="316"/>
      <w:bookmarkEnd w:id="317"/>
      <w:bookmarkEnd w:id="318"/>
    </w:p>
    <w:p w14:paraId="34D443C7" w14:textId="50F79637" w:rsidR="00781129" w:rsidRDefault="0014740B" w:rsidP="00494873">
      <w:pPr>
        <w:pStyle w:val="BodyText"/>
      </w:pPr>
      <w:r>
        <w:t xml:space="preserve">Safety outcome measures </w:t>
      </w:r>
      <w:r w:rsidR="00781129">
        <w:t xml:space="preserve">(AEs) </w:t>
      </w:r>
      <w:r>
        <w:t xml:space="preserve">include </w:t>
      </w:r>
      <w:r w:rsidRPr="00017D2A">
        <w:t>local site of injection reactions (pain, induration</w:t>
      </w:r>
      <w:r>
        <w:t>, and erythema), and systemic sy</w:t>
      </w:r>
      <w:r w:rsidRPr="00017D2A">
        <w:t>mptoms (</w:t>
      </w:r>
      <w:r w:rsidR="00D73656">
        <w:t>arthralgia, chills, nausea, fever, fatigue, myalgia</w:t>
      </w:r>
      <w:r w:rsidR="00D5267A">
        <w:t>), and laboratory measurements (</w:t>
      </w:r>
      <w:r w:rsidR="00D1352E">
        <w:t>hematology</w:t>
      </w:r>
      <w:r w:rsidR="00D5267A">
        <w:t xml:space="preserve"> and chemistry)</w:t>
      </w:r>
      <w:r w:rsidR="00781129">
        <w:t>; and AEs that meet the criteria for seriousness (SAEs) and adverse events of special interest (AESIs).</w:t>
      </w:r>
    </w:p>
    <w:p w14:paraId="6ECFA6D4" w14:textId="437437F0" w:rsidR="00F43682" w:rsidRDefault="00F43682">
      <w:pPr>
        <w:pStyle w:val="Heading2"/>
      </w:pPr>
      <w:bookmarkStart w:id="319" w:name="_Toc42588993"/>
      <w:bookmarkStart w:id="320" w:name="_Toc53202846"/>
      <w:bookmarkStart w:id="321" w:name="_Toc389130012"/>
      <w:bookmarkStart w:id="322" w:name="_Toc440906315"/>
      <w:r>
        <w:t>Methods and Timing for Assessing, Recording, and Analyzing Safety Parameters</w:t>
      </w:r>
      <w:bookmarkEnd w:id="319"/>
      <w:bookmarkEnd w:id="320"/>
      <w:bookmarkEnd w:id="321"/>
      <w:bookmarkEnd w:id="322"/>
    </w:p>
    <w:p w14:paraId="6CB663B3" w14:textId="6ADA8790" w:rsidR="000E50BB" w:rsidRDefault="00E1001C" w:rsidP="000C5A32">
      <w:pPr>
        <w:spacing w:before="120" w:after="120" w:line="276" w:lineRule="auto"/>
      </w:pPr>
      <w:r w:rsidRPr="00017D2A">
        <w:t>For all subjects, the reporting period</w:t>
      </w:r>
      <w:r w:rsidR="000E50BB">
        <w:t>s for AEs will be as follows:</w:t>
      </w:r>
    </w:p>
    <w:p w14:paraId="372DA811" w14:textId="3AC458A2" w:rsidR="000E50BB" w:rsidRPr="000C5A32" w:rsidRDefault="000E50BB" w:rsidP="000C5A32">
      <w:pPr>
        <w:pStyle w:val="ListParagraph"/>
        <w:numPr>
          <w:ilvl w:val="0"/>
          <w:numId w:val="51"/>
        </w:numPr>
        <w:spacing w:before="120" w:after="120"/>
        <w:contextualSpacing w:val="0"/>
        <w:rPr>
          <w:rFonts w:ascii="Arial" w:hAnsi="Arial" w:cs="Arial"/>
        </w:rPr>
      </w:pPr>
      <w:r w:rsidRPr="000C5A32">
        <w:rPr>
          <w:rFonts w:ascii="Arial" w:hAnsi="Arial" w:cs="Arial"/>
        </w:rPr>
        <w:t>F</w:t>
      </w:r>
      <w:r w:rsidR="00E1001C" w:rsidRPr="000C5A32">
        <w:rPr>
          <w:rFonts w:ascii="Arial" w:hAnsi="Arial" w:cs="Arial"/>
        </w:rPr>
        <w:t>or unsolicited adverse events</w:t>
      </w:r>
      <w:r w:rsidRPr="000C5A32">
        <w:rPr>
          <w:rFonts w:ascii="Arial" w:hAnsi="Arial" w:cs="Arial"/>
        </w:rPr>
        <w:t xml:space="preserve">, </w:t>
      </w:r>
      <w:r w:rsidR="00E1001C" w:rsidRPr="000C5A32">
        <w:rPr>
          <w:rFonts w:ascii="Arial" w:hAnsi="Arial" w:cs="Arial"/>
        </w:rPr>
        <w:t xml:space="preserve">28 days after each </w:t>
      </w:r>
      <w:r w:rsidR="002C59ED" w:rsidRPr="000C5A32">
        <w:rPr>
          <w:rFonts w:ascii="Arial" w:hAnsi="Arial" w:cs="Arial"/>
        </w:rPr>
        <w:t>study injection</w:t>
      </w:r>
      <w:r w:rsidR="002749A0" w:rsidRPr="000C5A32">
        <w:rPr>
          <w:rFonts w:ascii="Arial" w:hAnsi="Arial" w:cs="Arial"/>
        </w:rPr>
        <w:t xml:space="preserve"> (Day 0-</w:t>
      </w:r>
      <w:r w:rsidR="00E33604" w:rsidRPr="000C5A32">
        <w:rPr>
          <w:rFonts w:ascii="Arial" w:hAnsi="Arial" w:cs="Arial"/>
        </w:rPr>
        <w:t>28 and Day 56-</w:t>
      </w:r>
      <w:r w:rsidR="002749A0" w:rsidRPr="000C5A32">
        <w:rPr>
          <w:rFonts w:ascii="Arial" w:hAnsi="Arial" w:cs="Arial"/>
        </w:rPr>
        <w:t>84</w:t>
      </w:r>
      <w:r w:rsidR="00357766">
        <w:rPr>
          <w:rFonts w:ascii="Arial" w:hAnsi="Arial" w:cs="Arial"/>
        </w:rPr>
        <w:t xml:space="preserve"> for Cohorts 1 and 2, and </w:t>
      </w:r>
      <w:r w:rsidR="00357766" w:rsidRPr="000C5A32">
        <w:rPr>
          <w:rFonts w:ascii="Arial" w:hAnsi="Arial" w:cs="Arial"/>
        </w:rPr>
        <w:t>Day 0-2</w:t>
      </w:r>
      <w:r w:rsidR="00357766">
        <w:rPr>
          <w:rFonts w:ascii="Arial" w:hAnsi="Arial" w:cs="Arial"/>
        </w:rPr>
        <w:t>7, Day 28-55</w:t>
      </w:r>
      <w:r w:rsidR="00357766" w:rsidRPr="000C5A32">
        <w:rPr>
          <w:rFonts w:ascii="Arial" w:hAnsi="Arial" w:cs="Arial"/>
        </w:rPr>
        <w:t xml:space="preserve"> and Day 56-84</w:t>
      </w:r>
      <w:r w:rsidR="00357766">
        <w:rPr>
          <w:rFonts w:ascii="Arial" w:hAnsi="Arial" w:cs="Arial"/>
        </w:rPr>
        <w:t xml:space="preserve"> for Cohort 3 </w:t>
      </w:r>
      <w:r w:rsidR="002749A0" w:rsidRPr="000C5A32">
        <w:rPr>
          <w:rFonts w:ascii="Arial" w:hAnsi="Arial" w:cs="Arial"/>
        </w:rPr>
        <w:t>)</w:t>
      </w:r>
      <w:r w:rsidR="00E1001C" w:rsidRPr="000C5A32">
        <w:rPr>
          <w:rFonts w:ascii="Arial" w:hAnsi="Arial" w:cs="Arial"/>
        </w:rPr>
        <w:t xml:space="preserve">; </w:t>
      </w:r>
    </w:p>
    <w:p w14:paraId="5E897DEB" w14:textId="13162FFC" w:rsidR="000E50BB" w:rsidRPr="000C5A32" w:rsidRDefault="000E50BB" w:rsidP="000C5A32">
      <w:pPr>
        <w:pStyle w:val="ListParagraph"/>
        <w:numPr>
          <w:ilvl w:val="0"/>
          <w:numId w:val="51"/>
        </w:numPr>
        <w:spacing w:before="120" w:after="120"/>
        <w:contextualSpacing w:val="0"/>
        <w:rPr>
          <w:rFonts w:ascii="Arial" w:hAnsi="Arial" w:cs="Arial"/>
        </w:rPr>
      </w:pPr>
      <w:r w:rsidRPr="000C5A32">
        <w:rPr>
          <w:rFonts w:ascii="Arial" w:hAnsi="Arial" w:cs="Arial"/>
        </w:rPr>
        <w:t>F</w:t>
      </w:r>
      <w:r w:rsidR="00E1001C" w:rsidRPr="000C5A32">
        <w:rPr>
          <w:rFonts w:ascii="Arial" w:hAnsi="Arial" w:cs="Arial"/>
        </w:rPr>
        <w:t xml:space="preserve">or solicited adverse events, 7 days after each </w:t>
      </w:r>
      <w:r w:rsidR="002C59ED" w:rsidRPr="000C5A32">
        <w:rPr>
          <w:rFonts w:ascii="Arial" w:hAnsi="Arial" w:cs="Arial"/>
        </w:rPr>
        <w:t>study injection</w:t>
      </w:r>
      <w:r w:rsidR="002749A0" w:rsidRPr="000C5A32">
        <w:rPr>
          <w:rFonts w:ascii="Arial" w:hAnsi="Arial" w:cs="Arial"/>
        </w:rPr>
        <w:t xml:space="preserve"> (Day 0-7</w:t>
      </w:r>
      <w:r w:rsidR="000C5A32">
        <w:rPr>
          <w:rFonts w:ascii="Arial" w:hAnsi="Arial" w:cs="Arial"/>
        </w:rPr>
        <w:t xml:space="preserve"> and </w:t>
      </w:r>
      <w:r w:rsidR="002749A0" w:rsidRPr="000C5A32">
        <w:rPr>
          <w:rFonts w:ascii="Arial" w:hAnsi="Arial" w:cs="Arial"/>
        </w:rPr>
        <w:t>Day 56-63</w:t>
      </w:r>
      <w:r w:rsidR="008804B0">
        <w:rPr>
          <w:rFonts w:ascii="Arial" w:hAnsi="Arial" w:cs="Arial"/>
        </w:rPr>
        <w:t xml:space="preserve"> for Cohorts 1 and 2, and </w:t>
      </w:r>
      <w:r w:rsidR="008804B0" w:rsidRPr="000C5A32">
        <w:rPr>
          <w:rFonts w:ascii="Arial" w:hAnsi="Arial" w:cs="Arial"/>
        </w:rPr>
        <w:t>Day 0-7</w:t>
      </w:r>
      <w:r w:rsidR="008804B0">
        <w:rPr>
          <w:rFonts w:ascii="Arial" w:hAnsi="Arial" w:cs="Arial"/>
        </w:rPr>
        <w:t xml:space="preserve">, Day 28-35 and </w:t>
      </w:r>
      <w:r w:rsidR="008804B0" w:rsidRPr="000C5A32">
        <w:rPr>
          <w:rFonts w:ascii="Arial" w:hAnsi="Arial" w:cs="Arial"/>
        </w:rPr>
        <w:t>Day 56-63</w:t>
      </w:r>
      <w:r w:rsidR="008804B0">
        <w:rPr>
          <w:rFonts w:ascii="Arial" w:hAnsi="Arial" w:cs="Arial"/>
        </w:rPr>
        <w:t xml:space="preserve"> for Cohort 3</w:t>
      </w:r>
      <w:r w:rsidR="002749A0" w:rsidRPr="000C5A32">
        <w:rPr>
          <w:rFonts w:ascii="Arial" w:hAnsi="Arial" w:cs="Arial"/>
        </w:rPr>
        <w:t>)</w:t>
      </w:r>
      <w:r w:rsidR="00E1001C" w:rsidRPr="000C5A32">
        <w:rPr>
          <w:rFonts w:ascii="Arial" w:hAnsi="Arial" w:cs="Arial"/>
        </w:rPr>
        <w:t xml:space="preserve">; and </w:t>
      </w:r>
    </w:p>
    <w:p w14:paraId="47C57D3B" w14:textId="21EDD1BF" w:rsidR="00E1001C" w:rsidRPr="000C5A32" w:rsidRDefault="000E50BB" w:rsidP="000C5A32">
      <w:pPr>
        <w:pStyle w:val="ListParagraph"/>
        <w:numPr>
          <w:ilvl w:val="0"/>
          <w:numId w:val="51"/>
        </w:numPr>
        <w:spacing w:before="120" w:after="120"/>
        <w:contextualSpacing w:val="0"/>
        <w:rPr>
          <w:rFonts w:ascii="Arial" w:hAnsi="Arial" w:cs="Arial"/>
        </w:rPr>
      </w:pPr>
      <w:r w:rsidRPr="000C5A32">
        <w:rPr>
          <w:rFonts w:ascii="Arial" w:hAnsi="Arial" w:cs="Arial"/>
        </w:rPr>
        <w:t>F</w:t>
      </w:r>
      <w:r w:rsidR="00E1001C" w:rsidRPr="000C5A32">
        <w:rPr>
          <w:rFonts w:ascii="Arial" w:hAnsi="Arial" w:cs="Arial"/>
        </w:rPr>
        <w:t xml:space="preserve">or </w:t>
      </w:r>
      <w:r w:rsidR="002F4CA3" w:rsidRPr="000C5A32">
        <w:rPr>
          <w:rFonts w:ascii="Arial" w:hAnsi="Arial" w:cs="Arial"/>
        </w:rPr>
        <w:t>SAE</w:t>
      </w:r>
      <w:r w:rsidR="00E1001C" w:rsidRPr="000C5A32">
        <w:rPr>
          <w:rFonts w:ascii="Arial" w:hAnsi="Arial" w:cs="Arial"/>
        </w:rPr>
        <w:t>s</w:t>
      </w:r>
      <w:r w:rsidRPr="000C5A32">
        <w:rPr>
          <w:rFonts w:ascii="Arial" w:hAnsi="Arial" w:cs="Arial"/>
        </w:rPr>
        <w:t xml:space="preserve"> and AESIs</w:t>
      </w:r>
      <w:r w:rsidR="00E1001C" w:rsidRPr="000C5A32">
        <w:rPr>
          <w:rFonts w:ascii="Arial" w:hAnsi="Arial" w:cs="Arial"/>
        </w:rPr>
        <w:t>, from Day 0 until end of study.</w:t>
      </w:r>
    </w:p>
    <w:p w14:paraId="7B422E48" w14:textId="454A9538" w:rsidR="00A97A86" w:rsidRDefault="002F4CA3" w:rsidP="000C5A32">
      <w:pPr>
        <w:spacing w:before="120" w:after="120" w:line="276" w:lineRule="auto"/>
      </w:pPr>
      <w:r w:rsidRPr="00FA5477">
        <w:t>A</w:t>
      </w:r>
      <w:r w:rsidR="00A97A86" w:rsidRPr="00FA5477">
        <w:t xml:space="preserve">cute injection site reactogenicity and specific </w:t>
      </w:r>
      <w:r w:rsidR="007465A9" w:rsidRPr="00FA5477">
        <w:t xml:space="preserve">solicited </w:t>
      </w:r>
      <w:r w:rsidR="00A97A86" w:rsidRPr="00FA5477">
        <w:t>systemic reactions will be assessed at 30 minutes, 3 d</w:t>
      </w:r>
      <w:r w:rsidR="00A97A86" w:rsidRPr="00AF69D5">
        <w:t>ays, an</w:t>
      </w:r>
      <w:r w:rsidR="00A97A86" w:rsidRPr="00017D2A">
        <w:t>d 7 days following each study injection. Assessment will include local site of injection reactions (pain, induration, and erythema) and systemic symptoms (</w:t>
      </w:r>
      <w:r w:rsidR="00D73656">
        <w:t>arthralgia, chills, nausea, fever, fatigue, myalgia</w:t>
      </w:r>
      <w:r w:rsidR="00A97A86" w:rsidRPr="00017D2A">
        <w:t xml:space="preserve">). </w:t>
      </w:r>
    </w:p>
    <w:p w14:paraId="6BFB2562" w14:textId="1D1C24C6" w:rsidR="00A97A86" w:rsidRDefault="00A97A86" w:rsidP="000C5A32">
      <w:pPr>
        <w:spacing w:before="120" w:after="120" w:line="276" w:lineRule="auto"/>
      </w:pPr>
      <w:r w:rsidRPr="00E47D10">
        <w:t>Local reactions will be graded as adverse events following the grading scale provided in</w:t>
      </w:r>
      <w:r w:rsidR="007465A9">
        <w:t xml:space="preserve"> </w:t>
      </w:r>
      <w:r w:rsidR="005E13C1" w:rsidRPr="00276ADA">
        <w:rPr>
          <w:color w:val="0000FF"/>
        </w:rPr>
        <w:fldChar w:fldCharType="begin"/>
      </w:r>
      <w:r w:rsidR="005E13C1" w:rsidRPr="00276ADA">
        <w:rPr>
          <w:color w:val="0000FF"/>
        </w:rPr>
        <w:instrText xml:space="preserve"> REF  _Ref387344380 \h  \* MERGEFORMAT </w:instrText>
      </w:r>
      <w:r w:rsidR="005E13C1" w:rsidRPr="00276ADA">
        <w:rPr>
          <w:color w:val="0000FF"/>
        </w:rPr>
      </w:r>
      <w:r w:rsidR="005E13C1" w:rsidRPr="00276ADA">
        <w:rPr>
          <w:color w:val="0000FF"/>
        </w:rPr>
        <w:fldChar w:fldCharType="separate"/>
      </w:r>
      <w:r w:rsidR="00024E24" w:rsidRPr="00024E24">
        <w:rPr>
          <w:color w:val="0000FF"/>
          <w:szCs w:val="22"/>
        </w:rPr>
        <w:t xml:space="preserve">Appendix </w:t>
      </w:r>
      <w:r w:rsidR="00024E24" w:rsidRPr="00024E24">
        <w:rPr>
          <w:caps/>
          <w:noProof/>
          <w:color w:val="0000FF"/>
          <w:szCs w:val="22"/>
        </w:rPr>
        <w:t>5</w:t>
      </w:r>
      <w:r w:rsidR="005E13C1" w:rsidRPr="00276ADA">
        <w:rPr>
          <w:color w:val="0000FF"/>
        </w:rPr>
        <w:fldChar w:fldCharType="end"/>
      </w:r>
      <w:r w:rsidRPr="005E13C1">
        <w:t xml:space="preserve"> , </w:t>
      </w:r>
      <w:r w:rsidR="002F4CA3" w:rsidRPr="005E13C1">
        <w:t>solicited systemic reaction</w:t>
      </w:r>
      <w:r w:rsidR="002E0203" w:rsidRPr="005E13C1">
        <w:t>s</w:t>
      </w:r>
      <w:r w:rsidR="002F4CA3" w:rsidRPr="005E13C1">
        <w:t xml:space="preserve"> </w:t>
      </w:r>
      <w:r w:rsidR="007465A9" w:rsidRPr="005E13C1">
        <w:t xml:space="preserve">will be graded according to the FDA AE Grading Table shown in </w:t>
      </w:r>
      <w:r w:rsidR="005E13C1" w:rsidRPr="00276ADA">
        <w:rPr>
          <w:color w:val="0000FF"/>
        </w:rPr>
        <w:fldChar w:fldCharType="begin"/>
      </w:r>
      <w:r w:rsidR="005E13C1" w:rsidRPr="00276ADA">
        <w:rPr>
          <w:color w:val="0000FF"/>
        </w:rPr>
        <w:instrText xml:space="preserve"> REF  _Ref387344402 \h  \* MERGEFORMAT </w:instrText>
      </w:r>
      <w:r w:rsidR="005E13C1" w:rsidRPr="00276ADA">
        <w:rPr>
          <w:color w:val="0000FF"/>
        </w:rPr>
      </w:r>
      <w:r w:rsidR="005E13C1" w:rsidRPr="00276ADA">
        <w:rPr>
          <w:color w:val="0000FF"/>
        </w:rPr>
        <w:fldChar w:fldCharType="separate"/>
      </w:r>
      <w:r w:rsidR="00024E24" w:rsidRPr="00024E24">
        <w:rPr>
          <w:color w:val="0000FF"/>
          <w:szCs w:val="22"/>
        </w:rPr>
        <w:t xml:space="preserve">Appendix </w:t>
      </w:r>
      <w:r w:rsidR="00024E24" w:rsidRPr="00024E24">
        <w:rPr>
          <w:caps/>
          <w:noProof/>
          <w:color w:val="0000FF"/>
          <w:szCs w:val="22"/>
        </w:rPr>
        <w:t>6</w:t>
      </w:r>
      <w:r w:rsidR="005E13C1" w:rsidRPr="00276ADA">
        <w:rPr>
          <w:color w:val="0000FF"/>
        </w:rPr>
        <w:fldChar w:fldCharType="end"/>
      </w:r>
      <w:r w:rsidR="00846E4D" w:rsidRPr="005E13C1">
        <w:t xml:space="preserve"> </w:t>
      </w:r>
      <w:r w:rsidRPr="005E13C1">
        <w:t xml:space="preserve">and clinical and laboratory AEs will be graded following the </w:t>
      </w:r>
      <w:r w:rsidR="00D5423C" w:rsidRPr="005E13C1">
        <w:t xml:space="preserve">FDA </w:t>
      </w:r>
      <w:r w:rsidR="00AF69D5" w:rsidRPr="005E13C1">
        <w:t>Tox</w:t>
      </w:r>
      <w:r w:rsidR="00FE091C" w:rsidRPr="005E13C1">
        <w:t>icity</w:t>
      </w:r>
      <w:r w:rsidR="00AF69D5" w:rsidRPr="005E13C1">
        <w:t xml:space="preserve"> Table</w:t>
      </w:r>
      <w:r w:rsidR="00FE091C" w:rsidRPr="005E13C1">
        <w:t xml:space="preserve">s shown in </w:t>
      </w:r>
      <w:r w:rsidR="005E13C1" w:rsidRPr="00276ADA">
        <w:rPr>
          <w:color w:val="0000FF"/>
        </w:rPr>
        <w:fldChar w:fldCharType="begin"/>
      </w:r>
      <w:r w:rsidR="005E13C1" w:rsidRPr="00276ADA">
        <w:rPr>
          <w:color w:val="0000FF"/>
        </w:rPr>
        <w:instrText xml:space="preserve"> REF  _Ref387344434 \h  \* MERGEFORMAT </w:instrText>
      </w:r>
      <w:r w:rsidR="005E13C1" w:rsidRPr="00276ADA">
        <w:rPr>
          <w:color w:val="0000FF"/>
        </w:rPr>
      </w:r>
      <w:r w:rsidR="005E13C1" w:rsidRPr="00276ADA">
        <w:rPr>
          <w:color w:val="0000FF"/>
        </w:rPr>
        <w:fldChar w:fldCharType="separate"/>
      </w:r>
      <w:r w:rsidR="00024E24" w:rsidRPr="00024E24">
        <w:rPr>
          <w:color w:val="0000FF"/>
          <w:szCs w:val="22"/>
        </w:rPr>
        <w:t xml:space="preserve">Appendix </w:t>
      </w:r>
      <w:r w:rsidR="00024E24" w:rsidRPr="00024E24">
        <w:rPr>
          <w:caps/>
          <w:noProof/>
          <w:color w:val="0000FF"/>
          <w:szCs w:val="22"/>
        </w:rPr>
        <w:t>4</w:t>
      </w:r>
      <w:r w:rsidR="005E13C1" w:rsidRPr="00276ADA">
        <w:rPr>
          <w:color w:val="0000FF"/>
        </w:rPr>
        <w:fldChar w:fldCharType="end"/>
      </w:r>
      <w:r w:rsidR="00FE091C" w:rsidRPr="005E13C1">
        <w:t xml:space="preserve">, </w:t>
      </w:r>
      <w:r w:rsidR="005E13C1" w:rsidRPr="00276ADA">
        <w:rPr>
          <w:color w:val="0000FF"/>
        </w:rPr>
        <w:fldChar w:fldCharType="begin"/>
      </w:r>
      <w:r w:rsidR="005E13C1" w:rsidRPr="00276ADA">
        <w:rPr>
          <w:color w:val="0000FF"/>
        </w:rPr>
        <w:instrText xml:space="preserve"> REF  _Ref387344402 \h  \* MERGEFORMAT </w:instrText>
      </w:r>
      <w:r w:rsidR="005E13C1" w:rsidRPr="00276ADA">
        <w:rPr>
          <w:color w:val="0000FF"/>
        </w:rPr>
      </w:r>
      <w:r w:rsidR="005E13C1" w:rsidRPr="00276ADA">
        <w:rPr>
          <w:color w:val="0000FF"/>
        </w:rPr>
        <w:fldChar w:fldCharType="separate"/>
      </w:r>
      <w:r w:rsidR="00024E24" w:rsidRPr="00024E24">
        <w:rPr>
          <w:color w:val="0000FF"/>
          <w:szCs w:val="22"/>
        </w:rPr>
        <w:t xml:space="preserve">Appendix </w:t>
      </w:r>
      <w:r w:rsidR="00024E24" w:rsidRPr="00024E24">
        <w:rPr>
          <w:caps/>
          <w:noProof/>
          <w:color w:val="0000FF"/>
          <w:szCs w:val="22"/>
        </w:rPr>
        <w:t>6</w:t>
      </w:r>
      <w:r w:rsidR="005E13C1" w:rsidRPr="00276ADA">
        <w:rPr>
          <w:color w:val="0000FF"/>
        </w:rPr>
        <w:fldChar w:fldCharType="end"/>
      </w:r>
      <w:r w:rsidR="003F0938" w:rsidRPr="005E13C1">
        <w:t>,</w:t>
      </w:r>
      <w:r w:rsidR="00FE091C" w:rsidRPr="005E13C1">
        <w:t xml:space="preserve"> and </w:t>
      </w:r>
      <w:r w:rsidR="005E13C1" w:rsidRPr="00276ADA">
        <w:rPr>
          <w:color w:val="0000FF"/>
        </w:rPr>
        <w:fldChar w:fldCharType="begin"/>
      </w:r>
      <w:r w:rsidR="005E13C1" w:rsidRPr="00276ADA">
        <w:rPr>
          <w:color w:val="0000FF"/>
        </w:rPr>
        <w:instrText xml:space="preserve"> REF  _Ref387344454 \h  \* MERGEFORMAT </w:instrText>
      </w:r>
      <w:r w:rsidR="005E13C1" w:rsidRPr="00276ADA">
        <w:rPr>
          <w:color w:val="0000FF"/>
        </w:rPr>
      </w:r>
      <w:r w:rsidR="005E13C1" w:rsidRPr="00276ADA">
        <w:rPr>
          <w:color w:val="0000FF"/>
        </w:rPr>
        <w:fldChar w:fldCharType="separate"/>
      </w:r>
      <w:r w:rsidR="00024E24" w:rsidRPr="00024E24">
        <w:rPr>
          <w:color w:val="0000FF"/>
          <w:szCs w:val="22"/>
        </w:rPr>
        <w:t xml:space="preserve">Appendix </w:t>
      </w:r>
      <w:r w:rsidR="00024E24" w:rsidRPr="00024E24">
        <w:rPr>
          <w:caps/>
          <w:noProof/>
          <w:color w:val="0000FF"/>
          <w:szCs w:val="22"/>
        </w:rPr>
        <w:t>7</w:t>
      </w:r>
      <w:r w:rsidR="005E13C1" w:rsidRPr="00276ADA">
        <w:rPr>
          <w:color w:val="0000FF"/>
        </w:rPr>
        <w:fldChar w:fldCharType="end"/>
      </w:r>
      <w:r w:rsidRPr="005E13C1">
        <w:t>, and their relationship to study injection assessed based on the</w:t>
      </w:r>
      <w:r w:rsidRPr="00E47D10">
        <w:t xml:space="preserve"> clinical judgment of the study clinician according to protocol definitions</w:t>
      </w:r>
      <w:r w:rsidR="00AA6DD0" w:rsidRPr="00E47D10">
        <w:t xml:space="preserve"> described below in </w:t>
      </w:r>
      <w:r w:rsidR="000C5A32">
        <w:t>S</w:t>
      </w:r>
      <w:r w:rsidR="00AA6DD0" w:rsidRPr="00E47D10">
        <w:t>ection</w:t>
      </w:r>
      <w:r w:rsidR="00FE091C" w:rsidRPr="00E47D10">
        <w:t xml:space="preserve"> </w:t>
      </w:r>
      <w:r w:rsidR="00AA6DD0" w:rsidRPr="00276ADA">
        <w:rPr>
          <w:color w:val="0000FF"/>
        </w:rPr>
        <w:fldChar w:fldCharType="begin"/>
      </w:r>
      <w:r w:rsidR="00AA6DD0" w:rsidRPr="00276ADA">
        <w:rPr>
          <w:color w:val="0000FF"/>
        </w:rPr>
        <w:instrText xml:space="preserve"> REF _Ref376862329 \r \h </w:instrText>
      </w:r>
      <w:r w:rsidR="00E47D10" w:rsidRPr="00276ADA">
        <w:rPr>
          <w:color w:val="0000FF"/>
        </w:rPr>
        <w:instrText xml:space="preserve"> \* MERGEFORMAT </w:instrText>
      </w:r>
      <w:r w:rsidR="00AA6DD0" w:rsidRPr="00276ADA">
        <w:rPr>
          <w:color w:val="0000FF"/>
        </w:rPr>
      </w:r>
      <w:r w:rsidR="00AA6DD0" w:rsidRPr="00276ADA">
        <w:rPr>
          <w:color w:val="0000FF"/>
        </w:rPr>
        <w:fldChar w:fldCharType="separate"/>
      </w:r>
      <w:r w:rsidR="00024E24">
        <w:rPr>
          <w:color w:val="0000FF"/>
        </w:rPr>
        <w:t>9.3.3</w:t>
      </w:r>
      <w:r w:rsidR="00AA6DD0" w:rsidRPr="00276ADA">
        <w:rPr>
          <w:color w:val="0000FF"/>
        </w:rPr>
        <w:fldChar w:fldCharType="end"/>
      </w:r>
      <w:r w:rsidR="00AA6DD0" w:rsidRPr="00E47D10">
        <w:t xml:space="preserve"> </w:t>
      </w:r>
      <w:r w:rsidRPr="00E47D10">
        <w:t>.</w:t>
      </w:r>
      <w:r w:rsidRPr="00017D2A">
        <w:t xml:space="preserve"> </w:t>
      </w:r>
    </w:p>
    <w:p w14:paraId="589F2B3E" w14:textId="4BC43FC8" w:rsidR="00A97A86" w:rsidRDefault="007465A9" w:rsidP="000C5A32">
      <w:pPr>
        <w:spacing w:before="120" w:after="120" w:line="276" w:lineRule="auto"/>
      </w:pPr>
      <w:r>
        <w:t>S</w:t>
      </w:r>
      <w:r w:rsidR="00A97A86" w:rsidRPr="00017D2A">
        <w:t xml:space="preserve">ubjects reporting new onset or </w:t>
      </w:r>
      <w:r w:rsidR="00A97A86">
        <w:t xml:space="preserve">significant </w:t>
      </w:r>
      <w:r w:rsidR="00A97A86" w:rsidRPr="00017D2A">
        <w:t>worsening of existing respiratory symptoms, including</w:t>
      </w:r>
      <w:r w:rsidR="00A97A86">
        <w:t>,</w:t>
      </w:r>
      <w:r w:rsidR="00A97A86" w:rsidRPr="00017D2A">
        <w:t xml:space="preserve"> but not limited to persistent </w:t>
      </w:r>
      <w:r w:rsidR="00AA6DD0">
        <w:t xml:space="preserve">[14 days or longer] </w:t>
      </w:r>
      <w:r w:rsidR="00A97A86" w:rsidRPr="00017D2A">
        <w:t xml:space="preserve">and/or productive cough, shortness of breath, or wheeze, in the </w:t>
      </w:r>
      <w:r w:rsidR="00567485">
        <w:t>224</w:t>
      </w:r>
      <w:r w:rsidR="0017455B">
        <w:t xml:space="preserve"> </w:t>
      </w:r>
      <w:r w:rsidR="00A97A86" w:rsidRPr="00017D2A">
        <w:t>days following first study injection will undergo repeat chest radiography. Additional investigations, including, but not limited to chest CT scan and pulmonary function testing may be requested at the discretion of the attending clinician, based upon clinical and radiological assessment.</w:t>
      </w:r>
    </w:p>
    <w:p w14:paraId="6F137F33" w14:textId="2E2C0C28" w:rsidR="00A97A86" w:rsidRDefault="00A97A86" w:rsidP="000C5A32">
      <w:pPr>
        <w:spacing w:before="120" w:after="120" w:line="276" w:lineRule="auto"/>
      </w:pPr>
      <w:r w:rsidRPr="00A97A86">
        <w:t>For all subjects, unsolicited</w:t>
      </w:r>
      <w:r w:rsidRPr="00017D2A">
        <w:t xml:space="preserve"> adverse events will be obtained by retrosp</w:t>
      </w:r>
      <w:r>
        <w:t xml:space="preserve">ective review </w:t>
      </w:r>
      <w:r w:rsidRPr="00017D2A">
        <w:t>at clinic visits and/or field visits. All unsolicited adverse events will be collected for 28 days following each study injection (Days 0</w:t>
      </w:r>
      <w:r w:rsidR="000C5A32">
        <w:t>-28 and Days 56-</w:t>
      </w:r>
      <w:r w:rsidR="005E6C23">
        <w:t>84</w:t>
      </w:r>
      <w:r w:rsidR="004323F2">
        <w:t xml:space="preserve"> </w:t>
      </w:r>
      <w:r w:rsidR="004323F2">
        <w:rPr>
          <w:rFonts w:cs="Arial"/>
        </w:rPr>
        <w:t xml:space="preserve">for Cohorts 1 and 2, and </w:t>
      </w:r>
      <w:r w:rsidR="004323F2" w:rsidRPr="000C5A32">
        <w:rPr>
          <w:rFonts w:cs="Arial"/>
        </w:rPr>
        <w:t>Day 0-2</w:t>
      </w:r>
      <w:r w:rsidR="004323F2">
        <w:rPr>
          <w:rFonts w:cs="Arial"/>
        </w:rPr>
        <w:t>7, Day 28-55</w:t>
      </w:r>
      <w:r w:rsidR="004323F2" w:rsidRPr="000C5A32">
        <w:rPr>
          <w:rFonts w:cs="Arial"/>
        </w:rPr>
        <w:t xml:space="preserve"> and Day 56-84</w:t>
      </w:r>
      <w:r w:rsidR="004323F2">
        <w:rPr>
          <w:rFonts w:cs="Arial"/>
        </w:rPr>
        <w:t xml:space="preserve"> for Cohort 3</w:t>
      </w:r>
      <w:r w:rsidRPr="00017D2A">
        <w:t xml:space="preserve">). </w:t>
      </w:r>
    </w:p>
    <w:p w14:paraId="5DB77735" w14:textId="6F5DC4DD" w:rsidR="00A97A86" w:rsidRPr="00E1001C" w:rsidRDefault="00A97A86" w:rsidP="000C5A32">
      <w:pPr>
        <w:spacing w:before="120" w:after="120" w:line="276" w:lineRule="auto"/>
      </w:pPr>
      <w:r w:rsidRPr="00017D2A">
        <w:t xml:space="preserve">During the follow-up period after Day </w:t>
      </w:r>
      <w:r w:rsidR="00846E4D">
        <w:t>84</w:t>
      </w:r>
      <w:r w:rsidRPr="00017D2A">
        <w:t xml:space="preserve">, serious adverse events (SAEs) and adverse events of special interest (AESIs) will continue to be collected. AESIs are a predefined list of disorders of possible or known autoimmune etiology that are required of clinical trials involving vaccines with </w:t>
      </w:r>
      <w:r w:rsidRPr="000C5A32">
        <w:t>novel adjuvants</w:t>
      </w:r>
      <w:r w:rsidR="00AA6DD0" w:rsidRPr="000C5A32">
        <w:t xml:space="preserve"> (see </w:t>
      </w:r>
      <w:r w:rsidR="005E13C1" w:rsidRPr="00276ADA">
        <w:rPr>
          <w:color w:val="0000FF"/>
        </w:rPr>
        <w:fldChar w:fldCharType="begin"/>
      </w:r>
      <w:r w:rsidR="005E13C1" w:rsidRPr="00276ADA">
        <w:rPr>
          <w:color w:val="0000FF"/>
        </w:rPr>
        <w:instrText xml:space="preserve"> REF  _Ref387344923 \h  \* MERGEFORMAT </w:instrText>
      </w:r>
      <w:r w:rsidR="005E13C1" w:rsidRPr="00276ADA">
        <w:rPr>
          <w:color w:val="0000FF"/>
        </w:rPr>
      </w:r>
      <w:r w:rsidR="005E13C1" w:rsidRPr="00276ADA">
        <w:rPr>
          <w:color w:val="0000FF"/>
        </w:rPr>
        <w:fldChar w:fldCharType="separate"/>
      </w:r>
      <w:r w:rsidR="00024E24" w:rsidRPr="00024E24">
        <w:rPr>
          <w:color w:val="0000FF"/>
          <w:szCs w:val="22"/>
        </w:rPr>
        <w:t xml:space="preserve">Appendix </w:t>
      </w:r>
      <w:r w:rsidR="00024E24" w:rsidRPr="00024E24">
        <w:rPr>
          <w:caps/>
          <w:noProof/>
          <w:color w:val="0000FF"/>
          <w:szCs w:val="22"/>
        </w:rPr>
        <w:t>8</w:t>
      </w:r>
      <w:r w:rsidR="005E13C1" w:rsidRPr="00276ADA">
        <w:rPr>
          <w:color w:val="0000FF"/>
        </w:rPr>
        <w:fldChar w:fldCharType="end"/>
      </w:r>
      <w:r w:rsidR="00E33604" w:rsidRPr="000C5A32">
        <w:t xml:space="preserve"> </w:t>
      </w:r>
      <w:r w:rsidR="00AA6DD0" w:rsidRPr="000C5A32">
        <w:t>for the list of AESIs)</w:t>
      </w:r>
      <w:r w:rsidRPr="000C5A32">
        <w:t xml:space="preserve">. These unsolicited AESIs will be recorded </w:t>
      </w:r>
      <w:r w:rsidRPr="00017D2A">
        <w:t xml:space="preserve">and reported in the same way as SAEs, regardless of their attributed relationship to study injections. </w:t>
      </w:r>
    </w:p>
    <w:p w14:paraId="2F3FFED7" w14:textId="77777777" w:rsidR="00F43682" w:rsidRDefault="00F43682" w:rsidP="00B46D6D">
      <w:pPr>
        <w:pStyle w:val="Heading2"/>
      </w:pPr>
      <w:bookmarkStart w:id="323" w:name="_Toc389130013"/>
      <w:bookmarkStart w:id="324" w:name="_Toc440906316"/>
      <w:bookmarkStart w:id="325" w:name="_Toc53202848"/>
      <w:bookmarkStart w:id="326" w:name="_Toc53202847"/>
      <w:r>
        <w:t>Adverse Events</w:t>
      </w:r>
      <w:bookmarkEnd w:id="323"/>
      <w:bookmarkEnd w:id="324"/>
    </w:p>
    <w:p w14:paraId="398EED36" w14:textId="3B2EFCD2" w:rsidR="00333DE2" w:rsidRDefault="00333DE2" w:rsidP="009E0AB3">
      <w:pPr>
        <w:pStyle w:val="Heading3"/>
      </w:pPr>
      <w:bookmarkStart w:id="327" w:name="_Ref377580938"/>
      <w:bookmarkStart w:id="328" w:name="_Toc389130014"/>
      <w:bookmarkStart w:id="329" w:name="_Toc440906317"/>
      <w:r>
        <w:t>Definitions</w:t>
      </w:r>
      <w:bookmarkEnd w:id="327"/>
      <w:bookmarkEnd w:id="328"/>
      <w:bookmarkEnd w:id="329"/>
    </w:p>
    <w:p w14:paraId="76AF6E97" w14:textId="23870FF4" w:rsidR="00E1001C" w:rsidRDefault="006855F1" w:rsidP="001A31CA">
      <w:pPr>
        <w:spacing w:before="180" w:after="180" w:line="276" w:lineRule="auto"/>
      </w:pPr>
      <w:r w:rsidRPr="006855F1">
        <w:rPr>
          <w:b/>
          <w:i/>
        </w:rPr>
        <w:t>Adverse Event:</w:t>
      </w:r>
      <w:r w:rsidRPr="006855F1">
        <w:t xml:space="preserve"> </w:t>
      </w:r>
      <w:r w:rsidR="00E1001C" w:rsidRPr="00E1001C">
        <w:t xml:space="preserve">Adverse event means any untoward medical occurrence associated with the use of a drug in humans, whether or not considered drug </w:t>
      </w:r>
      <w:r>
        <w:t>or study injection</w:t>
      </w:r>
      <w:r w:rsidRPr="00E1001C">
        <w:t xml:space="preserve"> </w:t>
      </w:r>
      <w:r w:rsidR="00E1001C" w:rsidRPr="00E1001C">
        <w:t>related. An adverse event (also referred to as an adverse experience) can be any unfavorable and unintended sign (e.g., an abnormal laboratory finding), symptom, or disease temporally associated with the use of a drug, and does not imply any judgment about causality. An adverse event can arise with any use of the drug (e.g., off-label use, use in combination with another drug) and with any route of administration, formulation, or dose, including an overdose.</w:t>
      </w:r>
    </w:p>
    <w:p w14:paraId="4332A033" w14:textId="77777777" w:rsidR="00E1001C" w:rsidRDefault="00E1001C" w:rsidP="001A31CA">
      <w:pPr>
        <w:spacing w:before="180" w:after="180" w:line="276" w:lineRule="auto"/>
      </w:pPr>
      <w:r w:rsidRPr="00E1001C">
        <w:t>All conditions that exist prior to administration of the study injection (pre-existing conditions) will be recorded in the participant’s medical history to establish baseline. Day-to-day fluctuations in pre-existing conditions that do not represent a clinically significant change in the participant’s status will not necessarily be reported as adverse events.</w:t>
      </w:r>
    </w:p>
    <w:p w14:paraId="58A13F03" w14:textId="683A6134" w:rsidR="007D1EEA" w:rsidRDefault="00E1001C" w:rsidP="001A31CA">
      <w:pPr>
        <w:spacing w:before="180" w:after="180" w:line="276" w:lineRule="auto"/>
      </w:pPr>
      <w:r w:rsidRPr="00E1001C">
        <w:t>Any adverse change from the participant’s baseline condition (determined from screening evaluations conducted to confirm study eligibility) that occurs following the administration of the study injection will be considered an adverse event. This includes the occurrence of a new adverse event or the worsening of a baseline condition, whether or not considered related to the study injection. Intermittent conditions such as headaches may be present on Study Day 0</w:t>
      </w:r>
      <w:r>
        <w:t>,</w:t>
      </w:r>
      <w:r w:rsidRPr="00E1001C">
        <w:t xml:space="preserve"> but may represent an adverse event if the </w:t>
      </w:r>
      <w:r w:rsidR="008E3619">
        <w:t xml:space="preserve">frequency, </w:t>
      </w:r>
      <w:r w:rsidRPr="00E1001C">
        <w:t>intensity or duration of the event is worse than usual following receipt of study injection. Adverse events include but are not limited to: adverse changes from baseline that represent increases in toxicity grade according</w:t>
      </w:r>
      <w:r w:rsidR="007D1EEA">
        <w:t xml:space="preserve"> to the Toxicity Table (see protocol appendices), adverse changes in the general condition of the participant, signs and symptoms noted by the participant, concomitant disease with onset or increased severity after study injection administration, and changes in laboratory safety parameters occurring after study injection administration.</w:t>
      </w:r>
    </w:p>
    <w:p w14:paraId="1E4AA1CC" w14:textId="77777777" w:rsidR="006855F1" w:rsidRPr="006855F1" w:rsidRDefault="006855F1" w:rsidP="001A31CA">
      <w:pPr>
        <w:spacing w:before="180" w:after="180" w:line="276" w:lineRule="auto"/>
      </w:pPr>
      <w:r w:rsidRPr="006855F1">
        <w:rPr>
          <w:iCs/>
        </w:rPr>
        <w:t>A</w:t>
      </w:r>
      <w:r w:rsidRPr="006855F1">
        <w:rPr>
          <w:i/>
          <w:iCs/>
        </w:rPr>
        <w:t xml:space="preserve"> </w:t>
      </w:r>
      <w:r w:rsidRPr="006855F1">
        <w:rPr>
          <w:b/>
          <w:i/>
          <w:iCs/>
        </w:rPr>
        <w:t>suspected adverse reaction</w:t>
      </w:r>
      <w:r w:rsidRPr="006855F1">
        <w:rPr>
          <w:i/>
          <w:iCs/>
        </w:rPr>
        <w:t xml:space="preserve"> </w:t>
      </w:r>
      <w:r w:rsidRPr="006855F1">
        <w:t xml:space="preserve">is any adverse event for which there is a </w:t>
      </w:r>
      <w:r w:rsidRPr="006855F1">
        <w:rPr>
          <w:i/>
        </w:rPr>
        <w:t>reasonable possibility</w:t>
      </w:r>
      <w:r w:rsidRPr="006855F1">
        <w:t xml:space="preserve"> that the study injection caused the event. Suspected adverse reactions are a subset of all adverse events. For example: headache or fever following study injection.</w:t>
      </w:r>
    </w:p>
    <w:p w14:paraId="302DCE93" w14:textId="2FE40CB3" w:rsidR="006855F1" w:rsidRPr="006855F1" w:rsidRDefault="006855F1" w:rsidP="001A31CA">
      <w:pPr>
        <w:spacing w:before="180" w:after="180" w:line="276" w:lineRule="auto"/>
      </w:pPr>
      <w:r w:rsidRPr="006855F1">
        <w:t xml:space="preserve">An </w:t>
      </w:r>
      <w:r w:rsidRPr="006855F1">
        <w:rPr>
          <w:b/>
          <w:i/>
        </w:rPr>
        <w:t>adverse reaction</w:t>
      </w:r>
      <w:r w:rsidRPr="006855F1">
        <w:t xml:space="preserve"> is any adverse event </w:t>
      </w:r>
      <w:r w:rsidRPr="006855F1">
        <w:rPr>
          <w:i/>
        </w:rPr>
        <w:t>definitely</w:t>
      </w:r>
      <w:r w:rsidRPr="006855F1">
        <w:t xml:space="preserve"> caused by the study injection. Adverse reactions are a subset of all suspected adverse reactions. For example: local site of injection erythema or </w:t>
      </w:r>
      <w:r w:rsidR="007428CA">
        <w:t>pain</w:t>
      </w:r>
      <w:r w:rsidR="007428CA" w:rsidRPr="006855F1">
        <w:t xml:space="preserve"> </w:t>
      </w:r>
      <w:r w:rsidRPr="006855F1">
        <w:t>at the site of injection.</w:t>
      </w:r>
    </w:p>
    <w:p w14:paraId="685AB178" w14:textId="6A56AECF" w:rsidR="006855F1" w:rsidRPr="006855F1" w:rsidRDefault="006855F1" w:rsidP="001A31CA">
      <w:pPr>
        <w:spacing w:before="180" w:after="180" w:line="276" w:lineRule="auto"/>
      </w:pPr>
      <w:r w:rsidRPr="006855F1">
        <w:rPr>
          <w:b/>
          <w:i/>
          <w:iCs/>
        </w:rPr>
        <w:t>Unexpected Adverse Event:</w:t>
      </w:r>
      <w:r w:rsidRPr="006855F1">
        <w:t xml:space="preserve"> An adverse event is considered “unexpected” if it is not listed in the </w:t>
      </w:r>
      <w:r w:rsidR="003F0938">
        <w:t>I</w:t>
      </w:r>
      <w:r w:rsidRPr="006855F1">
        <w:t>nvestigator</w:t>
      </w:r>
      <w:r w:rsidR="003F0938">
        <w:t>’s</w:t>
      </w:r>
      <w:r w:rsidRPr="006855F1">
        <w:t xml:space="preserve"> </w:t>
      </w:r>
      <w:r w:rsidR="003F0938">
        <w:t>B</w:t>
      </w:r>
      <w:r w:rsidRPr="006855F1">
        <w:t>rochure or is not listed at the specificity or severity that has been observed.</w:t>
      </w:r>
    </w:p>
    <w:p w14:paraId="7A574126" w14:textId="77777777" w:rsidR="006855F1" w:rsidRPr="006855F1" w:rsidRDefault="006855F1" w:rsidP="001A31CA">
      <w:pPr>
        <w:spacing w:before="180" w:after="180" w:line="276" w:lineRule="auto"/>
      </w:pPr>
      <w:r w:rsidRPr="006855F1">
        <w:rPr>
          <w:b/>
          <w:i/>
        </w:rPr>
        <w:t>Serious Adverse Event:</w:t>
      </w:r>
      <w:r w:rsidRPr="006855F1">
        <w:t xml:space="preserve"> An adverse event is considered to be a </w:t>
      </w:r>
      <w:r w:rsidRPr="006855F1">
        <w:rPr>
          <w:i/>
        </w:rPr>
        <w:t>serious</w:t>
      </w:r>
      <w:r w:rsidRPr="006855F1">
        <w:t xml:space="preserve"> adverse event (SAE) if, in the view of either the investigator or sponsor, it results in any of the following outcomes: </w:t>
      </w:r>
    </w:p>
    <w:p w14:paraId="006B58FA" w14:textId="77777777" w:rsidR="006855F1" w:rsidRPr="006855F1" w:rsidRDefault="006855F1" w:rsidP="001A31CA">
      <w:pPr>
        <w:numPr>
          <w:ilvl w:val="0"/>
          <w:numId w:val="38"/>
        </w:numPr>
        <w:spacing w:before="180" w:after="180" w:line="276" w:lineRule="auto"/>
      </w:pPr>
      <w:r w:rsidRPr="006855F1">
        <w:t>death,</w:t>
      </w:r>
    </w:p>
    <w:p w14:paraId="31412033" w14:textId="77777777" w:rsidR="006855F1" w:rsidRPr="006855F1" w:rsidRDefault="006855F1" w:rsidP="001A31CA">
      <w:pPr>
        <w:numPr>
          <w:ilvl w:val="0"/>
          <w:numId w:val="38"/>
        </w:numPr>
        <w:spacing w:before="180" w:after="180" w:line="276" w:lineRule="auto"/>
      </w:pPr>
      <w:r w:rsidRPr="006855F1">
        <w:t>a life-threatening adverse event,</w:t>
      </w:r>
    </w:p>
    <w:p w14:paraId="2A7D12E8" w14:textId="77777777" w:rsidR="006855F1" w:rsidRPr="006855F1" w:rsidRDefault="006855F1" w:rsidP="001A31CA">
      <w:pPr>
        <w:numPr>
          <w:ilvl w:val="0"/>
          <w:numId w:val="38"/>
        </w:numPr>
        <w:spacing w:before="180" w:after="180" w:line="276" w:lineRule="auto"/>
      </w:pPr>
      <w:r w:rsidRPr="006855F1">
        <w:t>inpatient hospitalization or prolongation of existing hospitalization,</w:t>
      </w:r>
    </w:p>
    <w:p w14:paraId="1B4B0D1C" w14:textId="77777777" w:rsidR="006855F1" w:rsidRPr="006855F1" w:rsidRDefault="006855F1" w:rsidP="001A31CA">
      <w:pPr>
        <w:numPr>
          <w:ilvl w:val="0"/>
          <w:numId w:val="38"/>
        </w:numPr>
        <w:spacing w:before="180" w:after="180" w:line="276" w:lineRule="auto"/>
      </w:pPr>
      <w:r w:rsidRPr="006855F1">
        <w:t xml:space="preserve">persistent or significant disability/incapacity or substantial disruption of the ability to conduct normal life functions, </w:t>
      </w:r>
    </w:p>
    <w:p w14:paraId="2942BD8F" w14:textId="77777777" w:rsidR="006855F1" w:rsidRPr="006855F1" w:rsidRDefault="006855F1" w:rsidP="001A31CA">
      <w:pPr>
        <w:numPr>
          <w:ilvl w:val="0"/>
          <w:numId w:val="38"/>
        </w:numPr>
        <w:spacing w:before="180" w:after="180" w:line="276" w:lineRule="auto"/>
      </w:pPr>
      <w:r w:rsidRPr="006855F1">
        <w:t>a congenital anomaly/birth defect in the offspring of a study subject.</w:t>
      </w:r>
    </w:p>
    <w:p w14:paraId="006ED2A2" w14:textId="77777777" w:rsidR="006855F1" w:rsidRPr="006855F1" w:rsidRDefault="006855F1" w:rsidP="001A31CA">
      <w:pPr>
        <w:spacing w:before="180" w:after="180" w:line="276" w:lineRule="auto"/>
      </w:pPr>
      <w:r w:rsidRPr="006855F1">
        <w:t>Important medical events that may not result in death, are not life-threatening, or do not require hospitalization may be considered an SAE when, based upon appropriate medical judgment, they may jeopardize the subject and may require medical or surgical intervention to prevent one of the outcomes listed in this definition. Examples of such medical events include allergic bronchospasm requiring intensive treatment in an emergency room or at home, blood dyscrasias or convulsions that do not result in inpatient hospitalization, or the development of drug dependency or drug abuse.</w:t>
      </w:r>
    </w:p>
    <w:p w14:paraId="36934B1C" w14:textId="77777777" w:rsidR="006855F1" w:rsidRPr="006855F1" w:rsidRDefault="006855F1" w:rsidP="001A31CA">
      <w:pPr>
        <w:spacing w:before="180" w:after="180" w:line="276" w:lineRule="auto"/>
      </w:pPr>
      <w:r w:rsidRPr="006855F1">
        <w:rPr>
          <w:b/>
        </w:rPr>
        <w:t>NOTE:</w:t>
      </w:r>
      <w:r w:rsidRPr="006855F1">
        <w:t xml:space="preserve"> A distinction should be drawn between serious and severe events. A severe event is a major experience of its type. A severe event does not necessarily need to be serious. For example, nausea, which persists for several hours, may be considered severe nausea but not a serious adverse event. On the other hand, a stroke that results in only a limited degree of disability may be considered a mild stroke but would be a serious adverse event.</w:t>
      </w:r>
    </w:p>
    <w:p w14:paraId="4BB5407C" w14:textId="77777777" w:rsidR="006855F1" w:rsidRPr="006855F1" w:rsidRDefault="006855F1" w:rsidP="001A31CA">
      <w:pPr>
        <w:spacing w:before="180" w:after="180" w:line="276" w:lineRule="auto"/>
      </w:pPr>
      <w:r w:rsidRPr="006855F1">
        <w:rPr>
          <w:b/>
          <w:i/>
          <w:iCs/>
        </w:rPr>
        <w:t>Life-threatening Event:</w:t>
      </w:r>
      <w:r w:rsidRPr="006855F1">
        <w:t xml:space="preserve"> An adverse event is considered “life-threatening” if, in the view of either the investigator or sponsor, its occurrence places the patient or subject at immediate risk of death. It does not include an adverse event that, had it occurred in a more severe form, might have caused death.</w:t>
      </w:r>
    </w:p>
    <w:p w14:paraId="0377B170" w14:textId="40F22BD3" w:rsidR="006855F1" w:rsidRPr="006855F1" w:rsidRDefault="006855F1" w:rsidP="001A31CA">
      <w:pPr>
        <w:spacing w:before="180" w:after="180" w:line="276" w:lineRule="auto"/>
      </w:pPr>
      <w:r w:rsidRPr="006855F1">
        <w:rPr>
          <w:b/>
          <w:i/>
        </w:rPr>
        <w:t>Adverse Events of Special Interest (AESIs)</w:t>
      </w:r>
      <w:r w:rsidRPr="006855F1">
        <w:rPr>
          <w:i/>
        </w:rPr>
        <w:t xml:space="preserve">: </w:t>
      </w:r>
      <w:r w:rsidRPr="006855F1">
        <w:t xml:space="preserve">FDA requires monitoring for specified known or suspected autoimmune disorders when testing novel adjuvants. AESIs will be recorded and reported in the same way as SAEs, regardless of their attributed relationship to study injections. AESIs consist of any of the diagnoses </w:t>
      </w:r>
      <w:r w:rsidR="002B237B">
        <w:t xml:space="preserve">listed in </w:t>
      </w:r>
      <w:r w:rsidR="005E13C1" w:rsidRPr="00276ADA">
        <w:rPr>
          <w:color w:val="0000FF"/>
        </w:rPr>
        <w:fldChar w:fldCharType="begin"/>
      </w:r>
      <w:r w:rsidR="005E13C1" w:rsidRPr="00276ADA">
        <w:rPr>
          <w:color w:val="0000FF"/>
        </w:rPr>
        <w:instrText xml:space="preserve"> REF  _Ref387344923 \h  \* MERGEFORMAT </w:instrText>
      </w:r>
      <w:r w:rsidR="005E13C1" w:rsidRPr="00276ADA">
        <w:rPr>
          <w:color w:val="0000FF"/>
        </w:rPr>
      </w:r>
      <w:r w:rsidR="005E13C1" w:rsidRPr="00276ADA">
        <w:rPr>
          <w:color w:val="0000FF"/>
        </w:rPr>
        <w:fldChar w:fldCharType="separate"/>
      </w:r>
      <w:r w:rsidR="00024E24" w:rsidRPr="00024E24">
        <w:rPr>
          <w:color w:val="0000FF"/>
          <w:szCs w:val="22"/>
        </w:rPr>
        <w:t xml:space="preserve">Appendix </w:t>
      </w:r>
      <w:r w:rsidR="00024E24" w:rsidRPr="00024E24">
        <w:rPr>
          <w:caps/>
          <w:noProof/>
          <w:color w:val="0000FF"/>
          <w:szCs w:val="22"/>
        </w:rPr>
        <w:t>8</w:t>
      </w:r>
      <w:r w:rsidR="005E13C1" w:rsidRPr="00276ADA">
        <w:rPr>
          <w:color w:val="0000FF"/>
        </w:rPr>
        <w:fldChar w:fldCharType="end"/>
      </w:r>
      <w:r w:rsidR="002B237B">
        <w:t xml:space="preserve"> observed</w:t>
      </w:r>
      <w:r w:rsidR="002B237B" w:rsidRPr="006855F1">
        <w:t xml:space="preserve"> </w:t>
      </w:r>
      <w:r w:rsidRPr="006855F1">
        <w:t>in study injection recipients during the course of the study follow-up period</w:t>
      </w:r>
      <w:r w:rsidR="002B237B">
        <w:t xml:space="preserve">. </w:t>
      </w:r>
    </w:p>
    <w:p w14:paraId="4A79730D" w14:textId="4BF33218" w:rsidR="00A97A86" w:rsidRDefault="007D1EEA" w:rsidP="001A31CA">
      <w:pPr>
        <w:spacing w:before="180" w:after="180" w:line="276" w:lineRule="auto"/>
      </w:pPr>
      <w:r>
        <w:t xml:space="preserve">Adverse events will be reported on the Adverse Event CRF using a recognized medical term or diagnosis that accurately reflects the event. Adverse event evaluations will be reviewed by the </w:t>
      </w:r>
      <w:r w:rsidR="005C070C">
        <w:t>PI</w:t>
      </w:r>
      <w:r>
        <w:t xml:space="preserve"> or by a designated medically qualified practitioner. Adverse event CRF pages are to be completed by members of the study team designated in writing by the </w:t>
      </w:r>
      <w:r w:rsidR="005C070C">
        <w:t>PI</w:t>
      </w:r>
      <w:r>
        <w:t>. The onset and resolution dates of the event and action taken in response to the event will be documented. All adverse events must be followed until resolution is demonstrated. The resolution date will be recorded on the CRF as the last date on which the participant experienced the adverse event</w:t>
      </w:r>
      <w:r w:rsidR="00FE091C">
        <w:t>. If the subject cannot recall the date of resolution,</w:t>
      </w:r>
      <w:r>
        <w:t xml:space="preserve"> </w:t>
      </w:r>
      <w:r w:rsidR="00FE091C">
        <w:t>then the resolution date will be visit date on which the study staff determines the AE to be resolved</w:t>
      </w:r>
      <w:r>
        <w:t xml:space="preserve">. </w:t>
      </w:r>
    </w:p>
    <w:p w14:paraId="5456A430" w14:textId="4BD59D88" w:rsidR="00956EE8" w:rsidRDefault="007D1EEA" w:rsidP="001A31CA">
      <w:pPr>
        <w:spacing w:before="180" w:after="180" w:line="276" w:lineRule="auto"/>
      </w:pPr>
      <w:r>
        <w:t>Adverse events that are still present at the end of the trial should be recorded as ongoing. Information recorded on the CRF must be substantiated in the source documents. If an adverse event evolves into a condition that becomes “serious,” it will be designated as serious on the Adverse Eve</w:t>
      </w:r>
      <w:r w:rsidR="00602EA5">
        <w:t xml:space="preserve">nt CRF and an SAE Report </w:t>
      </w:r>
      <w:r>
        <w:t>will be completed.</w:t>
      </w:r>
      <w:r w:rsidR="00956EE8" w:rsidRPr="00017D2A">
        <w:tab/>
      </w:r>
    </w:p>
    <w:p w14:paraId="15B524ED" w14:textId="2EB0F5D5" w:rsidR="006E3E7F" w:rsidRPr="006E3E7F" w:rsidRDefault="006E3E7F" w:rsidP="009E0AB3">
      <w:pPr>
        <w:pStyle w:val="Heading3"/>
      </w:pPr>
      <w:bookmarkStart w:id="330" w:name="_Toc389130015"/>
      <w:bookmarkStart w:id="331" w:name="_Toc440906318"/>
      <w:r w:rsidRPr="006E3E7F">
        <w:t>Assessment of Severity</w:t>
      </w:r>
      <w:r w:rsidR="006855F1">
        <w:t xml:space="preserve"> (Grading)</w:t>
      </w:r>
      <w:bookmarkEnd w:id="330"/>
      <w:bookmarkEnd w:id="331"/>
    </w:p>
    <w:p w14:paraId="1F83C244" w14:textId="615653E4" w:rsidR="00E37B3B" w:rsidRDefault="00E37B3B" w:rsidP="001A31CA">
      <w:pPr>
        <w:tabs>
          <w:tab w:val="left" w:pos="720"/>
          <w:tab w:val="left" w:pos="1400"/>
        </w:tabs>
        <w:spacing w:before="180" w:after="180" w:line="276" w:lineRule="auto"/>
      </w:pPr>
      <w:r>
        <w:t>The safety concepts of “severity” and “seriousness” are distinct concepts. Severity refers to a degree of clinical manifestation. “Seriousness” refers to defined outcomes from an adverse event. A severe adverse event is not always serious and a serious adverse event is not always severe.</w:t>
      </w:r>
    </w:p>
    <w:p w14:paraId="1CC06812" w14:textId="69B32F3E" w:rsidR="00E37B3B" w:rsidRDefault="00E37B3B" w:rsidP="001A31CA">
      <w:pPr>
        <w:tabs>
          <w:tab w:val="left" w:pos="720"/>
          <w:tab w:val="left" w:pos="1400"/>
        </w:tabs>
        <w:spacing w:before="180" w:after="180" w:line="276" w:lineRule="auto"/>
      </w:pPr>
      <w:r>
        <w:t>For all adverse events, the investigator is responsible for assessing the severity of the event and the causal relationship of the event to the study injection.</w:t>
      </w:r>
    </w:p>
    <w:p w14:paraId="1C654B50" w14:textId="77777777" w:rsidR="00E37B3B" w:rsidRDefault="00E37B3B" w:rsidP="001A31CA">
      <w:pPr>
        <w:tabs>
          <w:tab w:val="left" w:pos="720"/>
          <w:tab w:val="left" w:pos="1400"/>
        </w:tabs>
        <w:spacing w:before="180" w:after="180" w:line="276" w:lineRule="auto"/>
      </w:pPr>
      <w:r>
        <w:t>The severity of all adverse events, including clinical findings and abnormal laboratory values, will be classified as one of the following grades:</w:t>
      </w:r>
    </w:p>
    <w:p w14:paraId="75070E8E" w14:textId="77777777" w:rsidR="00E37B3B" w:rsidRDefault="00E37B3B" w:rsidP="00C16DBD">
      <w:pPr>
        <w:tabs>
          <w:tab w:val="left" w:pos="720"/>
          <w:tab w:val="left" w:pos="1400"/>
        </w:tabs>
        <w:spacing w:before="180" w:line="276" w:lineRule="auto"/>
        <w:ind w:left="360"/>
      </w:pPr>
      <w:r>
        <w:t>1. Mild</w:t>
      </w:r>
    </w:p>
    <w:p w14:paraId="2AC65D44" w14:textId="77777777" w:rsidR="00E37B3B" w:rsidRDefault="00E37B3B" w:rsidP="00C16DBD">
      <w:pPr>
        <w:tabs>
          <w:tab w:val="left" w:pos="720"/>
          <w:tab w:val="left" w:pos="1400"/>
        </w:tabs>
        <w:spacing w:line="276" w:lineRule="auto"/>
        <w:ind w:left="360"/>
      </w:pPr>
      <w:r>
        <w:t>2. Moderate</w:t>
      </w:r>
    </w:p>
    <w:p w14:paraId="16F4C0F6" w14:textId="77777777" w:rsidR="00E37B3B" w:rsidRDefault="00E37B3B" w:rsidP="00C16DBD">
      <w:pPr>
        <w:tabs>
          <w:tab w:val="left" w:pos="720"/>
          <w:tab w:val="left" w:pos="1400"/>
        </w:tabs>
        <w:spacing w:line="276" w:lineRule="auto"/>
        <w:ind w:left="360"/>
      </w:pPr>
      <w:r>
        <w:t>3. Severe</w:t>
      </w:r>
    </w:p>
    <w:p w14:paraId="245CCDA8" w14:textId="67CCE90B" w:rsidR="00B46D6D" w:rsidRDefault="00B46D6D" w:rsidP="00C16DBD">
      <w:pPr>
        <w:tabs>
          <w:tab w:val="left" w:pos="720"/>
          <w:tab w:val="left" w:pos="1400"/>
        </w:tabs>
        <w:spacing w:after="180" w:line="276" w:lineRule="auto"/>
        <w:ind w:left="360"/>
      </w:pPr>
      <w:r>
        <w:t>4. Potentially life-threatening</w:t>
      </w:r>
    </w:p>
    <w:p w14:paraId="7E4B9B6C" w14:textId="4F329834" w:rsidR="00D50EDE" w:rsidRDefault="00E37B3B" w:rsidP="001A31CA">
      <w:pPr>
        <w:tabs>
          <w:tab w:val="left" w:pos="720"/>
          <w:tab w:val="left" w:pos="1400"/>
        </w:tabs>
        <w:spacing w:before="180" w:after="180" w:line="276" w:lineRule="auto"/>
      </w:pPr>
      <w:r>
        <w:t>A Toxicity Table is provided in the protocol appendices for the assessment of severity of specified adverse events. The Toxicity Table Adverse Event Grades do not correlate directly</w:t>
      </w:r>
      <w:r w:rsidR="00D50EDE">
        <w:t xml:space="preserve"> with the classical severity grades of mild, moderate</w:t>
      </w:r>
      <w:r w:rsidR="00C16DBD">
        <w:t>,</w:t>
      </w:r>
      <w:r w:rsidR="00D50EDE">
        <w:t xml:space="preserve"> and severe. For the purposes of recording events on the CRF, Toxicity Table Grade 1 events will be considered mild in severity, Toxicity Table Grade 2 events will be considered moderate in severity, and both Toxicity Table Grade 3 and 4 events will be considered as severe. </w:t>
      </w:r>
      <w:r w:rsidR="006855F1">
        <w:t xml:space="preserve">In the Grading Scale for local reactions </w:t>
      </w:r>
      <w:r w:rsidR="005E13C1" w:rsidRPr="00276ADA">
        <w:rPr>
          <w:color w:val="0000FF"/>
        </w:rPr>
        <w:fldChar w:fldCharType="begin"/>
      </w:r>
      <w:r w:rsidR="005E13C1" w:rsidRPr="00276ADA">
        <w:rPr>
          <w:color w:val="0000FF"/>
        </w:rPr>
        <w:instrText xml:space="preserve"> REF  _Ref376868929 \h  \* MERGEFORMAT </w:instrText>
      </w:r>
      <w:r w:rsidR="005E13C1" w:rsidRPr="00276ADA">
        <w:rPr>
          <w:color w:val="0000FF"/>
        </w:rPr>
      </w:r>
      <w:r w:rsidR="005E13C1" w:rsidRPr="00276ADA">
        <w:rPr>
          <w:color w:val="0000FF"/>
        </w:rPr>
        <w:fldChar w:fldCharType="separate"/>
      </w:r>
      <w:r w:rsidR="00024E24" w:rsidRPr="00024E24">
        <w:rPr>
          <w:color w:val="0000FF"/>
          <w:szCs w:val="22"/>
        </w:rPr>
        <w:t xml:space="preserve">Appendix </w:t>
      </w:r>
      <w:r w:rsidR="00024E24" w:rsidRPr="00024E24">
        <w:rPr>
          <w:caps/>
          <w:noProof/>
          <w:color w:val="0000FF"/>
          <w:szCs w:val="22"/>
        </w:rPr>
        <w:t>5</w:t>
      </w:r>
      <w:r w:rsidR="005E13C1" w:rsidRPr="00276ADA">
        <w:rPr>
          <w:color w:val="0000FF"/>
        </w:rPr>
        <w:fldChar w:fldCharType="end"/>
      </w:r>
      <w:r w:rsidR="00AF69D5">
        <w:t xml:space="preserve"> </w:t>
      </w:r>
      <w:r w:rsidR="00D50EDE">
        <w:t>certain local reactions such as erythema (redness) and swelling (induration) are graded according to size. Laboratory values are graded according to level of deviation from the normal range.</w:t>
      </w:r>
    </w:p>
    <w:p w14:paraId="3596779F" w14:textId="7C051005" w:rsidR="00D50EDE" w:rsidRDefault="00D50EDE" w:rsidP="001A31CA">
      <w:pPr>
        <w:tabs>
          <w:tab w:val="left" w:pos="720"/>
          <w:tab w:val="left" w:pos="1400"/>
        </w:tabs>
        <w:spacing w:before="180" w:after="180" w:line="276" w:lineRule="auto"/>
      </w:pPr>
      <w:r>
        <w:t>For adverse events not listed in the Toxicity Table</w:t>
      </w:r>
      <w:r w:rsidR="00F77EA3">
        <w:t>s</w:t>
      </w:r>
      <w:r>
        <w:t xml:space="preserve"> determination of severity requires some level of interpretation as outlined below. The degree of incapacity caused by the adverse event and the level of medical intervention required for treatment may be helpful in assessing the overall severity of the adverse event.</w:t>
      </w:r>
    </w:p>
    <w:p w14:paraId="6877CC20" w14:textId="77777777" w:rsidR="00D50EDE" w:rsidRDefault="00D50EDE" w:rsidP="001A31CA">
      <w:pPr>
        <w:tabs>
          <w:tab w:val="left" w:pos="720"/>
          <w:tab w:val="left" w:pos="1400"/>
        </w:tabs>
        <w:spacing w:before="180" w:after="180" w:line="276" w:lineRule="auto"/>
      </w:pPr>
      <w:r>
        <w:t>For example:</w:t>
      </w:r>
    </w:p>
    <w:p w14:paraId="56DEDEC3" w14:textId="0FFBED1E" w:rsidR="00D50EDE" w:rsidRPr="000C5A32" w:rsidRDefault="00D50EDE" w:rsidP="000C5A32">
      <w:pPr>
        <w:pStyle w:val="ListParagraph"/>
        <w:numPr>
          <w:ilvl w:val="0"/>
          <w:numId w:val="52"/>
        </w:numPr>
        <w:tabs>
          <w:tab w:val="left" w:pos="720"/>
          <w:tab w:val="left" w:pos="1400"/>
        </w:tabs>
        <w:spacing w:before="180" w:after="180"/>
        <w:rPr>
          <w:rFonts w:ascii="Arial" w:hAnsi="Arial" w:cs="Arial"/>
        </w:rPr>
      </w:pPr>
      <w:r w:rsidRPr="000C5A32">
        <w:rPr>
          <w:rFonts w:ascii="Arial" w:hAnsi="Arial" w:cs="Arial"/>
        </w:rPr>
        <w:t>“Mild” events are generally regarded as noticeable but have no impact on normal activities; they may or may not require over-the-counter treatment managed by the participant.</w:t>
      </w:r>
    </w:p>
    <w:p w14:paraId="3F14B156" w14:textId="5AF6FA45" w:rsidR="00D50EDE" w:rsidRPr="000C5A32" w:rsidRDefault="00D50EDE" w:rsidP="000C5A32">
      <w:pPr>
        <w:pStyle w:val="ListParagraph"/>
        <w:numPr>
          <w:ilvl w:val="0"/>
          <w:numId w:val="52"/>
        </w:numPr>
        <w:tabs>
          <w:tab w:val="left" w:pos="720"/>
          <w:tab w:val="left" w:pos="1400"/>
        </w:tabs>
        <w:spacing w:before="180" w:after="180"/>
        <w:rPr>
          <w:rFonts w:ascii="Arial" w:hAnsi="Arial" w:cs="Arial"/>
        </w:rPr>
      </w:pPr>
      <w:r w:rsidRPr="000C5A32">
        <w:rPr>
          <w:rFonts w:ascii="Arial" w:hAnsi="Arial" w:cs="Arial"/>
        </w:rPr>
        <w:t xml:space="preserve">“Moderate” events generally have some impact on an individual’s normal </w:t>
      </w:r>
      <w:r w:rsidR="00F77EA3" w:rsidRPr="000C5A32">
        <w:rPr>
          <w:rFonts w:ascii="Arial" w:hAnsi="Arial" w:cs="Arial"/>
        </w:rPr>
        <w:t xml:space="preserve">daily </w:t>
      </w:r>
      <w:r w:rsidRPr="000C5A32">
        <w:rPr>
          <w:rFonts w:ascii="Arial" w:hAnsi="Arial" w:cs="Arial"/>
        </w:rPr>
        <w:t>activities and may require general symptomatic medical intervention by a healthcare professional or by the participant.</w:t>
      </w:r>
    </w:p>
    <w:p w14:paraId="17E4098F" w14:textId="2F8569EF" w:rsidR="00D50EDE" w:rsidRPr="000C5A32" w:rsidRDefault="00D50EDE" w:rsidP="000C5A32">
      <w:pPr>
        <w:pStyle w:val="ListParagraph"/>
        <w:numPr>
          <w:ilvl w:val="0"/>
          <w:numId w:val="52"/>
        </w:numPr>
        <w:tabs>
          <w:tab w:val="left" w:pos="720"/>
          <w:tab w:val="left" w:pos="1400"/>
        </w:tabs>
        <w:spacing w:before="180" w:after="180"/>
        <w:rPr>
          <w:rFonts w:ascii="Arial" w:hAnsi="Arial" w:cs="Arial"/>
        </w:rPr>
      </w:pPr>
      <w:r w:rsidRPr="000C5A32">
        <w:rPr>
          <w:rFonts w:ascii="Arial" w:hAnsi="Arial" w:cs="Arial"/>
        </w:rPr>
        <w:t>“Severe” adverse events may be incapacitating, leading to suspension of normal daily activities, and would generally require more immediate medical evaluation and intervention by a healthcare professional.</w:t>
      </w:r>
    </w:p>
    <w:p w14:paraId="312B5C08" w14:textId="224F7A35" w:rsidR="00E37B3B" w:rsidRDefault="00D50EDE" w:rsidP="001A31CA">
      <w:pPr>
        <w:tabs>
          <w:tab w:val="left" w:pos="720"/>
          <w:tab w:val="left" w:pos="1400"/>
        </w:tabs>
        <w:spacing w:before="180" w:after="180" w:line="276" w:lineRule="auto"/>
      </w:pPr>
      <w:r>
        <w:t>A change in severity of an adverse event will not be recorded as a new adverse event. Only the highest severity level that occurs during the entire period of the adverse event will be recorded on the CRF with the onset and resolution dates encompassing the entire duration of the event.</w:t>
      </w:r>
    </w:p>
    <w:p w14:paraId="6F00E2B5" w14:textId="05BAA88D" w:rsidR="006E3E7F" w:rsidRPr="003C7E7D" w:rsidRDefault="006E3E7F" w:rsidP="009E0AB3">
      <w:pPr>
        <w:pStyle w:val="Heading3"/>
      </w:pPr>
      <w:bookmarkStart w:id="332" w:name="_Ref376862329"/>
      <w:bookmarkStart w:id="333" w:name="_Toc389130016"/>
      <w:bookmarkStart w:id="334" w:name="_Toc440906319"/>
      <w:r w:rsidRPr="003C7E7D">
        <w:t xml:space="preserve">Assessment of </w:t>
      </w:r>
      <w:r w:rsidR="003C7E7D" w:rsidRPr="003C7E7D">
        <w:t>Causality (Relatedness</w:t>
      </w:r>
      <w:r w:rsidR="00F77EA3">
        <w:t xml:space="preserve"> to Study Injection</w:t>
      </w:r>
      <w:r w:rsidR="003C7E7D" w:rsidRPr="003C7E7D">
        <w:t>)</w:t>
      </w:r>
      <w:bookmarkEnd w:id="332"/>
      <w:bookmarkEnd w:id="333"/>
      <w:bookmarkEnd w:id="334"/>
    </w:p>
    <w:p w14:paraId="4ED07DF1" w14:textId="1E111A20" w:rsidR="00A47EF5" w:rsidRDefault="00A47EF5" w:rsidP="001A31CA">
      <w:pPr>
        <w:tabs>
          <w:tab w:val="left" w:pos="720"/>
          <w:tab w:val="left" w:pos="1400"/>
        </w:tabs>
        <w:spacing w:before="180" w:after="180" w:line="276" w:lineRule="auto"/>
      </w:pPr>
      <w:r>
        <w:t>For all adverse events, the investigator will determine a causal relationship to the study injection without knowledge, for blinded studies, of whether ID93 + GLA-SE or placebo was administered. A number of factors will be considered in making this assessment, including: 1) the temporal relationship of the event to the administration of the study injection</w:t>
      </w:r>
      <w:r w:rsidR="00276ADA">
        <w:t>,</w:t>
      </w:r>
      <w:r>
        <w:t xml:space="preserve"> 2) whether an alternative etiology has been identified </w:t>
      </w:r>
      <w:r w:rsidR="00F77EA3">
        <w:t xml:space="preserve">including </w:t>
      </w:r>
      <w:r w:rsidR="00F77EA3" w:rsidRPr="0046610D">
        <w:t>the toxicity profile of any concomitant medication</w:t>
      </w:r>
      <w:r w:rsidR="00276ADA">
        <w:t>,</w:t>
      </w:r>
      <w:r w:rsidR="00F77EA3">
        <w:t xml:space="preserve"> </w:t>
      </w:r>
      <w:r>
        <w:t xml:space="preserve">and 3) biological plausibility. </w:t>
      </w:r>
    </w:p>
    <w:p w14:paraId="666B69A5" w14:textId="2F7C75D2" w:rsidR="00A47EF5" w:rsidRPr="00615FC7" w:rsidRDefault="00A47EF5" w:rsidP="001A31CA">
      <w:pPr>
        <w:tabs>
          <w:tab w:val="left" w:pos="720"/>
          <w:tab w:val="left" w:pos="1400"/>
        </w:tabs>
        <w:spacing w:before="180" w:after="180" w:line="276" w:lineRule="auto"/>
        <w:rPr>
          <w:szCs w:val="22"/>
        </w:rPr>
      </w:pPr>
      <w:r w:rsidRPr="00615FC7">
        <w:rPr>
          <w:szCs w:val="22"/>
        </w:rPr>
        <w:t>The investigator will use the following guidelines to assess the causal relationship of an adverse event to study injection:</w:t>
      </w:r>
    </w:p>
    <w:p w14:paraId="41C0CD3C" w14:textId="2C3275A4" w:rsidR="00A47EF5" w:rsidRPr="000C5A32" w:rsidRDefault="00A47EF5" w:rsidP="000C5A32">
      <w:pPr>
        <w:pStyle w:val="ListParagraph"/>
        <w:numPr>
          <w:ilvl w:val="0"/>
          <w:numId w:val="53"/>
        </w:numPr>
        <w:tabs>
          <w:tab w:val="left" w:pos="-90"/>
          <w:tab w:val="left" w:pos="0"/>
        </w:tabs>
        <w:spacing w:before="180" w:after="180"/>
        <w:rPr>
          <w:rFonts w:ascii="Arial" w:hAnsi="Arial" w:cs="Arial"/>
        </w:rPr>
      </w:pPr>
      <w:r w:rsidRPr="000C5A32">
        <w:rPr>
          <w:rFonts w:ascii="Arial" w:hAnsi="Arial" w:cs="Arial"/>
          <w:b/>
        </w:rPr>
        <w:t>Not Related</w:t>
      </w:r>
      <w:r w:rsidRPr="000C5A32">
        <w:rPr>
          <w:rFonts w:ascii="Arial" w:hAnsi="Arial" w:cs="Arial"/>
        </w:rPr>
        <w:t xml:space="preserve"> to study injection (i.e., there is no evidence of a causal relationship; another etiology is known to have caused the adverse event. The alternative etiology should be documented in the participant’s study record).</w:t>
      </w:r>
    </w:p>
    <w:p w14:paraId="1C8E5F06" w14:textId="2EE1A58C" w:rsidR="00A47EF5" w:rsidRPr="000C5A32" w:rsidRDefault="00A47EF5" w:rsidP="000C5A32">
      <w:pPr>
        <w:pStyle w:val="ListParagraph"/>
        <w:numPr>
          <w:ilvl w:val="0"/>
          <w:numId w:val="53"/>
        </w:numPr>
        <w:tabs>
          <w:tab w:val="left" w:pos="-90"/>
          <w:tab w:val="left" w:pos="0"/>
        </w:tabs>
        <w:spacing w:before="180" w:after="180"/>
        <w:rPr>
          <w:rFonts w:ascii="Arial" w:hAnsi="Arial" w:cs="Arial"/>
        </w:rPr>
      </w:pPr>
      <w:r w:rsidRPr="000C5A32">
        <w:rPr>
          <w:rFonts w:ascii="Arial" w:hAnsi="Arial" w:cs="Arial"/>
          <w:b/>
        </w:rPr>
        <w:t>Unlikely Related</w:t>
      </w:r>
      <w:r w:rsidRPr="000C5A32">
        <w:rPr>
          <w:rFonts w:ascii="Arial" w:hAnsi="Arial" w:cs="Arial"/>
        </w:rPr>
        <w:t xml:space="preserve"> to study injection (i.e., there is less than a reasonable possibility that the adverse event was caused by study injection).</w:t>
      </w:r>
    </w:p>
    <w:p w14:paraId="37235E7A" w14:textId="2198AE3F" w:rsidR="00A47EF5" w:rsidRPr="000C5A32" w:rsidRDefault="00A47EF5" w:rsidP="000C5A32">
      <w:pPr>
        <w:pStyle w:val="ListParagraph"/>
        <w:numPr>
          <w:ilvl w:val="0"/>
          <w:numId w:val="53"/>
        </w:numPr>
        <w:tabs>
          <w:tab w:val="left" w:pos="-90"/>
          <w:tab w:val="left" w:pos="0"/>
        </w:tabs>
        <w:spacing w:before="180" w:after="180"/>
        <w:rPr>
          <w:rFonts w:ascii="Arial" w:hAnsi="Arial" w:cs="Arial"/>
        </w:rPr>
      </w:pPr>
      <w:r w:rsidRPr="000C5A32">
        <w:rPr>
          <w:rFonts w:ascii="Arial" w:hAnsi="Arial" w:cs="Arial"/>
          <w:b/>
        </w:rPr>
        <w:t>Possibly Related</w:t>
      </w:r>
      <w:r w:rsidRPr="000C5A32">
        <w:rPr>
          <w:rFonts w:ascii="Arial" w:hAnsi="Arial" w:cs="Arial"/>
        </w:rPr>
        <w:t xml:space="preserve"> to study injection (i.e., there is a reasonable possibility that the adverse event was caused by study injection. There must be a plausible mechanism for the event to be related to study injection. The evidence is inadequate to accept or reject, or favors rejection of, a causal relationship; an association exists between the event and the study injection but there may also be an alternative etiology, such as characteristics of the participant’s clinical status or underlying condition).</w:t>
      </w:r>
    </w:p>
    <w:p w14:paraId="29850666" w14:textId="4B2E00C6" w:rsidR="00A47EF5" w:rsidRPr="000C5A32" w:rsidRDefault="00A47EF5" w:rsidP="000C5A32">
      <w:pPr>
        <w:pStyle w:val="ListParagraph"/>
        <w:numPr>
          <w:ilvl w:val="0"/>
          <w:numId w:val="53"/>
        </w:numPr>
        <w:tabs>
          <w:tab w:val="left" w:pos="-90"/>
          <w:tab w:val="left" w:pos="0"/>
        </w:tabs>
        <w:spacing w:before="180" w:after="180"/>
        <w:rPr>
          <w:rFonts w:ascii="Arial" w:hAnsi="Arial" w:cs="Arial"/>
        </w:rPr>
      </w:pPr>
      <w:r w:rsidRPr="000C5A32">
        <w:rPr>
          <w:rFonts w:ascii="Arial" w:hAnsi="Arial" w:cs="Arial"/>
          <w:b/>
        </w:rPr>
        <w:t>Probably Related</w:t>
      </w:r>
      <w:r w:rsidRPr="000C5A32">
        <w:rPr>
          <w:rFonts w:ascii="Arial" w:hAnsi="Arial" w:cs="Arial"/>
        </w:rPr>
        <w:t xml:space="preserve"> to study injection (i.e., it is likely that the adverse event was caused by administration of the study injection. The evidence favors acceptance of a causal relationship; an association exists between the event and receipt of the study injection and there is a plausible mechanism for the event to be related to the study injection, and an alternative etiology is not apparent).</w:t>
      </w:r>
    </w:p>
    <w:p w14:paraId="6F53498C" w14:textId="79617E2D" w:rsidR="00A47EF5" w:rsidRPr="000C5A32" w:rsidRDefault="00A47EF5" w:rsidP="000C5A32">
      <w:pPr>
        <w:pStyle w:val="ListParagraph"/>
        <w:numPr>
          <w:ilvl w:val="0"/>
          <w:numId w:val="53"/>
        </w:numPr>
        <w:tabs>
          <w:tab w:val="left" w:pos="-90"/>
          <w:tab w:val="left" w:pos="0"/>
          <w:tab w:val="left" w:pos="90"/>
        </w:tabs>
        <w:spacing w:before="180" w:after="180"/>
        <w:rPr>
          <w:rFonts w:ascii="Arial" w:hAnsi="Arial" w:cs="Arial"/>
        </w:rPr>
      </w:pPr>
      <w:r w:rsidRPr="000C5A32">
        <w:rPr>
          <w:rFonts w:ascii="Arial" w:hAnsi="Arial" w:cs="Arial"/>
          <w:b/>
        </w:rPr>
        <w:t>Definitely Related</w:t>
      </w:r>
      <w:r w:rsidRPr="000C5A32">
        <w:rPr>
          <w:rFonts w:ascii="Arial" w:hAnsi="Arial" w:cs="Arial"/>
        </w:rPr>
        <w:t xml:space="preserve"> to study injection (i.e., the study injection is known to be the cause of the adverse event. The evidence establishes a causal relationship; an association exists between the event and receipt of the study injection and there is a plausible mechanism for the event to be related to the study injection, and causes other than the study injection have been ruled out).</w:t>
      </w:r>
    </w:p>
    <w:p w14:paraId="69397F89" w14:textId="5DAA4BAC" w:rsidR="00A47EF5" w:rsidRDefault="00A47EF5" w:rsidP="001A31CA">
      <w:pPr>
        <w:tabs>
          <w:tab w:val="left" w:pos="720"/>
          <w:tab w:val="left" w:pos="1400"/>
        </w:tabs>
        <w:spacing w:before="180" w:after="180" w:line="276" w:lineRule="auto"/>
      </w:pPr>
      <w:r>
        <w:t>Definite, probable</w:t>
      </w:r>
      <w:r w:rsidR="001A31CA">
        <w:t>,</w:t>
      </w:r>
      <w:r>
        <w:t xml:space="preserve"> an</w:t>
      </w:r>
      <w:r w:rsidR="002177DF">
        <w:t xml:space="preserve">d possible adverse events are considered </w:t>
      </w:r>
      <w:r>
        <w:t xml:space="preserve">related to study injection. Not related and unlikely related </w:t>
      </w:r>
      <w:r w:rsidR="002177DF">
        <w:t xml:space="preserve">adverse events </w:t>
      </w:r>
      <w:r>
        <w:t>are considered to be unrelated.</w:t>
      </w:r>
    </w:p>
    <w:p w14:paraId="5DDE9863" w14:textId="11914DFE" w:rsidR="00A47EF5" w:rsidRDefault="00A47EF5" w:rsidP="001A31CA">
      <w:pPr>
        <w:tabs>
          <w:tab w:val="left" w:pos="720"/>
          <w:tab w:val="left" w:pos="1400"/>
        </w:tabs>
        <w:spacing w:before="180" w:after="180" w:line="276" w:lineRule="auto"/>
      </w:pPr>
      <w:r>
        <w:t xml:space="preserve">For adverse events requiring immediate reporting, the </w:t>
      </w:r>
      <w:r w:rsidR="005C070C">
        <w:t xml:space="preserve">PI </w:t>
      </w:r>
      <w:r>
        <w:t xml:space="preserve">and the </w:t>
      </w:r>
      <w:r w:rsidR="005C070C">
        <w:t xml:space="preserve">LMM </w:t>
      </w:r>
      <w:r>
        <w:t xml:space="preserve">both determine causality. It is expected that communication and consultation may occur in the assessment of the causality of adverse events. The greatest degree of causal relationship (definite &gt; probable &gt; possible &gt; unlikely related &gt; not related) determined by either the investigator or </w:t>
      </w:r>
      <w:r w:rsidR="005C070C">
        <w:t>LMM</w:t>
      </w:r>
      <w:r>
        <w:t xml:space="preserve"> after their discussions will determine the ultimate classification of the adverse event.</w:t>
      </w:r>
      <w:r w:rsidR="00C23B00">
        <w:t xml:space="preserve"> A</w:t>
      </w:r>
      <w:r w:rsidR="00C23B00">
        <w:rPr>
          <w:szCs w:val="22"/>
        </w:rPr>
        <w:t>dverse events where the causality is not assessable,</w:t>
      </w:r>
      <w:r w:rsidR="00291C78">
        <w:rPr>
          <w:szCs w:val="22"/>
        </w:rPr>
        <w:t xml:space="preserve"> </w:t>
      </w:r>
      <w:r w:rsidR="00C23B00">
        <w:rPr>
          <w:szCs w:val="22"/>
        </w:rPr>
        <w:t>will be</w:t>
      </w:r>
      <w:r w:rsidR="00C23B00" w:rsidRPr="007E2B95">
        <w:rPr>
          <w:szCs w:val="22"/>
        </w:rPr>
        <w:t xml:space="preserve"> considered related to </w:t>
      </w:r>
      <w:r w:rsidR="00C23B00">
        <w:rPr>
          <w:szCs w:val="22"/>
        </w:rPr>
        <w:t xml:space="preserve">the </w:t>
      </w:r>
      <w:r w:rsidR="00C23B00" w:rsidRPr="007E2B95">
        <w:rPr>
          <w:szCs w:val="22"/>
        </w:rPr>
        <w:t>study injection.</w:t>
      </w:r>
    </w:p>
    <w:p w14:paraId="5396BBE5" w14:textId="5C090E77" w:rsidR="00A47EF5" w:rsidRDefault="00A47EF5" w:rsidP="001A31CA">
      <w:pPr>
        <w:tabs>
          <w:tab w:val="left" w:pos="720"/>
          <w:tab w:val="left" w:pos="1400"/>
        </w:tabs>
        <w:spacing w:before="180" w:after="180" w:line="276" w:lineRule="auto"/>
      </w:pPr>
      <w:r>
        <w:t xml:space="preserve">Every effort should be made by the investigator to determine the existence of any pre-existing conditions that must be taken into consideration when assessing causal relationship of an adverse event. Pre-existing conditions should be recorded in the CRF as baseline history and substantiated by appropriate source documentation. Intermittent conditions such as headaches in adults may not be present on Study Day 0 but may represent an adverse event if the </w:t>
      </w:r>
      <w:r w:rsidR="005037E7">
        <w:t>frequency,</w:t>
      </w:r>
      <w:r w:rsidR="00463A85">
        <w:t xml:space="preserve"> </w:t>
      </w:r>
      <w:r>
        <w:t>intensity or duration of the event is worse than usual following study injection.</w:t>
      </w:r>
    </w:p>
    <w:p w14:paraId="17092D1D" w14:textId="62712A12" w:rsidR="00167F77" w:rsidRPr="00167F77" w:rsidRDefault="00167F77" w:rsidP="009E0AB3">
      <w:pPr>
        <w:pStyle w:val="Heading3"/>
      </w:pPr>
      <w:bookmarkStart w:id="335" w:name="_Toc389130017"/>
      <w:bookmarkStart w:id="336" w:name="_Toc440906320"/>
      <w:r w:rsidRPr="00167F77">
        <w:t>Evaluation of Expectedness</w:t>
      </w:r>
      <w:bookmarkEnd w:id="335"/>
      <w:bookmarkEnd w:id="336"/>
    </w:p>
    <w:p w14:paraId="4D44A69B" w14:textId="4D9CAB5D" w:rsidR="00D4362B" w:rsidRDefault="00167F77" w:rsidP="000B7056">
      <w:pPr>
        <w:jc w:val="both"/>
      </w:pPr>
      <w:r w:rsidRPr="00167F77">
        <w:t xml:space="preserve">Expected adverse events are adverse events consistent with the applicable product information provided by the sponsor (the </w:t>
      </w:r>
      <w:r w:rsidR="003F0938">
        <w:t>I</w:t>
      </w:r>
      <w:r w:rsidRPr="00167F77">
        <w:t xml:space="preserve">nvestigator’s </w:t>
      </w:r>
      <w:r w:rsidR="003F0938">
        <w:t>B</w:t>
      </w:r>
      <w:r w:rsidRPr="00167F77">
        <w:t xml:space="preserve">rochure for an investigational product). The sponsor, in the person of the </w:t>
      </w:r>
      <w:r w:rsidR="005C070C">
        <w:t>LMM</w:t>
      </w:r>
      <w:r w:rsidR="00B46D6D">
        <w:t xml:space="preserve"> </w:t>
      </w:r>
      <w:r w:rsidR="00615FC7">
        <w:t>and/</w:t>
      </w:r>
      <w:r w:rsidR="00B46D6D">
        <w:t xml:space="preserve">or sponsor medical </w:t>
      </w:r>
      <w:r w:rsidR="00615FC7">
        <w:t>advis</w:t>
      </w:r>
      <w:r w:rsidR="00B46D6D">
        <w:t>or</w:t>
      </w:r>
      <w:r w:rsidRPr="00167F77">
        <w:t xml:space="preserve">, determines expectedness. If the assessment is that the adverse event is expected no further action is required. If the </w:t>
      </w:r>
      <w:r w:rsidR="005C070C">
        <w:t>LMM</w:t>
      </w:r>
      <w:r w:rsidRPr="00167F77">
        <w:t xml:space="preserve">’s assessment is that the adverse event is unexpected, then the event may represent a </w:t>
      </w:r>
      <w:r w:rsidR="00955E64">
        <w:t>s</w:t>
      </w:r>
      <w:r w:rsidR="003F0938">
        <w:t>uspected</w:t>
      </w:r>
      <w:r w:rsidR="00955E64">
        <w:t xml:space="preserve"> unexpected s</w:t>
      </w:r>
      <w:r w:rsidR="003F0938">
        <w:t>erious</w:t>
      </w:r>
      <w:r w:rsidR="00955E64">
        <w:t xml:space="preserve"> adverse reaction</w:t>
      </w:r>
      <w:r w:rsidR="00955E64" w:rsidRPr="00167F77">
        <w:t xml:space="preserve"> </w:t>
      </w:r>
      <w:r w:rsidR="00955E64">
        <w:t>(</w:t>
      </w:r>
      <w:r w:rsidRPr="00167F77">
        <w:t>SUSAR</w:t>
      </w:r>
      <w:r w:rsidR="00955E64">
        <w:t>)</w:t>
      </w:r>
      <w:r w:rsidRPr="00167F77">
        <w:t xml:space="preserve"> or expedited SAE</w:t>
      </w:r>
      <w:r>
        <w:t>.</w:t>
      </w:r>
      <w:r w:rsidR="00EE63AD">
        <w:t xml:space="preserve"> In the event that the LMM and sponsor Medical Advisor disagree the event will be treated as unexpected in order to be conservative in the assessment.</w:t>
      </w:r>
    </w:p>
    <w:p w14:paraId="3984EF96" w14:textId="21A61B85" w:rsidR="00F43682" w:rsidRDefault="00F43682" w:rsidP="00B46D6D">
      <w:pPr>
        <w:pStyle w:val="Heading2"/>
      </w:pPr>
      <w:bookmarkStart w:id="337" w:name="_Toc389130018"/>
      <w:bookmarkStart w:id="338" w:name="_Toc440906321"/>
      <w:bookmarkEnd w:id="325"/>
      <w:r>
        <w:t>Reactogenicity</w:t>
      </w:r>
      <w:bookmarkEnd w:id="337"/>
      <w:bookmarkEnd w:id="338"/>
      <w:r>
        <w:t xml:space="preserve"> </w:t>
      </w:r>
    </w:p>
    <w:p w14:paraId="3F7983AF" w14:textId="6845DE4C" w:rsidR="00DF30A8" w:rsidRPr="00AF69D5" w:rsidRDefault="00AF69D5" w:rsidP="001A31CA">
      <w:pPr>
        <w:spacing w:before="180" w:after="180" w:line="276" w:lineRule="auto"/>
        <w:rPr>
          <w:iCs/>
        </w:rPr>
      </w:pPr>
      <w:bookmarkStart w:id="339" w:name="_Ref364846893"/>
      <w:bookmarkStart w:id="340" w:name="_Ref10872784"/>
      <w:bookmarkStart w:id="341" w:name="_Ref10968738"/>
      <w:bookmarkStart w:id="342" w:name="_Toc274131531"/>
      <w:r>
        <w:rPr>
          <w:iCs/>
        </w:rPr>
        <w:t>Local site of injections reactions (pain, erythema/redness and induration/hardness) will be graded according t</w:t>
      </w:r>
      <w:r w:rsidRPr="005E13C1">
        <w:rPr>
          <w:iCs/>
        </w:rPr>
        <w:t xml:space="preserve">o </w:t>
      </w:r>
      <w:r w:rsidR="005E13C1" w:rsidRPr="00276ADA">
        <w:rPr>
          <w:iCs/>
          <w:color w:val="0000FF"/>
        </w:rPr>
        <w:fldChar w:fldCharType="begin"/>
      </w:r>
      <w:r w:rsidR="005E13C1" w:rsidRPr="00276ADA">
        <w:rPr>
          <w:iCs/>
          <w:color w:val="0000FF"/>
        </w:rPr>
        <w:instrText xml:space="preserve"> REF  _Ref387344380 \h  \* MERGEFORMAT </w:instrText>
      </w:r>
      <w:r w:rsidR="005E13C1" w:rsidRPr="00276ADA">
        <w:rPr>
          <w:iCs/>
          <w:color w:val="0000FF"/>
        </w:rPr>
      </w:r>
      <w:r w:rsidR="005E13C1" w:rsidRPr="00276ADA">
        <w:rPr>
          <w:iCs/>
          <w:color w:val="0000FF"/>
        </w:rPr>
        <w:fldChar w:fldCharType="separate"/>
      </w:r>
      <w:r w:rsidR="00024E24" w:rsidRPr="00024E24">
        <w:rPr>
          <w:color w:val="0000FF"/>
          <w:szCs w:val="22"/>
        </w:rPr>
        <w:t xml:space="preserve">Appendix </w:t>
      </w:r>
      <w:r w:rsidR="00024E24" w:rsidRPr="00024E24">
        <w:rPr>
          <w:caps/>
          <w:noProof/>
          <w:color w:val="0000FF"/>
          <w:szCs w:val="22"/>
        </w:rPr>
        <w:t>5</w:t>
      </w:r>
      <w:r w:rsidR="005E13C1" w:rsidRPr="00276ADA">
        <w:rPr>
          <w:iCs/>
          <w:color w:val="0000FF"/>
        </w:rPr>
        <w:fldChar w:fldCharType="end"/>
      </w:r>
      <w:r w:rsidRPr="005E13C1">
        <w:rPr>
          <w:iCs/>
        </w:rPr>
        <w:t>. Specific solicited systemic reaction (</w:t>
      </w:r>
      <w:r w:rsidR="00D73656" w:rsidRPr="005E13C1">
        <w:t>arthralgia, chills, nausea, fever, fatigue, myalgia</w:t>
      </w:r>
      <w:r w:rsidRPr="005E13C1">
        <w:rPr>
          <w:iCs/>
        </w:rPr>
        <w:t xml:space="preserve">) will be graded according to the </w:t>
      </w:r>
      <w:r w:rsidR="00D5423C" w:rsidRPr="005E13C1">
        <w:rPr>
          <w:iCs/>
        </w:rPr>
        <w:t>FDA</w:t>
      </w:r>
      <w:r w:rsidR="00E47D10" w:rsidRPr="005E13C1">
        <w:rPr>
          <w:iCs/>
        </w:rPr>
        <w:t xml:space="preserve"> </w:t>
      </w:r>
      <w:r w:rsidRPr="005E13C1">
        <w:rPr>
          <w:iCs/>
        </w:rPr>
        <w:t xml:space="preserve">AE Grading Table shown in </w:t>
      </w:r>
      <w:r w:rsidR="005E13C1" w:rsidRPr="00276ADA">
        <w:rPr>
          <w:iCs/>
          <w:color w:val="0000FF"/>
        </w:rPr>
        <w:fldChar w:fldCharType="begin"/>
      </w:r>
      <w:r w:rsidR="005E13C1" w:rsidRPr="00276ADA">
        <w:rPr>
          <w:iCs/>
          <w:color w:val="0000FF"/>
        </w:rPr>
        <w:instrText xml:space="preserve"> REF  _Ref387344402 \h  \* MERGEFORMAT </w:instrText>
      </w:r>
      <w:r w:rsidR="005E13C1" w:rsidRPr="00276ADA">
        <w:rPr>
          <w:iCs/>
          <w:color w:val="0000FF"/>
        </w:rPr>
      </w:r>
      <w:r w:rsidR="005E13C1" w:rsidRPr="00276ADA">
        <w:rPr>
          <w:iCs/>
          <w:color w:val="0000FF"/>
        </w:rPr>
        <w:fldChar w:fldCharType="separate"/>
      </w:r>
      <w:r w:rsidR="00024E24" w:rsidRPr="00024E24">
        <w:rPr>
          <w:color w:val="0000FF"/>
          <w:szCs w:val="22"/>
        </w:rPr>
        <w:t xml:space="preserve">Appendix </w:t>
      </w:r>
      <w:r w:rsidR="00024E24" w:rsidRPr="00024E24">
        <w:rPr>
          <w:caps/>
          <w:noProof/>
          <w:color w:val="0000FF"/>
          <w:szCs w:val="22"/>
        </w:rPr>
        <w:t>6</w:t>
      </w:r>
      <w:r w:rsidR="005E13C1" w:rsidRPr="00276ADA">
        <w:rPr>
          <w:iCs/>
          <w:color w:val="0000FF"/>
        </w:rPr>
        <w:fldChar w:fldCharType="end"/>
      </w:r>
      <w:r>
        <w:rPr>
          <w:iCs/>
        </w:rPr>
        <w:t>.</w:t>
      </w:r>
    </w:p>
    <w:p w14:paraId="23EA1A52" w14:textId="77777777" w:rsidR="00F43682" w:rsidRDefault="00F43682" w:rsidP="00B46D6D">
      <w:pPr>
        <w:pStyle w:val="Heading2"/>
      </w:pPr>
      <w:bookmarkStart w:id="343" w:name="_Toc53202849"/>
      <w:bookmarkStart w:id="344" w:name="_Toc389130019"/>
      <w:bookmarkStart w:id="345" w:name="_Toc440906322"/>
      <w:bookmarkEnd w:id="339"/>
      <w:bookmarkEnd w:id="340"/>
      <w:bookmarkEnd w:id="341"/>
      <w:bookmarkEnd w:id="342"/>
      <w:r>
        <w:t>Serious Adverse Event</w:t>
      </w:r>
      <w:bookmarkEnd w:id="343"/>
      <w:r>
        <w:t>s</w:t>
      </w:r>
      <w:bookmarkEnd w:id="344"/>
      <w:bookmarkEnd w:id="345"/>
    </w:p>
    <w:p w14:paraId="1AC242E3" w14:textId="77777777" w:rsidR="00167F77" w:rsidRPr="00E84748" w:rsidRDefault="00167F77" w:rsidP="001A31CA">
      <w:pPr>
        <w:tabs>
          <w:tab w:val="left" w:pos="720"/>
          <w:tab w:val="left" w:pos="1400"/>
        </w:tabs>
        <w:spacing w:before="180" w:after="180" w:line="276" w:lineRule="auto"/>
        <w:rPr>
          <w:b/>
        </w:rPr>
      </w:pPr>
      <w:r w:rsidRPr="00E84748">
        <w:rPr>
          <w:b/>
        </w:rPr>
        <w:t>Assessment of Seriousness</w:t>
      </w:r>
    </w:p>
    <w:p w14:paraId="46E7C6C3" w14:textId="3D94E01A" w:rsidR="002177DF" w:rsidRDefault="00167F77" w:rsidP="001A31CA">
      <w:pPr>
        <w:tabs>
          <w:tab w:val="left" w:pos="720"/>
          <w:tab w:val="left" w:pos="1400"/>
        </w:tabs>
        <w:spacing w:before="180" w:after="180" w:line="276" w:lineRule="auto"/>
      </w:pPr>
      <w:r>
        <w:t xml:space="preserve">Seriousness refers to the outcome of an adverse event. Seriousness is determined by both the </w:t>
      </w:r>
      <w:r w:rsidR="005C070C">
        <w:t>PI</w:t>
      </w:r>
      <w:r>
        <w:t xml:space="preserve"> and the </w:t>
      </w:r>
      <w:r w:rsidR="005C070C">
        <w:t>LMM</w:t>
      </w:r>
      <w:r>
        <w:t xml:space="preserve">. If either </w:t>
      </w:r>
      <w:r w:rsidR="005C070C">
        <w:t>PI</w:t>
      </w:r>
      <w:r>
        <w:t xml:space="preserve"> or </w:t>
      </w:r>
      <w:r w:rsidR="005C070C">
        <w:t>LMM</w:t>
      </w:r>
      <w:r>
        <w:t xml:space="preserve"> determines an event to be serious, it will be classified as such. If any of the following outcomes are present then the adverse event is serious:</w:t>
      </w:r>
    </w:p>
    <w:p w14:paraId="44C10ADF" w14:textId="254E02B7" w:rsidR="002177DF" w:rsidRDefault="00167F77" w:rsidP="001A31CA">
      <w:pPr>
        <w:tabs>
          <w:tab w:val="left" w:pos="720"/>
          <w:tab w:val="left" w:pos="1400"/>
        </w:tabs>
        <w:spacing w:before="180" w:after="180" w:line="276" w:lineRule="auto"/>
      </w:pPr>
      <w:r>
        <w:t xml:space="preserve">• </w:t>
      </w:r>
      <w:r w:rsidRPr="005863A4">
        <w:rPr>
          <w:b/>
        </w:rPr>
        <w:t>It results in death</w:t>
      </w:r>
      <w:r>
        <w:t xml:space="preserve"> (i.e., the AE caused or led to the fatality). Serious does not describe an event which hypothetically might have caused death if it were more severe.</w:t>
      </w:r>
    </w:p>
    <w:p w14:paraId="3CCAD34C" w14:textId="3CCAE57C" w:rsidR="002177DF" w:rsidRDefault="00167F77" w:rsidP="001A31CA">
      <w:pPr>
        <w:tabs>
          <w:tab w:val="left" w:pos="720"/>
          <w:tab w:val="left" w:pos="1400"/>
        </w:tabs>
        <w:spacing w:before="180" w:after="180" w:line="276" w:lineRule="auto"/>
      </w:pPr>
      <w:r>
        <w:t xml:space="preserve">• </w:t>
      </w:r>
      <w:r w:rsidRPr="005863A4">
        <w:rPr>
          <w:b/>
        </w:rPr>
        <w:t>It was immediately life-threatening</w:t>
      </w:r>
      <w:r>
        <w:t xml:space="preserve"> (i.e., the AE placed the subject at immediate risk of dying. It does not refer to an event which hypothetically may have led to death if it were more severe).</w:t>
      </w:r>
    </w:p>
    <w:p w14:paraId="4C18CC9F" w14:textId="4ED2ADC9" w:rsidR="002177DF" w:rsidRDefault="00167F77" w:rsidP="001A31CA">
      <w:pPr>
        <w:tabs>
          <w:tab w:val="left" w:pos="720"/>
          <w:tab w:val="left" w:pos="1400"/>
        </w:tabs>
        <w:spacing w:before="180" w:after="180" w:line="276" w:lineRule="auto"/>
      </w:pPr>
      <w:r>
        <w:t xml:space="preserve">• </w:t>
      </w:r>
      <w:r w:rsidRPr="005863A4">
        <w:rPr>
          <w:b/>
        </w:rPr>
        <w:t>It required inpatient hospitalization or prolonged hospitalization</w:t>
      </w:r>
      <w:r>
        <w:t xml:space="preserve"> beyond the expected length of stay. Hospitalizations for scheduled treatments and elective medical/surgical procedures related to a pre-existing condition that did not increase in severity or frequency following receipt of study injection, are not serious by this criterion. Hospitalization is defined as either 1) a hospital admission, or 2) an emergency room visit for a period greater than 24 hours.</w:t>
      </w:r>
    </w:p>
    <w:p w14:paraId="6E6ECA93" w14:textId="0361D130" w:rsidR="002177DF" w:rsidRDefault="00167F77" w:rsidP="001A31CA">
      <w:pPr>
        <w:tabs>
          <w:tab w:val="left" w:pos="720"/>
          <w:tab w:val="left" w:pos="1400"/>
        </w:tabs>
        <w:spacing w:before="180" w:after="180" w:line="276" w:lineRule="auto"/>
      </w:pPr>
      <w:r>
        <w:t xml:space="preserve">• </w:t>
      </w:r>
      <w:r w:rsidRPr="005863A4">
        <w:rPr>
          <w:b/>
        </w:rPr>
        <w:t>It resulted in a persistent or significant disability/incapacity</w:t>
      </w:r>
      <w:r>
        <w:t xml:space="preserve"> (i.e., substantial reduction of the subject’s ability to carry out activities of daily living).</w:t>
      </w:r>
    </w:p>
    <w:p w14:paraId="2B5E48F0" w14:textId="5AA2D7C2" w:rsidR="002177DF" w:rsidRDefault="00167F77" w:rsidP="001A31CA">
      <w:pPr>
        <w:tabs>
          <w:tab w:val="left" w:pos="720"/>
          <w:tab w:val="left" w:pos="1400"/>
        </w:tabs>
        <w:spacing w:before="180" w:after="180" w:line="276" w:lineRule="auto"/>
      </w:pPr>
      <w:r>
        <w:t xml:space="preserve">• </w:t>
      </w:r>
      <w:r w:rsidRPr="005863A4">
        <w:rPr>
          <w:b/>
        </w:rPr>
        <w:t>It resulted in a congenital anomaly or birth defect</w:t>
      </w:r>
      <w:r>
        <w:t xml:space="preserve"> (i.e., an adverse finding in a child or fetus of a subject exposed to the study vaccine prior to conception or during pregnancy).</w:t>
      </w:r>
    </w:p>
    <w:p w14:paraId="18367C56" w14:textId="77777777" w:rsidR="00167F77" w:rsidRDefault="00167F77" w:rsidP="001A31CA">
      <w:pPr>
        <w:tabs>
          <w:tab w:val="left" w:pos="720"/>
          <w:tab w:val="left" w:pos="1400"/>
        </w:tabs>
        <w:spacing w:before="180" w:after="180" w:line="276" w:lineRule="auto"/>
      </w:pPr>
      <w:r>
        <w:t xml:space="preserve">• </w:t>
      </w:r>
      <w:r w:rsidRPr="005863A4">
        <w:rPr>
          <w:b/>
        </w:rPr>
        <w:t>Other medically important conditions</w:t>
      </w:r>
      <w:r>
        <w:t xml:space="preserve"> that may not result in death, threaten life or require hospitalization (i.e., the AE does not meet any of the above serious criteria) may be considered a serious adverse event when, based on appropriate medical judgment, they may jeopardize the subject and require medical or surgical intervention to prevent one of the serious outcomes listed in these criteria (e.g., allergic bronchospasm requiring intensive treatment in an emergency room or at home; blood dyscrasias or convulsions that do not result in hospitalization, or the development of drug dependency or drug abuse).</w:t>
      </w:r>
    </w:p>
    <w:p w14:paraId="00FDA074" w14:textId="0003BCF1" w:rsidR="00DF30A8" w:rsidRDefault="00167F77" w:rsidP="001A31CA">
      <w:pPr>
        <w:tabs>
          <w:tab w:val="left" w:pos="720"/>
          <w:tab w:val="left" w:pos="1400"/>
        </w:tabs>
        <w:spacing w:before="180" w:after="180" w:line="276" w:lineRule="auto"/>
      </w:pPr>
      <w:r>
        <w:t>A serious adverse event is an adverse event meeting the outcome</w:t>
      </w:r>
      <w:r w:rsidRPr="00AF6F45">
        <w:t xml:space="preserve"> criteria for seriousness regardless of relationship to </w:t>
      </w:r>
      <w:r w:rsidR="00B46D6D">
        <w:t>the study injection.</w:t>
      </w:r>
    </w:p>
    <w:p w14:paraId="1D014282" w14:textId="5022FE8D" w:rsidR="00DF30A8" w:rsidRDefault="00167F77" w:rsidP="001A31CA">
      <w:pPr>
        <w:tabs>
          <w:tab w:val="left" w:pos="720"/>
          <w:tab w:val="left" w:pos="1400"/>
        </w:tabs>
        <w:spacing w:before="180" w:after="180" w:line="276" w:lineRule="auto"/>
      </w:pPr>
      <w:r w:rsidRPr="00167F77">
        <w:t>When an adverse event is judged to be related to an investigational product, such as ID93 + GLA-SE, and also is judged to be serious and unexpected, it is a SUSAR and is subject to expedited reporting.</w:t>
      </w:r>
    </w:p>
    <w:p w14:paraId="2557292D" w14:textId="77777777" w:rsidR="00F43682" w:rsidRDefault="00F43682" w:rsidP="009E0AB3">
      <w:pPr>
        <w:pStyle w:val="Heading3"/>
      </w:pPr>
      <w:bookmarkStart w:id="346" w:name="_Toc53202852"/>
      <w:bookmarkStart w:id="347" w:name="_Toc389130020"/>
      <w:bookmarkStart w:id="348" w:name="_Toc440906323"/>
      <w:bookmarkStart w:id="349" w:name="_Toc53202850"/>
      <w:bookmarkEnd w:id="326"/>
      <w:r>
        <w:t>Procedures to be Followed in the Event of Abnormal Laboratory Test Values or Abnormal Clinical Findings</w:t>
      </w:r>
      <w:bookmarkEnd w:id="346"/>
      <w:bookmarkEnd w:id="347"/>
      <w:bookmarkEnd w:id="348"/>
    </w:p>
    <w:p w14:paraId="66421DB6" w14:textId="65D28196" w:rsidR="00404ACF" w:rsidRDefault="002177DF" w:rsidP="009B0277">
      <w:pPr>
        <w:pStyle w:val="BodyText2"/>
        <w:spacing w:before="180" w:after="180" w:line="276" w:lineRule="auto"/>
        <w:ind w:left="0"/>
      </w:pPr>
      <w:r>
        <w:t>Investigation, t</w:t>
      </w:r>
      <w:r w:rsidR="00404ACF">
        <w:t>reatment</w:t>
      </w:r>
      <w:r>
        <w:t>, follow-up and medical referral</w:t>
      </w:r>
      <w:r w:rsidR="00404ACF">
        <w:t xml:space="preserve"> of any adverse events will be determined by the investigator using his/her best medical judgment and according to local clinical practice guidelines. All applied measures as well as follow-up will be recorded in the appropriate CRF.</w:t>
      </w:r>
    </w:p>
    <w:p w14:paraId="11DBAF17" w14:textId="77777777" w:rsidR="00F43682" w:rsidRDefault="00F43682">
      <w:pPr>
        <w:pStyle w:val="Heading2"/>
      </w:pPr>
      <w:bookmarkStart w:id="350" w:name="_Toc389130021"/>
      <w:bookmarkStart w:id="351" w:name="_Toc440906324"/>
      <w:r>
        <w:t>Reporting Procedures</w:t>
      </w:r>
      <w:bookmarkEnd w:id="349"/>
      <w:bookmarkEnd w:id="350"/>
      <w:bookmarkEnd w:id="351"/>
    </w:p>
    <w:p w14:paraId="5DAFDFDD" w14:textId="77777777" w:rsidR="00F43682" w:rsidRDefault="00F43682" w:rsidP="009E0AB3">
      <w:pPr>
        <w:pStyle w:val="Heading3"/>
      </w:pPr>
      <w:bookmarkStart w:id="352" w:name="_Toc389130022"/>
      <w:bookmarkStart w:id="353" w:name="_Toc440906325"/>
      <w:r>
        <w:t>Serious Adverse Events</w:t>
      </w:r>
      <w:bookmarkEnd w:id="352"/>
      <w:bookmarkEnd w:id="353"/>
    </w:p>
    <w:p w14:paraId="25D4F0D2" w14:textId="5ED48918" w:rsidR="00511FF5" w:rsidRDefault="00511FF5" w:rsidP="009B0277">
      <w:pPr>
        <w:pStyle w:val="BodyText2"/>
        <w:spacing w:before="180" w:after="180" w:line="276" w:lineRule="auto"/>
        <w:ind w:left="0"/>
      </w:pPr>
      <w:r>
        <w:t xml:space="preserve">Serious adverse events, which include SUSARs, are reported to the sponsor or its designee for the entire study period. SUSARs are reported even after the trial is over, if the sponsor or its designee, </w:t>
      </w:r>
      <w:r w:rsidR="005C070C">
        <w:t>LMM</w:t>
      </w:r>
      <w:r w:rsidR="00C16DBD">
        <w:t>,</w:t>
      </w:r>
      <w:r>
        <w:t xml:space="preserve"> or </w:t>
      </w:r>
      <w:r w:rsidR="005C070C">
        <w:t>PI</w:t>
      </w:r>
      <w:r>
        <w:t xml:space="preserve"> becomes aware of them. The site will be provided with specific reporting procedures including the Adverse Event CRF and any supplemental reporting forms to be used. Serious adverse events will be reported on the Adverse Event CRF using a recognized medical term or diagnosis that accurately reflects the event.</w:t>
      </w:r>
    </w:p>
    <w:p w14:paraId="75277AB5" w14:textId="593A8AEB" w:rsidR="00511FF5" w:rsidRDefault="00511FF5" w:rsidP="009B0277">
      <w:pPr>
        <w:pStyle w:val="BodyText2"/>
        <w:ind w:left="0"/>
      </w:pPr>
      <w:r>
        <w:t xml:space="preserve">Serious adverse events will be assessed by the investigator and the </w:t>
      </w:r>
      <w:r w:rsidR="005C070C">
        <w:t>LMM</w:t>
      </w:r>
      <w:r>
        <w:t xml:space="preserve"> for severity, causal relationship to the study injection, and expectedness. The onset and resolution dates of the event and the action taken in response to the event will be documented. If the event has not resolved by the final study visit, it will be documented as “ongoing” on the CRF, however, follow-up of the SAE must continue until resolved. Information recorded on the CRF must be substantiated in the source documents.</w:t>
      </w:r>
    </w:p>
    <w:p w14:paraId="175B3A30" w14:textId="1A9C560E" w:rsidR="001D3EC6" w:rsidRDefault="00511FF5" w:rsidP="009B0277">
      <w:pPr>
        <w:pStyle w:val="BodyText2"/>
        <w:ind w:left="0"/>
      </w:pPr>
      <w:r>
        <w:t xml:space="preserve">The SAE Report form completed for that event must be scanned and emailed, or faxed, by the </w:t>
      </w:r>
      <w:r w:rsidR="005C070C">
        <w:t>PI</w:t>
      </w:r>
      <w:r>
        <w:t xml:space="preserve"> or his/her designee, within one business day of the clinical site becoming aware of the event, to the </w:t>
      </w:r>
      <w:r w:rsidR="005C070C">
        <w:t>LMM</w:t>
      </w:r>
      <w:r>
        <w:t xml:space="preserve">, and </w:t>
      </w:r>
      <w:r w:rsidR="001D3EC6">
        <w:t>Sponsor or designee</w:t>
      </w:r>
      <w:r>
        <w:t xml:space="preserve">. The AE CRF should be completed with all information known </w:t>
      </w:r>
      <w:r w:rsidR="006049F0">
        <w:t>and</w:t>
      </w:r>
      <w:r w:rsidR="001D3EC6">
        <w:t xml:space="preserve"> emailed or faxed (even if all information concerning the event is not yet known) within one business day of awareness of the event.</w:t>
      </w:r>
    </w:p>
    <w:p w14:paraId="21D40899" w14:textId="2243A878" w:rsidR="001D3EC6" w:rsidRDefault="001D3EC6" w:rsidP="009B0277">
      <w:pPr>
        <w:pStyle w:val="BodyText2"/>
        <w:ind w:left="0"/>
      </w:pPr>
      <w:r>
        <w:t xml:space="preserve">Fatal or life-threatening serious adverse events that the investigator suspects are related to the study injection should be telephoned to the </w:t>
      </w:r>
      <w:r w:rsidR="005C070C">
        <w:t>LMM</w:t>
      </w:r>
      <w:r>
        <w:t xml:space="preserve"> and Sponsor or designee immediately upon the investigator’s awareness of the event. If the </w:t>
      </w:r>
      <w:r w:rsidR="005C070C">
        <w:t>LMM</w:t>
      </w:r>
      <w:r>
        <w:t xml:space="preserve"> or Sponsor is required by the protocol or chooses to suspend enrollment s/he shall immediately create a written memorandum for record to the study file and telephonically notify the investigators of this act.</w:t>
      </w:r>
    </w:p>
    <w:p w14:paraId="560BCACC" w14:textId="1713D7E5" w:rsidR="001D3EC6" w:rsidRDefault="001D3EC6" w:rsidP="009B0277">
      <w:pPr>
        <w:pStyle w:val="BodyText2"/>
        <w:ind w:left="0"/>
      </w:pPr>
      <w:r>
        <w:t>Investigators must not wait to collect additional information to fully document the event before reporting a serious adverse event. The initial notification should include the following (at minimum):</w:t>
      </w:r>
    </w:p>
    <w:p w14:paraId="1D6FCE07" w14:textId="6ACA368F" w:rsidR="001D3EC6" w:rsidRDefault="001D3EC6" w:rsidP="00DC5D25">
      <w:pPr>
        <w:pStyle w:val="BodyText2"/>
        <w:numPr>
          <w:ilvl w:val="0"/>
          <w:numId w:val="54"/>
        </w:numPr>
        <w:spacing w:before="0"/>
      </w:pPr>
      <w:r>
        <w:t>Protocol number and name and contact number of the investigator</w:t>
      </w:r>
    </w:p>
    <w:p w14:paraId="653F94D1" w14:textId="7D773DC3" w:rsidR="001D3EC6" w:rsidRDefault="001D3EC6" w:rsidP="00DC5D25">
      <w:pPr>
        <w:pStyle w:val="BodyText2"/>
        <w:numPr>
          <w:ilvl w:val="0"/>
          <w:numId w:val="54"/>
        </w:numPr>
        <w:spacing w:before="0"/>
      </w:pPr>
      <w:r>
        <w:t xml:space="preserve">Subject </w:t>
      </w:r>
      <w:r w:rsidR="006049F0">
        <w:t>P</w:t>
      </w:r>
      <w:r>
        <w:t>ID number (and initials and date of birth, if available)</w:t>
      </w:r>
    </w:p>
    <w:p w14:paraId="533D118E" w14:textId="4AB6FADA" w:rsidR="001D3EC6" w:rsidRDefault="001D3EC6" w:rsidP="00DC5D25">
      <w:pPr>
        <w:pStyle w:val="BodyText2"/>
        <w:numPr>
          <w:ilvl w:val="0"/>
          <w:numId w:val="54"/>
        </w:numPr>
        <w:spacing w:before="0"/>
      </w:pPr>
      <w:r>
        <w:t>Date(s) participant received study injection(s)</w:t>
      </w:r>
    </w:p>
    <w:p w14:paraId="68D7698C" w14:textId="54A93ED5" w:rsidR="001D3EC6" w:rsidRDefault="001D3EC6" w:rsidP="00DC5D25">
      <w:pPr>
        <w:pStyle w:val="BodyText2"/>
        <w:numPr>
          <w:ilvl w:val="0"/>
          <w:numId w:val="54"/>
        </w:numPr>
        <w:spacing w:before="0"/>
      </w:pPr>
      <w:r>
        <w:t>Serious adverse event(s) and date of event onset</w:t>
      </w:r>
    </w:p>
    <w:p w14:paraId="2AF90E75" w14:textId="005B7F6C" w:rsidR="001D3EC6" w:rsidRDefault="001D3EC6" w:rsidP="00DC5D25">
      <w:pPr>
        <w:pStyle w:val="BodyText2"/>
        <w:numPr>
          <w:ilvl w:val="0"/>
          <w:numId w:val="54"/>
        </w:numPr>
        <w:spacing w:before="0"/>
      </w:pPr>
      <w:r>
        <w:t>Current status of participant</w:t>
      </w:r>
    </w:p>
    <w:p w14:paraId="78425AFB" w14:textId="35EAC716" w:rsidR="00511FF5" w:rsidRPr="00511FF5" w:rsidRDefault="001D3EC6" w:rsidP="009B0277">
      <w:pPr>
        <w:pStyle w:val="BodyText2"/>
        <w:ind w:left="0"/>
      </w:pPr>
      <w:r>
        <w:t>The sponsor may authorize its designee to execute its responsibilities for safety report submission to the appropriate regulatory authorities within specific time periods of being notified of the event (within 7 or 15 calendar days depending the character of the SUSAR); therefore, it is important that the investigator submit additional information requested as soon as it becomes available. The sponsor or its designee will notify the</w:t>
      </w:r>
      <w:r w:rsidR="002B237B">
        <w:t xml:space="preserve"> </w:t>
      </w:r>
      <w:r w:rsidR="005C070C">
        <w:t>LMM</w:t>
      </w:r>
      <w:r w:rsidR="002B237B">
        <w:t xml:space="preserve"> and </w:t>
      </w:r>
      <w:r w:rsidR="001D0607">
        <w:t>DSM</w:t>
      </w:r>
      <w:r>
        <w:t xml:space="preserve"> of all SUSARs within 3 working days of becoming aware of an event and will provide all follow-up information in a timely manner.</w:t>
      </w:r>
    </w:p>
    <w:p w14:paraId="0CEAF6B1" w14:textId="146A85C5" w:rsidR="00F43682" w:rsidRPr="00615FC7" w:rsidRDefault="00F43682" w:rsidP="009E0AB3">
      <w:pPr>
        <w:pStyle w:val="Heading3"/>
      </w:pPr>
      <w:bookmarkStart w:id="354" w:name="_Toc389130023"/>
      <w:bookmarkStart w:id="355" w:name="_Toc440906326"/>
      <w:bookmarkStart w:id="356" w:name="_Toc53202851"/>
      <w:r w:rsidRPr="00615FC7">
        <w:t>Regulatory Reporting</w:t>
      </w:r>
      <w:bookmarkEnd w:id="354"/>
      <w:bookmarkEnd w:id="355"/>
      <w:r w:rsidRPr="00615FC7">
        <w:t xml:space="preserve"> </w:t>
      </w:r>
    </w:p>
    <w:p w14:paraId="2DAEF100" w14:textId="3AFF9FFF" w:rsidR="006049F0" w:rsidRPr="006049F0" w:rsidRDefault="006049F0" w:rsidP="009B0277">
      <w:pPr>
        <w:pStyle w:val="BodyText2"/>
        <w:ind w:left="0"/>
      </w:pPr>
      <w:r w:rsidRPr="006049F0">
        <w:t>All AEs, regardless of severity or presumed relationship to study injection, will be documented on the AE form. Specific guidelines for grading out-of-range laboratory results are provided in</w:t>
      </w:r>
      <w:r w:rsidR="005815AE">
        <w:t xml:space="preserve"> </w:t>
      </w:r>
      <w:r w:rsidR="005E13C1" w:rsidRPr="00276ADA">
        <w:rPr>
          <w:color w:val="0000FF"/>
        </w:rPr>
        <w:fldChar w:fldCharType="begin"/>
      </w:r>
      <w:r w:rsidR="005E13C1" w:rsidRPr="00276ADA">
        <w:rPr>
          <w:color w:val="0000FF"/>
        </w:rPr>
        <w:instrText xml:space="preserve"> REF  _Ref376868873 \h  \* MERGEFORMAT </w:instrText>
      </w:r>
      <w:r w:rsidR="005E13C1" w:rsidRPr="00276ADA">
        <w:rPr>
          <w:color w:val="0000FF"/>
        </w:rPr>
      </w:r>
      <w:r w:rsidR="005E13C1" w:rsidRPr="00276ADA">
        <w:rPr>
          <w:color w:val="0000FF"/>
        </w:rPr>
        <w:fldChar w:fldCharType="separate"/>
      </w:r>
      <w:r w:rsidR="00024E24" w:rsidRPr="00024E24">
        <w:rPr>
          <w:color w:val="0000FF"/>
          <w:szCs w:val="22"/>
        </w:rPr>
        <w:t xml:space="preserve">Appendix </w:t>
      </w:r>
      <w:r w:rsidR="00024E24" w:rsidRPr="00024E24">
        <w:rPr>
          <w:caps/>
          <w:noProof/>
          <w:color w:val="0000FF"/>
          <w:szCs w:val="22"/>
        </w:rPr>
        <w:t>4</w:t>
      </w:r>
      <w:r w:rsidR="005E13C1" w:rsidRPr="00276ADA">
        <w:rPr>
          <w:color w:val="0000FF"/>
        </w:rPr>
        <w:fldChar w:fldCharType="end"/>
      </w:r>
      <w:r w:rsidRPr="006049F0">
        <w:t xml:space="preserve">. All SAEs, AESIs, and Grade 3 and 4 AEs, must be reported by the </w:t>
      </w:r>
      <w:r w:rsidR="005C070C">
        <w:t>PI</w:t>
      </w:r>
      <w:r w:rsidRPr="006049F0">
        <w:t xml:space="preserve"> (or designee) directly to IDRI Pharmacovigilance within 24 hours by e-mail or telephone. The reporting sequence for all SAEs, AESIs, Grade 3 AEs, and Grade 4 AEs will be as follows:</w:t>
      </w:r>
    </w:p>
    <w:p w14:paraId="2B605130" w14:textId="77777777" w:rsidR="006049F0" w:rsidRPr="006049F0" w:rsidRDefault="006049F0" w:rsidP="009B0277">
      <w:pPr>
        <w:pStyle w:val="BodyText2"/>
        <w:numPr>
          <w:ilvl w:val="0"/>
          <w:numId w:val="42"/>
        </w:numPr>
        <w:tabs>
          <w:tab w:val="clear" w:pos="1440"/>
          <w:tab w:val="num" w:pos="720"/>
        </w:tabs>
        <w:ind w:left="720"/>
      </w:pPr>
      <w:r w:rsidRPr="006049F0">
        <w:t xml:space="preserve">The Principal Investigator (or designee) must report the event </w:t>
      </w:r>
      <w:r w:rsidRPr="006049F0">
        <w:rPr>
          <w:u w:val="single"/>
        </w:rPr>
        <w:t>immediatel</w:t>
      </w:r>
      <w:r w:rsidRPr="006049F0">
        <w:t>y (within 24 hours of knowledge of the event) to IDRI Pharmacovigilance.</w:t>
      </w:r>
    </w:p>
    <w:p w14:paraId="29175D27" w14:textId="14630818" w:rsidR="006049F0" w:rsidRPr="006049F0" w:rsidRDefault="006049F0" w:rsidP="009B0277">
      <w:pPr>
        <w:pStyle w:val="BodyText2"/>
        <w:numPr>
          <w:ilvl w:val="0"/>
          <w:numId w:val="42"/>
        </w:numPr>
        <w:tabs>
          <w:tab w:val="clear" w:pos="1440"/>
          <w:tab w:val="num" w:pos="720"/>
        </w:tabs>
        <w:ind w:left="720"/>
      </w:pPr>
      <w:r w:rsidRPr="006049F0">
        <w:t>IDRI Pharmacovigilance will then complete and forward an incident report by e-mail, containing all relevant information about the subject to the</w:t>
      </w:r>
      <w:r w:rsidR="00E33604">
        <w:t xml:space="preserve"> </w:t>
      </w:r>
      <w:r w:rsidR="007F3D02">
        <w:t xml:space="preserve">LMM, </w:t>
      </w:r>
      <w:r w:rsidRPr="006049F0">
        <w:t xml:space="preserve">IDRI Medical </w:t>
      </w:r>
      <w:r>
        <w:t>Advis</w:t>
      </w:r>
      <w:r w:rsidRPr="006049F0">
        <w:t>or (M</w:t>
      </w:r>
      <w:r>
        <w:t>A</w:t>
      </w:r>
      <w:r w:rsidRPr="006049F0">
        <w:t>)</w:t>
      </w:r>
      <w:r w:rsidR="007F3D02">
        <w:t>,</w:t>
      </w:r>
      <w:r w:rsidRPr="006049F0">
        <w:t xml:space="preserve"> and the Data and Safety Monitor (</w:t>
      </w:r>
      <w:r w:rsidR="001D0607">
        <w:t>DSM</w:t>
      </w:r>
      <w:r w:rsidRPr="006049F0">
        <w:t xml:space="preserve">) within 48 hours of receipt of the report of the event. </w:t>
      </w:r>
    </w:p>
    <w:p w14:paraId="005D7C49" w14:textId="72FC87CE" w:rsidR="006049F0" w:rsidRPr="006049F0" w:rsidRDefault="006049F0" w:rsidP="009B0277">
      <w:pPr>
        <w:pStyle w:val="BodyText2"/>
        <w:numPr>
          <w:ilvl w:val="0"/>
          <w:numId w:val="42"/>
        </w:numPr>
        <w:tabs>
          <w:tab w:val="clear" w:pos="1440"/>
          <w:tab w:val="num" w:pos="720"/>
        </w:tabs>
        <w:ind w:left="720"/>
      </w:pPr>
      <w:r w:rsidRPr="006049F0">
        <w:t>The Principal Investigator will meet his</w:t>
      </w:r>
      <w:r w:rsidR="00C1283B">
        <w:t>/her</w:t>
      </w:r>
      <w:r w:rsidRPr="006049F0">
        <w:t xml:space="preserve"> IRB</w:t>
      </w:r>
      <w:r w:rsidR="00E33604">
        <w:t>/IEC</w:t>
      </w:r>
      <w:r w:rsidRPr="006049F0">
        <w:t xml:space="preserve"> reporting requirements.</w:t>
      </w:r>
    </w:p>
    <w:p w14:paraId="1D75AB34" w14:textId="31FC06FC" w:rsidR="006049F0" w:rsidRPr="006049F0" w:rsidRDefault="006049F0" w:rsidP="009B0277">
      <w:pPr>
        <w:pStyle w:val="BodyText2"/>
        <w:numPr>
          <w:ilvl w:val="0"/>
          <w:numId w:val="42"/>
        </w:numPr>
        <w:tabs>
          <w:tab w:val="clear" w:pos="1440"/>
          <w:tab w:val="num" w:pos="720"/>
        </w:tabs>
        <w:ind w:left="720"/>
      </w:pPr>
      <w:r w:rsidRPr="006049F0">
        <w:t xml:space="preserve">The </w:t>
      </w:r>
      <w:r>
        <w:t>L</w:t>
      </w:r>
      <w:r w:rsidRPr="006049F0">
        <w:t xml:space="preserve">MM must provide a written report by e-mail to the </w:t>
      </w:r>
      <w:r w:rsidR="001D0607">
        <w:t>DSM</w:t>
      </w:r>
      <w:r w:rsidRPr="006049F0">
        <w:t xml:space="preserve"> and IDRI Pharmacovigilance within 2 working days of receipt of the initial incident report. This report must provide a recommendation as to whether the individual subject may continue to receive study injections (if more injections are scheduled).</w:t>
      </w:r>
    </w:p>
    <w:p w14:paraId="4635A396" w14:textId="1C0D89E6" w:rsidR="006049F0" w:rsidRPr="006049F0" w:rsidRDefault="006049F0" w:rsidP="009B0277">
      <w:pPr>
        <w:pStyle w:val="BodyText2"/>
        <w:numPr>
          <w:ilvl w:val="0"/>
          <w:numId w:val="42"/>
        </w:numPr>
        <w:tabs>
          <w:tab w:val="clear" w:pos="1440"/>
          <w:tab w:val="num" w:pos="720"/>
        </w:tabs>
        <w:ind w:left="720"/>
      </w:pPr>
      <w:r w:rsidRPr="006049F0">
        <w:t xml:space="preserve">IDRI Pharmacovigilance will forward the </w:t>
      </w:r>
      <w:r w:rsidR="007F3D02">
        <w:t>L</w:t>
      </w:r>
      <w:r w:rsidRPr="006049F0">
        <w:t>MM’s written report and recommendation by e-mail to the Principal Investigator within 2 working days of receipt.</w:t>
      </w:r>
    </w:p>
    <w:p w14:paraId="12D1947A" w14:textId="7D25B9A4" w:rsidR="006049F0" w:rsidRPr="006049F0" w:rsidRDefault="006049F0" w:rsidP="009B0277">
      <w:pPr>
        <w:pStyle w:val="BodyText2"/>
        <w:ind w:left="0"/>
      </w:pPr>
      <w:r w:rsidRPr="006049F0">
        <w:t>All S</w:t>
      </w:r>
      <w:r w:rsidR="00E33604">
        <w:t>USAR</w:t>
      </w:r>
      <w:r w:rsidRPr="006049F0">
        <w:t xml:space="preserve">s will be reported to the </w:t>
      </w:r>
      <w:r w:rsidR="007840B7">
        <w:t xml:space="preserve">appropriate regulatory authorities </w:t>
      </w:r>
      <w:r w:rsidRPr="006049F0">
        <w:t xml:space="preserve">within </w:t>
      </w:r>
      <w:r w:rsidR="007840B7">
        <w:t xml:space="preserve">7 or </w:t>
      </w:r>
      <w:r w:rsidRPr="006049F0">
        <w:t>15 days of receipt of the report of the event</w:t>
      </w:r>
      <w:r w:rsidR="007840B7">
        <w:t>, depending on the nature of the SUSAR</w:t>
      </w:r>
      <w:r w:rsidRPr="006049F0">
        <w:t xml:space="preserve">. In addition, all </w:t>
      </w:r>
      <w:r w:rsidR="00C16DBD">
        <w:t xml:space="preserve">other SAEs and </w:t>
      </w:r>
      <w:r w:rsidRPr="006049F0">
        <w:t>AESIs will be reported annually to the FDA</w:t>
      </w:r>
      <w:r w:rsidR="007840B7">
        <w:t xml:space="preserve"> and semi-annually to the MCC</w:t>
      </w:r>
      <w:r w:rsidRPr="006049F0">
        <w:t xml:space="preserve"> in a dedicated tabulation by MedDRA coding term and relationship to study vaccine.</w:t>
      </w:r>
    </w:p>
    <w:p w14:paraId="6FC30CEE" w14:textId="77777777" w:rsidR="00F43682" w:rsidRDefault="00F43682" w:rsidP="009E0AB3">
      <w:pPr>
        <w:pStyle w:val="Heading3"/>
      </w:pPr>
      <w:bookmarkStart w:id="357" w:name="_Toc389130024"/>
      <w:bookmarkStart w:id="358" w:name="_Toc440906327"/>
      <w:r>
        <w:t>Other Adverse Events (if applicable)</w:t>
      </w:r>
      <w:bookmarkEnd w:id="357"/>
      <w:bookmarkEnd w:id="358"/>
    </w:p>
    <w:p w14:paraId="007F9761" w14:textId="335B25BE" w:rsidR="00404B56" w:rsidRPr="00404B56" w:rsidRDefault="00404B56" w:rsidP="00404B56">
      <w:pPr>
        <w:pStyle w:val="BodyText"/>
      </w:pPr>
      <w:r w:rsidRPr="00404B56">
        <w:t xml:space="preserve">The investigator must report the following events by scanning and emailing, or faxing, the appropriate form to the </w:t>
      </w:r>
      <w:r w:rsidR="005C070C">
        <w:t>LMM</w:t>
      </w:r>
      <w:r w:rsidRPr="00404B56">
        <w:t xml:space="preserve"> </w:t>
      </w:r>
      <w:r>
        <w:t xml:space="preserve">and sponsor or designee </w:t>
      </w:r>
      <w:r w:rsidRPr="00404B56">
        <w:t>within one business day of becoming aware of the event:</w:t>
      </w:r>
    </w:p>
    <w:p w14:paraId="39DF0821" w14:textId="4B120F49" w:rsidR="00404B56" w:rsidRPr="00404B56" w:rsidRDefault="00404B56" w:rsidP="000C5A32">
      <w:pPr>
        <w:pStyle w:val="BodyText"/>
        <w:numPr>
          <w:ilvl w:val="0"/>
          <w:numId w:val="55"/>
        </w:numPr>
        <w:ind w:left="720"/>
      </w:pPr>
      <w:r w:rsidRPr="00404B56">
        <w:t xml:space="preserve">Emergency unblinding (Reportable </w:t>
      </w:r>
      <w:r w:rsidR="0076106E">
        <w:t xml:space="preserve">Adverse </w:t>
      </w:r>
      <w:r w:rsidRPr="00404B56">
        <w:t>Event Form)</w:t>
      </w:r>
    </w:p>
    <w:p w14:paraId="3C47B40E" w14:textId="0EE132A6" w:rsidR="00404B56" w:rsidRPr="00404B56" w:rsidRDefault="00404B56" w:rsidP="000C5A32">
      <w:pPr>
        <w:pStyle w:val="BodyText"/>
        <w:numPr>
          <w:ilvl w:val="0"/>
          <w:numId w:val="55"/>
        </w:numPr>
        <w:ind w:left="720"/>
      </w:pPr>
      <w:r w:rsidRPr="00404B56">
        <w:t xml:space="preserve">Protocol violation affecting the safety of a participant or involving the </w:t>
      </w:r>
      <w:r w:rsidR="002C59ED">
        <w:t>study injection</w:t>
      </w:r>
      <w:r w:rsidRPr="00404B56">
        <w:t xml:space="preserve"> process (Reportable </w:t>
      </w:r>
      <w:r w:rsidR="00C16452">
        <w:t xml:space="preserve">Adverse </w:t>
      </w:r>
      <w:r w:rsidRPr="00404B56">
        <w:t>Event Form)</w:t>
      </w:r>
    </w:p>
    <w:p w14:paraId="25D348C4" w14:textId="49497FBE" w:rsidR="00404B56" w:rsidRPr="00404B56" w:rsidRDefault="00404B56" w:rsidP="000C5A32">
      <w:pPr>
        <w:pStyle w:val="BodyText"/>
        <w:numPr>
          <w:ilvl w:val="0"/>
          <w:numId w:val="55"/>
        </w:numPr>
        <w:ind w:left="720"/>
      </w:pPr>
      <w:r w:rsidRPr="00404B56">
        <w:t>Any event that, according to the protocol or in the opinion of the investigator, precludes further administration of the study injections (Reportable</w:t>
      </w:r>
      <w:r w:rsidR="00C16452">
        <w:t xml:space="preserve"> Adverse</w:t>
      </w:r>
      <w:r w:rsidRPr="00404B56">
        <w:t xml:space="preserve"> Event Form, unless meets SAE criteria)</w:t>
      </w:r>
    </w:p>
    <w:p w14:paraId="28D3F6EE" w14:textId="2B8F1D0B" w:rsidR="00F43682" w:rsidRPr="00404B56" w:rsidRDefault="00404B56" w:rsidP="000C5A32">
      <w:pPr>
        <w:pStyle w:val="BodyText"/>
        <w:numPr>
          <w:ilvl w:val="0"/>
          <w:numId w:val="55"/>
        </w:numPr>
        <w:ind w:left="720"/>
      </w:pPr>
      <w:r w:rsidRPr="00404B56">
        <w:t xml:space="preserve">Pregnancy (Pregnancy </w:t>
      </w:r>
      <w:r w:rsidR="008D1AF6">
        <w:t>Alert Report</w:t>
      </w:r>
      <w:r w:rsidR="008D1AF6" w:rsidRPr="00404B56">
        <w:t xml:space="preserve"> </w:t>
      </w:r>
      <w:r w:rsidRPr="00404B56">
        <w:t>Form)</w:t>
      </w:r>
    </w:p>
    <w:p w14:paraId="66B4D4A9" w14:textId="77777777" w:rsidR="00F43682" w:rsidRDefault="00F43682" w:rsidP="009E0AB3">
      <w:pPr>
        <w:pStyle w:val="Heading3"/>
      </w:pPr>
      <w:bookmarkStart w:id="359" w:name="_Toc389130025"/>
      <w:bookmarkStart w:id="360" w:name="_Toc440906328"/>
      <w:r>
        <w:t>Reporting of Pregnancy</w:t>
      </w:r>
      <w:bookmarkEnd w:id="356"/>
      <w:bookmarkEnd w:id="359"/>
      <w:bookmarkEnd w:id="360"/>
    </w:p>
    <w:p w14:paraId="49B152A7" w14:textId="63DF7351" w:rsidR="00E26CF9" w:rsidRDefault="00E26CF9" w:rsidP="009B0277">
      <w:pPr>
        <w:pStyle w:val="BodyText2"/>
        <w:ind w:left="0"/>
      </w:pPr>
      <w:r w:rsidRPr="00E26CF9">
        <w:t>If a participant becomes pregnant during the study, she will not receive any further study injections but should be encouraged to continue in the study for safety follow-up. Follow-up should continue for pregnancy outcome including premature terminations, and data are to be included in the safety reports.</w:t>
      </w:r>
    </w:p>
    <w:p w14:paraId="2F57DC1B" w14:textId="53F55683" w:rsidR="00E26CF9" w:rsidRDefault="00E26CF9" w:rsidP="009B0277">
      <w:pPr>
        <w:pStyle w:val="BodyText2"/>
        <w:ind w:left="0"/>
      </w:pPr>
      <w:r>
        <w:t xml:space="preserve">The health status of the mother and child, the date of delivery, and the child’s sex, birth weight and parity should be reported to the Sponsor. Pregnancy will not be recorded as an adverse event. However, </w:t>
      </w:r>
      <w:r w:rsidR="00EA61AA">
        <w:t>i</w:t>
      </w:r>
      <w:r>
        <w:t>f the pregnancy results in a miscarriage or a planned termination, the event (spontaneous abortion or elective abortion) will be reported as an adverse event or serious adverse event per the investigator's judgment (e.g., if it was a medically important or life-threatening event that meets the definition of a serious adverse event).</w:t>
      </w:r>
    </w:p>
    <w:p w14:paraId="0E57C4F1" w14:textId="58A3C7AE" w:rsidR="00E26CF9" w:rsidRPr="00E26CF9" w:rsidRDefault="00E26CF9" w:rsidP="009B0277">
      <w:pPr>
        <w:pStyle w:val="BodyText2"/>
        <w:ind w:left="0"/>
      </w:pPr>
      <w:r>
        <w:t>A congenital anomaly or birth defect (i.e., an adverse finding in a child or fetus of a participant exposed to the study vaccine before conception or during pregnancy) must be reported as a serious adverse event.</w:t>
      </w:r>
    </w:p>
    <w:p w14:paraId="7750CC3A" w14:textId="77777777" w:rsidR="00F43682" w:rsidRDefault="00F43682">
      <w:pPr>
        <w:pStyle w:val="Heading2"/>
      </w:pPr>
      <w:bookmarkStart w:id="361" w:name="_Toc42588995"/>
      <w:bookmarkStart w:id="362" w:name="_Toc53202853"/>
      <w:bookmarkStart w:id="363" w:name="_Toc389130026"/>
      <w:bookmarkStart w:id="364" w:name="_Toc440906329"/>
      <w:r>
        <w:t>Type and Duration of Follow-up of Subjects after Adverse Events</w:t>
      </w:r>
      <w:bookmarkEnd w:id="361"/>
      <w:bookmarkEnd w:id="362"/>
      <w:bookmarkEnd w:id="363"/>
      <w:bookmarkEnd w:id="364"/>
    </w:p>
    <w:p w14:paraId="37F8E53D" w14:textId="7376C4DD" w:rsidR="00404B56" w:rsidRDefault="00404B56" w:rsidP="00404B56">
      <w:pPr>
        <w:pStyle w:val="BodyText"/>
      </w:pPr>
      <w:r>
        <w:t>Adverse events will be considered resolved when the condition returns to normal or returns to the participant’s baseline status as established on Study Day 0, or when the condition has stabilized with the expectation that it will remain chronic.</w:t>
      </w:r>
    </w:p>
    <w:p w14:paraId="627F160C" w14:textId="665C762D" w:rsidR="00404B56" w:rsidRDefault="00404B56" w:rsidP="00404B56">
      <w:pPr>
        <w:pStyle w:val="BodyText"/>
      </w:pPr>
      <w:r>
        <w:t>The investigator will continue follow-up on adverse events, including laboratory abnormalities and solicited adverse events, until the event has resolved, is otherwise satisfactorily explained, or the participant completes the study.</w:t>
      </w:r>
    </w:p>
    <w:p w14:paraId="407DAFBD" w14:textId="09CDDCCD" w:rsidR="00404B56" w:rsidRDefault="00404B56" w:rsidP="00404B56">
      <w:pPr>
        <w:pStyle w:val="BodyText"/>
      </w:pPr>
      <w:r>
        <w:t>Follow-up for serious adverse events must continue un</w:t>
      </w:r>
      <w:r w:rsidR="009B0277">
        <w:t xml:space="preserve">til resolution and the outcome </w:t>
      </w:r>
      <w:r>
        <w:t>reported, even if this extends beyond the serious adverse</w:t>
      </w:r>
      <w:r w:rsidR="009B0277">
        <w:t xml:space="preserve"> event reporting period (i.e., </w:t>
      </w:r>
      <w:r>
        <w:t>after the final study visit). For analysis purposes, the outc</w:t>
      </w:r>
      <w:r w:rsidR="009B0277">
        <w:t xml:space="preserve">ome for serious adverse events </w:t>
      </w:r>
      <w:r>
        <w:t>will be determined on the final study visit.</w:t>
      </w:r>
    </w:p>
    <w:p w14:paraId="30CBB649" w14:textId="399C521B" w:rsidR="00404B56" w:rsidRDefault="00404B56" w:rsidP="00404B56">
      <w:pPr>
        <w:pStyle w:val="BodyText"/>
      </w:pPr>
      <w:r>
        <w:t>Outcome of all adverse events will be classified as one of the following:</w:t>
      </w:r>
    </w:p>
    <w:p w14:paraId="121CD315" w14:textId="5016A2FA" w:rsidR="00404B56" w:rsidRDefault="00404B56" w:rsidP="00DC5D25">
      <w:pPr>
        <w:pStyle w:val="BodyText"/>
        <w:numPr>
          <w:ilvl w:val="0"/>
          <w:numId w:val="56"/>
        </w:numPr>
        <w:spacing w:before="0"/>
        <w:ind w:left="720"/>
      </w:pPr>
      <w:r>
        <w:t>Resolved</w:t>
      </w:r>
    </w:p>
    <w:p w14:paraId="76DA87D2" w14:textId="6B05578C" w:rsidR="00404B56" w:rsidRDefault="00404B56" w:rsidP="00DC5D25">
      <w:pPr>
        <w:pStyle w:val="BodyText"/>
        <w:numPr>
          <w:ilvl w:val="0"/>
          <w:numId w:val="56"/>
        </w:numPr>
        <w:spacing w:before="0"/>
        <w:ind w:left="720"/>
      </w:pPr>
      <w:r>
        <w:t>Resolved with sequelae</w:t>
      </w:r>
    </w:p>
    <w:p w14:paraId="38997029" w14:textId="5DE5B14E" w:rsidR="00404B56" w:rsidRDefault="00404B56" w:rsidP="00DC5D25">
      <w:pPr>
        <w:pStyle w:val="BodyText"/>
        <w:numPr>
          <w:ilvl w:val="0"/>
          <w:numId w:val="56"/>
        </w:numPr>
        <w:spacing w:before="0"/>
        <w:ind w:left="720"/>
      </w:pPr>
      <w:r>
        <w:t>Ongoing</w:t>
      </w:r>
    </w:p>
    <w:p w14:paraId="7D13B637" w14:textId="7816561F" w:rsidR="00511FF5" w:rsidRPr="00511FF5" w:rsidRDefault="00404B56" w:rsidP="00DC5D25">
      <w:pPr>
        <w:pStyle w:val="BodyText"/>
        <w:numPr>
          <w:ilvl w:val="0"/>
          <w:numId w:val="56"/>
        </w:numPr>
        <w:spacing w:before="0"/>
        <w:ind w:left="720"/>
      </w:pPr>
      <w:r>
        <w:t>Death</w:t>
      </w:r>
    </w:p>
    <w:p w14:paraId="2DAA3123" w14:textId="77777777" w:rsidR="00F43682" w:rsidRDefault="00F43682">
      <w:pPr>
        <w:pStyle w:val="Heading2"/>
      </w:pPr>
      <w:bookmarkStart w:id="365" w:name="_Toc53202854"/>
      <w:bookmarkStart w:id="366" w:name="_Toc389130027"/>
      <w:bookmarkStart w:id="367" w:name="_Toc440906330"/>
      <w:r>
        <w:t>Halting Rules</w:t>
      </w:r>
      <w:bookmarkEnd w:id="365"/>
      <w:bookmarkEnd w:id="366"/>
      <w:bookmarkEnd w:id="367"/>
    </w:p>
    <w:p w14:paraId="22963319" w14:textId="698C34C5" w:rsidR="00305001" w:rsidRPr="00305001" w:rsidRDefault="00305001" w:rsidP="009E0AB3">
      <w:pPr>
        <w:pStyle w:val="Heading3"/>
      </w:pPr>
      <w:bookmarkStart w:id="368" w:name="_Toc389130028"/>
      <w:bookmarkStart w:id="369" w:name="_Toc440906331"/>
      <w:bookmarkStart w:id="370" w:name="_Ref522513408"/>
      <w:bookmarkStart w:id="371" w:name="_Ref522513525"/>
      <w:bookmarkStart w:id="372" w:name="_Ref522514312"/>
      <w:r w:rsidRPr="00305001">
        <w:t>Rules for Dose Escalation</w:t>
      </w:r>
      <w:bookmarkEnd w:id="368"/>
      <w:bookmarkEnd w:id="369"/>
    </w:p>
    <w:p w14:paraId="6A12F0DC" w14:textId="42D169B2" w:rsidR="00305001" w:rsidRPr="00305001" w:rsidRDefault="00305001" w:rsidP="00305001">
      <w:pPr>
        <w:pStyle w:val="BodyText"/>
        <w:rPr>
          <w:bCs/>
          <w:iCs/>
        </w:rPr>
      </w:pPr>
      <w:r w:rsidRPr="00305001">
        <w:rPr>
          <w:bCs/>
          <w:iCs/>
        </w:rPr>
        <w:t xml:space="preserve">Entry of participants into the next dose cohort may be permitted after the completion and review by the </w:t>
      </w:r>
      <w:r w:rsidR="005C070C">
        <w:rPr>
          <w:bCs/>
          <w:iCs/>
        </w:rPr>
        <w:t>PI</w:t>
      </w:r>
      <w:r w:rsidR="00F02D76">
        <w:rPr>
          <w:bCs/>
          <w:iCs/>
        </w:rPr>
        <w:t>, Sponsor</w:t>
      </w:r>
      <w:r w:rsidR="003F0938">
        <w:rPr>
          <w:bCs/>
          <w:iCs/>
        </w:rPr>
        <w:t>,</w:t>
      </w:r>
      <w:r w:rsidRPr="00305001">
        <w:rPr>
          <w:bCs/>
          <w:iCs/>
        </w:rPr>
        <w:t xml:space="preserve"> and </w:t>
      </w:r>
      <w:r w:rsidR="005C070C">
        <w:rPr>
          <w:bCs/>
          <w:iCs/>
        </w:rPr>
        <w:t>LMM</w:t>
      </w:r>
      <w:r w:rsidR="002177DF">
        <w:rPr>
          <w:bCs/>
          <w:iCs/>
        </w:rPr>
        <w:t xml:space="preserve"> of cumulative safety data </w:t>
      </w:r>
      <w:r w:rsidRPr="00305001">
        <w:rPr>
          <w:bCs/>
          <w:iCs/>
        </w:rPr>
        <w:t xml:space="preserve">for the most recently completed dose cohort, and the </w:t>
      </w:r>
      <w:r w:rsidR="005C070C">
        <w:rPr>
          <w:bCs/>
          <w:iCs/>
        </w:rPr>
        <w:t>LMM</w:t>
      </w:r>
      <w:r w:rsidRPr="00305001">
        <w:rPr>
          <w:bCs/>
          <w:iCs/>
        </w:rPr>
        <w:t xml:space="preserve"> has confirmed:</w:t>
      </w:r>
    </w:p>
    <w:p w14:paraId="73AF2114" w14:textId="3B6AF4C8" w:rsidR="00305001" w:rsidRPr="00305001" w:rsidRDefault="00305001" w:rsidP="000C5A32">
      <w:pPr>
        <w:pStyle w:val="BodyText"/>
        <w:numPr>
          <w:ilvl w:val="0"/>
          <w:numId w:val="57"/>
        </w:numPr>
        <w:ind w:left="720"/>
        <w:rPr>
          <w:bCs/>
          <w:iCs/>
        </w:rPr>
      </w:pPr>
      <w:r w:rsidRPr="00615FC7">
        <w:rPr>
          <w:bCs/>
          <w:iCs/>
        </w:rPr>
        <w:t>That rules for suspension of the entire study (</w:t>
      </w:r>
      <w:r w:rsidR="003F0938">
        <w:rPr>
          <w:bCs/>
          <w:iCs/>
        </w:rPr>
        <w:t xml:space="preserve">Section </w:t>
      </w:r>
      <w:r w:rsidR="000A6285" w:rsidRPr="00276ADA">
        <w:rPr>
          <w:bCs/>
          <w:iCs/>
          <w:color w:val="0000FF"/>
        </w:rPr>
        <w:fldChar w:fldCharType="begin"/>
      </w:r>
      <w:r w:rsidR="000A6285" w:rsidRPr="00276ADA">
        <w:rPr>
          <w:bCs/>
          <w:iCs/>
          <w:color w:val="0000FF"/>
        </w:rPr>
        <w:instrText xml:space="preserve"> REF _Ref522512796 \r \h </w:instrText>
      </w:r>
      <w:r w:rsidR="000A6285" w:rsidRPr="00276ADA">
        <w:rPr>
          <w:bCs/>
          <w:iCs/>
          <w:color w:val="0000FF"/>
        </w:rPr>
      </w:r>
      <w:r w:rsidR="000A6285" w:rsidRPr="00276ADA">
        <w:rPr>
          <w:bCs/>
          <w:iCs/>
          <w:color w:val="0000FF"/>
        </w:rPr>
        <w:fldChar w:fldCharType="separate"/>
      </w:r>
      <w:r w:rsidR="00024E24">
        <w:rPr>
          <w:bCs/>
          <w:iCs/>
          <w:color w:val="0000FF"/>
        </w:rPr>
        <w:t>9.8.3</w:t>
      </w:r>
      <w:r w:rsidR="000A6285" w:rsidRPr="00276ADA">
        <w:rPr>
          <w:bCs/>
          <w:iCs/>
          <w:color w:val="0000FF"/>
        </w:rPr>
        <w:fldChar w:fldCharType="end"/>
      </w:r>
      <w:r w:rsidRPr="00615FC7">
        <w:rPr>
          <w:bCs/>
          <w:iCs/>
        </w:rPr>
        <w:t xml:space="preserve">) have </w:t>
      </w:r>
      <w:r w:rsidRPr="00305001">
        <w:rPr>
          <w:bCs/>
          <w:iCs/>
        </w:rPr>
        <w:t>not been met AND</w:t>
      </w:r>
    </w:p>
    <w:p w14:paraId="2094F175" w14:textId="3C0B9FA9" w:rsidR="00305001" w:rsidRPr="00305001" w:rsidRDefault="00305001" w:rsidP="000C5A32">
      <w:pPr>
        <w:pStyle w:val="BodyText"/>
        <w:numPr>
          <w:ilvl w:val="0"/>
          <w:numId w:val="57"/>
        </w:numPr>
        <w:ind w:left="720"/>
        <w:rPr>
          <w:bCs/>
          <w:iCs/>
        </w:rPr>
      </w:pPr>
      <w:r w:rsidRPr="00305001">
        <w:rPr>
          <w:bCs/>
          <w:iCs/>
        </w:rPr>
        <w:t>The absence of a pattern of significant symptoms, physical findings</w:t>
      </w:r>
      <w:r w:rsidR="003F0938">
        <w:rPr>
          <w:bCs/>
          <w:iCs/>
        </w:rPr>
        <w:t>,</w:t>
      </w:r>
      <w:r w:rsidRPr="00305001">
        <w:rPr>
          <w:bCs/>
          <w:iCs/>
        </w:rPr>
        <w:t xml:space="preserve"> or laboratory abnormalities (adverse events) that, although individually minor, collectively represent a safety concern in the opinion of the investigator or the </w:t>
      </w:r>
      <w:r w:rsidR="005C070C">
        <w:rPr>
          <w:bCs/>
          <w:iCs/>
        </w:rPr>
        <w:t>LMM</w:t>
      </w:r>
      <w:r w:rsidRPr="00305001">
        <w:rPr>
          <w:bCs/>
          <w:iCs/>
        </w:rPr>
        <w:t xml:space="preserve"> for the most recently completed randomized blinded dose cohort.</w:t>
      </w:r>
    </w:p>
    <w:p w14:paraId="416D2ED5" w14:textId="666FF3CE" w:rsidR="00F02D76" w:rsidRDefault="00F02D76" w:rsidP="00B606C3">
      <w:pPr>
        <w:pStyle w:val="BodyText"/>
        <w:rPr>
          <w:bCs/>
          <w:iCs/>
        </w:rPr>
      </w:pPr>
      <w:r>
        <w:rPr>
          <w:bCs/>
          <w:iCs/>
        </w:rPr>
        <w:t>D</w:t>
      </w:r>
      <w:r w:rsidR="00305001" w:rsidRPr="00305001">
        <w:rPr>
          <w:bCs/>
          <w:iCs/>
        </w:rPr>
        <w:t>ose escalation to the next dose cohort may take place following completion and review of safety data b</w:t>
      </w:r>
      <w:r>
        <w:rPr>
          <w:bCs/>
          <w:iCs/>
        </w:rPr>
        <w:t xml:space="preserve">y the </w:t>
      </w:r>
      <w:r w:rsidR="005C070C">
        <w:rPr>
          <w:bCs/>
          <w:iCs/>
        </w:rPr>
        <w:t>LMM</w:t>
      </w:r>
      <w:r>
        <w:rPr>
          <w:bCs/>
          <w:iCs/>
        </w:rPr>
        <w:t xml:space="preserve"> as follows:</w:t>
      </w:r>
    </w:p>
    <w:p w14:paraId="79DEFEAC" w14:textId="77777777" w:rsidR="00F02D76" w:rsidRPr="00857778" w:rsidRDefault="00F02D76" w:rsidP="009B0277">
      <w:pPr>
        <w:pStyle w:val="BodyText"/>
        <w:rPr>
          <w:bCs/>
        </w:rPr>
      </w:pPr>
      <w:r w:rsidRPr="00857778">
        <w:rPr>
          <w:bCs/>
        </w:rPr>
        <w:t>To ensure subj</w:t>
      </w:r>
      <w:r>
        <w:rPr>
          <w:bCs/>
        </w:rPr>
        <w:t>ect safety prior to increasing</w:t>
      </w:r>
      <w:r w:rsidRPr="00857778">
        <w:rPr>
          <w:bCs/>
        </w:rPr>
        <w:t xml:space="preserve"> the </w:t>
      </w:r>
      <w:r w:rsidRPr="00857778">
        <w:rPr>
          <w:bCs/>
          <w:i/>
        </w:rPr>
        <w:t>rate of randomization</w:t>
      </w:r>
      <w:r w:rsidRPr="00857778">
        <w:rPr>
          <w:bCs/>
        </w:rPr>
        <w:t>, no more than one subject in Cohort 1 will be randomized and dosed per day (see Rules for Suspension).</w:t>
      </w:r>
    </w:p>
    <w:p w14:paraId="7ADD0A83" w14:textId="77777777" w:rsidR="00F02D76" w:rsidRPr="00857778" w:rsidRDefault="00F02D76" w:rsidP="009B0277">
      <w:pPr>
        <w:pStyle w:val="BodyText"/>
        <w:rPr>
          <w:bCs/>
        </w:rPr>
      </w:pPr>
      <w:r w:rsidRPr="00857778">
        <w:rPr>
          <w:bCs/>
        </w:rPr>
        <w:t xml:space="preserve">To ensure subject safety prior to </w:t>
      </w:r>
      <w:r w:rsidRPr="00857778">
        <w:rPr>
          <w:bCs/>
          <w:i/>
        </w:rPr>
        <w:t>dose escalation</w:t>
      </w:r>
      <w:r w:rsidRPr="00857778">
        <w:rPr>
          <w:bCs/>
        </w:rPr>
        <w:t xml:space="preserve">, </w:t>
      </w:r>
      <w:r>
        <w:rPr>
          <w:bCs/>
        </w:rPr>
        <w:t xml:space="preserve">the </w:t>
      </w:r>
      <w:r w:rsidRPr="00857778">
        <w:rPr>
          <w:bCs/>
        </w:rPr>
        <w:t xml:space="preserve">next Cohort </w:t>
      </w:r>
      <w:r>
        <w:rPr>
          <w:bCs/>
        </w:rPr>
        <w:t xml:space="preserve">will not be randomized and injected with a higher dose </w:t>
      </w:r>
      <w:r w:rsidRPr="00857778">
        <w:rPr>
          <w:bCs/>
        </w:rPr>
        <w:t>if a significant safety signal has be</w:t>
      </w:r>
      <w:r>
        <w:rPr>
          <w:bCs/>
        </w:rPr>
        <w:t>en observed at a lower dose</w:t>
      </w:r>
      <w:r w:rsidRPr="00857778">
        <w:rPr>
          <w:bCs/>
        </w:rPr>
        <w:t xml:space="preserve"> (see Rules for Suspension).</w:t>
      </w:r>
    </w:p>
    <w:p w14:paraId="0CE93183" w14:textId="77777777" w:rsidR="00F02D76" w:rsidRDefault="00F02D76" w:rsidP="009B0277">
      <w:pPr>
        <w:pStyle w:val="BodyText"/>
        <w:rPr>
          <w:bCs/>
        </w:rPr>
      </w:pPr>
      <w:r w:rsidRPr="00857778">
        <w:rPr>
          <w:bCs/>
        </w:rPr>
        <w:t xml:space="preserve">To ensure subject safety prior to </w:t>
      </w:r>
      <w:r w:rsidRPr="007C0DD0">
        <w:rPr>
          <w:bCs/>
          <w:i/>
        </w:rPr>
        <w:t>administering a 2</w:t>
      </w:r>
      <w:r w:rsidRPr="007C0DD0">
        <w:rPr>
          <w:bCs/>
          <w:i/>
          <w:vertAlign w:val="superscript"/>
        </w:rPr>
        <w:t>nd</w:t>
      </w:r>
      <w:r w:rsidRPr="007C0DD0">
        <w:rPr>
          <w:bCs/>
          <w:i/>
        </w:rPr>
        <w:t xml:space="preserve"> injection at a given dose level,</w:t>
      </w:r>
      <w:r w:rsidRPr="00857778">
        <w:rPr>
          <w:bCs/>
        </w:rPr>
        <w:t xml:space="preserve"> a 2</w:t>
      </w:r>
      <w:r w:rsidRPr="00857778">
        <w:rPr>
          <w:bCs/>
          <w:vertAlign w:val="superscript"/>
        </w:rPr>
        <w:t>nd</w:t>
      </w:r>
      <w:r w:rsidRPr="00857778">
        <w:rPr>
          <w:bCs/>
        </w:rPr>
        <w:t xml:space="preserve"> injection will not be administered if a significant safety signal has been observed after the first dose in that Cohort (see Rules for Suspension).</w:t>
      </w:r>
    </w:p>
    <w:p w14:paraId="51B04C9E" w14:textId="471CEF71" w:rsidR="007E02DD" w:rsidRPr="00857778" w:rsidRDefault="007E02DD" w:rsidP="009B0277">
      <w:pPr>
        <w:pStyle w:val="BodyText"/>
        <w:rPr>
          <w:bCs/>
        </w:rPr>
      </w:pPr>
      <w:r w:rsidRPr="00857778">
        <w:rPr>
          <w:bCs/>
        </w:rPr>
        <w:t xml:space="preserve">To ensure subject safety prior to </w:t>
      </w:r>
      <w:r w:rsidRPr="007C0DD0">
        <w:rPr>
          <w:bCs/>
          <w:i/>
        </w:rPr>
        <w:t xml:space="preserve">administering a </w:t>
      </w:r>
      <w:r>
        <w:rPr>
          <w:bCs/>
          <w:i/>
        </w:rPr>
        <w:t>3</w:t>
      </w:r>
      <w:r w:rsidRPr="007E02DD">
        <w:rPr>
          <w:bCs/>
          <w:i/>
          <w:vertAlign w:val="superscript"/>
        </w:rPr>
        <w:t>rd</w:t>
      </w:r>
      <w:r>
        <w:rPr>
          <w:bCs/>
          <w:i/>
        </w:rPr>
        <w:t xml:space="preserve"> </w:t>
      </w:r>
      <w:r w:rsidRPr="007C0DD0">
        <w:rPr>
          <w:bCs/>
          <w:i/>
        </w:rPr>
        <w:t xml:space="preserve">injection </w:t>
      </w:r>
      <w:r w:rsidR="003B185F">
        <w:rPr>
          <w:bCs/>
          <w:i/>
        </w:rPr>
        <w:t>in Cohort 3</w:t>
      </w:r>
      <w:r w:rsidRPr="00857778">
        <w:rPr>
          <w:bCs/>
        </w:rPr>
        <w:t xml:space="preserve"> a </w:t>
      </w:r>
      <w:r w:rsidR="003B185F">
        <w:rPr>
          <w:bCs/>
        </w:rPr>
        <w:t>3</w:t>
      </w:r>
      <w:r w:rsidR="003B185F" w:rsidRPr="003B185F">
        <w:rPr>
          <w:bCs/>
          <w:vertAlign w:val="superscript"/>
        </w:rPr>
        <w:t>rd</w:t>
      </w:r>
      <w:r w:rsidR="003B185F">
        <w:rPr>
          <w:bCs/>
        </w:rPr>
        <w:t xml:space="preserve"> </w:t>
      </w:r>
      <w:r w:rsidRPr="00857778">
        <w:rPr>
          <w:bCs/>
        </w:rPr>
        <w:t xml:space="preserve"> injection will not be administered if a significant safety signal has been observed after the </w:t>
      </w:r>
      <w:r w:rsidR="003B185F">
        <w:rPr>
          <w:bCs/>
        </w:rPr>
        <w:t xml:space="preserve">second </w:t>
      </w:r>
      <w:r w:rsidRPr="00857778">
        <w:rPr>
          <w:bCs/>
        </w:rPr>
        <w:t xml:space="preserve">dose in Cohort </w:t>
      </w:r>
      <w:r w:rsidR="003B185F">
        <w:rPr>
          <w:bCs/>
        </w:rPr>
        <w:t xml:space="preserve">3 </w:t>
      </w:r>
      <w:r w:rsidRPr="00857778">
        <w:rPr>
          <w:bCs/>
        </w:rPr>
        <w:t>(see Rules for Suspension).</w:t>
      </w:r>
    </w:p>
    <w:p w14:paraId="681B497C" w14:textId="3E1ED5E0" w:rsidR="00F02D76" w:rsidRPr="00F02D76" w:rsidRDefault="00F02D76" w:rsidP="009B0277">
      <w:pPr>
        <w:pStyle w:val="BodyText"/>
        <w:rPr>
          <w:bCs/>
        </w:rPr>
      </w:pPr>
      <w:r w:rsidRPr="00857778">
        <w:rPr>
          <w:bCs/>
        </w:rPr>
        <w:t xml:space="preserve">To ensure subject safety prior to </w:t>
      </w:r>
      <w:r w:rsidRPr="007C0DD0">
        <w:rPr>
          <w:bCs/>
          <w:i/>
        </w:rPr>
        <w:t>administering a 2</w:t>
      </w:r>
      <w:r w:rsidRPr="007C0DD0">
        <w:rPr>
          <w:bCs/>
          <w:i/>
          <w:vertAlign w:val="superscript"/>
        </w:rPr>
        <w:t>nd</w:t>
      </w:r>
      <w:r w:rsidRPr="007C0DD0">
        <w:rPr>
          <w:bCs/>
          <w:i/>
        </w:rPr>
        <w:t xml:space="preserve"> injection at a higher dose level</w:t>
      </w:r>
      <w:r w:rsidR="00604DEB">
        <w:rPr>
          <w:bCs/>
          <w:i/>
        </w:rPr>
        <w:t xml:space="preserve"> (Cohort 2)</w:t>
      </w:r>
      <w:r w:rsidRPr="00857778">
        <w:rPr>
          <w:bCs/>
        </w:rPr>
        <w:t xml:space="preserve">, </w:t>
      </w:r>
      <w:r>
        <w:rPr>
          <w:bCs/>
        </w:rPr>
        <w:t>a 2</w:t>
      </w:r>
      <w:r w:rsidRPr="00D97233">
        <w:rPr>
          <w:bCs/>
          <w:vertAlign w:val="superscript"/>
        </w:rPr>
        <w:t>nd</w:t>
      </w:r>
      <w:r>
        <w:rPr>
          <w:bCs/>
        </w:rPr>
        <w:t xml:space="preserve"> injection at a higher dose level will not be administered if a </w:t>
      </w:r>
      <w:r w:rsidRPr="00857778">
        <w:rPr>
          <w:bCs/>
        </w:rPr>
        <w:t>significant safety signal has been observed after</w:t>
      </w:r>
      <w:r>
        <w:rPr>
          <w:bCs/>
        </w:rPr>
        <w:t xml:space="preserve"> the 2</w:t>
      </w:r>
      <w:r w:rsidRPr="00D97233">
        <w:rPr>
          <w:bCs/>
          <w:vertAlign w:val="superscript"/>
        </w:rPr>
        <w:t>nd</w:t>
      </w:r>
      <w:r>
        <w:rPr>
          <w:bCs/>
        </w:rPr>
        <w:t xml:space="preserve"> injection at </w:t>
      </w:r>
      <w:r w:rsidR="00604DEB">
        <w:rPr>
          <w:bCs/>
        </w:rPr>
        <w:t xml:space="preserve">the </w:t>
      </w:r>
      <w:r>
        <w:rPr>
          <w:bCs/>
        </w:rPr>
        <w:t>lower dose level</w:t>
      </w:r>
      <w:r w:rsidR="00604DEB">
        <w:rPr>
          <w:bCs/>
        </w:rPr>
        <w:t xml:space="preserve"> in Cohort 1</w:t>
      </w:r>
      <w:r>
        <w:rPr>
          <w:bCs/>
        </w:rPr>
        <w:t>.</w:t>
      </w:r>
    </w:p>
    <w:p w14:paraId="5FFB83C3" w14:textId="593ADACB" w:rsidR="00305001" w:rsidRDefault="00305001" w:rsidP="00B606C3">
      <w:pPr>
        <w:pStyle w:val="BodyText"/>
        <w:rPr>
          <w:bCs/>
          <w:iCs/>
        </w:rPr>
      </w:pPr>
      <w:r w:rsidRPr="00305001">
        <w:rPr>
          <w:bCs/>
          <w:iCs/>
        </w:rPr>
        <w:t xml:space="preserve">The </w:t>
      </w:r>
      <w:r w:rsidR="005C070C">
        <w:rPr>
          <w:bCs/>
          <w:iCs/>
        </w:rPr>
        <w:t>LMM</w:t>
      </w:r>
      <w:r w:rsidR="00F02D76">
        <w:rPr>
          <w:bCs/>
          <w:iCs/>
        </w:rPr>
        <w:t xml:space="preserve"> will confirm their recommendation to proceed to the next cohort</w:t>
      </w:r>
      <w:r w:rsidRPr="00305001">
        <w:rPr>
          <w:bCs/>
          <w:iCs/>
        </w:rPr>
        <w:t xml:space="preserve"> in a memorandum to the study file and inform the principal i</w:t>
      </w:r>
      <w:r w:rsidR="00F02D76">
        <w:rPr>
          <w:bCs/>
          <w:iCs/>
        </w:rPr>
        <w:t>nvestigator(s) before randomization</w:t>
      </w:r>
      <w:r w:rsidRPr="00305001">
        <w:rPr>
          <w:bCs/>
          <w:iCs/>
        </w:rPr>
        <w:t xml:space="preserve"> of the next dose cohort proceeds.</w:t>
      </w:r>
    </w:p>
    <w:p w14:paraId="332D8E0F" w14:textId="5B3E76A7" w:rsidR="001953B6" w:rsidRPr="00305001" w:rsidRDefault="001953B6" w:rsidP="00B606C3">
      <w:pPr>
        <w:pStyle w:val="BodyText"/>
        <w:rPr>
          <w:bCs/>
          <w:iCs/>
        </w:rPr>
      </w:pPr>
      <w:r w:rsidRPr="001953B6">
        <w:rPr>
          <w:bCs/>
          <w:iCs/>
        </w:rPr>
        <w:t xml:space="preserve">If rules for suspension are met or an adverse event pattern of concern is determined to be related to study injection, enrollment and study injection administration will be paused pending review by the </w:t>
      </w:r>
      <w:r w:rsidR="001D0607">
        <w:rPr>
          <w:bCs/>
          <w:iCs/>
        </w:rPr>
        <w:t>DSM</w:t>
      </w:r>
      <w:r w:rsidRPr="001953B6">
        <w:rPr>
          <w:bCs/>
          <w:iCs/>
        </w:rPr>
        <w:t>.</w:t>
      </w:r>
    </w:p>
    <w:p w14:paraId="3E38D26B" w14:textId="77777777" w:rsidR="00B606C3" w:rsidRPr="00017D2A" w:rsidRDefault="00B606C3" w:rsidP="009E0AB3">
      <w:pPr>
        <w:pStyle w:val="Heading3"/>
      </w:pPr>
      <w:bookmarkStart w:id="373" w:name="_Ref376869600"/>
      <w:bookmarkStart w:id="374" w:name="_Toc389130029"/>
      <w:bookmarkStart w:id="375" w:name="_Toc440906332"/>
      <w:r w:rsidRPr="00017D2A">
        <w:t>Rules for Discontinuing Study injection in an Individual Subject</w:t>
      </w:r>
      <w:bookmarkEnd w:id="370"/>
      <w:bookmarkEnd w:id="371"/>
      <w:bookmarkEnd w:id="372"/>
      <w:bookmarkEnd w:id="373"/>
      <w:bookmarkEnd w:id="374"/>
      <w:bookmarkEnd w:id="375"/>
    </w:p>
    <w:p w14:paraId="24ED2F42" w14:textId="195269F6" w:rsidR="00B606C3" w:rsidRPr="00017D2A" w:rsidRDefault="00B606C3" w:rsidP="00B606C3">
      <w:pPr>
        <w:pStyle w:val="BodyText"/>
        <w:rPr>
          <w:iCs/>
        </w:rPr>
      </w:pPr>
      <w:r w:rsidRPr="00017D2A">
        <w:rPr>
          <w:iCs/>
        </w:rPr>
        <w:t xml:space="preserve">Administration of additional study injections will be </w:t>
      </w:r>
      <w:r w:rsidR="00073FBC">
        <w:rPr>
          <w:iCs/>
        </w:rPr>
        <w:t>discontinued</w:t>
      </w:r>
      <w:r w:rsidR="00073FBC" w:rsidRPr="00017D2A">
        <w:rPr>
          <w:iCs/>
        </w:rPr>
        <w:t xml:space="preserve"> </w:t>
      </w:r>
      <w:r w:rsidRPr="00017D2A">
        <w:rPr>
          <w:iCs/>
        </w:rPr>
        <w:t>for an individual if he/she has any of the following reactions:</w:t>
      </w:r>
    </w:p>
    <w:p w14:paraId="3A3ACF65" w14:textId="08725FDA" w:rsidR="00B606C3" w:rsidRPr="00E47D10" w:rsidRDefault="00B606C3" w:rsidP="00C648A1">
      <w:pPr>
        <w:pStyle w:val="BodyText"/>
        <w:numPr>
          <w:ilvl w:val="0"/>
          <w:numId w:val="23"/>
        </w:numPr>
        <w:rPr>
          <w:iCs/>
        </w:rPr>
      </w:pPr>
      <w:r w:rsidRPr="00017D2A">
        <w:rPr>
          <w:iCs/>
        </w:rPr>
        <w:t xml:space="preserve">Changes in laboratory parameters which meet Grade 3 or Grade 4 severity as defined in the Laboratory Toxicity Grading </w:t>
      </w:r>
      <w:r w:rsidRPr="00E47D10">
        <w:rPr>
          <w:iCs/>
        </w:rPr>
        <w:t>Table recommended by FDA Guidance for Industry: Toxicity Grading Scale for Healthy Adults Enrolled in Preventive Vaccine Clinical Trials, September 2007</w:t>
      </w:r>
      <w:r w:rsidR="00031D0F" w:rsidRPr="00E47D10">
        <w:rPr>
          <w:iCs/>
        </w:rPr>
        <w:t xml:space="preserve"> (</w:t>
      </w:r>
      <w:r w:rsidR="00031D0F" w:rsidRPr="00276ADA">
        <w:rPr>
          <w:iCs/>
          <w:color w:val="0000FF"/>
        </w:rPr>
        <w:fldChar w:fldCharType="begin"/>
      </w:r>
      <w:r w:rsidR="00031D0F" w:rsidRPr="00276ADA">
        <w:rPr>
          <w:iCs/>
          <w:color w:val="0000FF"/>
        </w:rPr>
        <w:instrText xml:space="preserve"> REF _Ref376868873 \h </w:instrText>
      </w:r>
      <w:r w:rsidR="00E47D10" w:rsidRPr="00276ADA">
        <w:rPr>
          <w:iCs/>
          <w:color w:val="0000FF"/>
        </w:rPr>
        <w:instrText xml:space="preserve"> \* MERGEFORMAT </w:instrText>
      </w:r>
      <w:r w:rsidR="00031D0F" w:rsidRPr="00276ADA">
        <w:rPr>
          <w:iCs/>
          <w:color w:val="0000FF"/>
        </w:rPr>
      </w:r>
      <w:r w:rsidR="00031D0F" w:rsidRPr="00276ADA">
        <w:rPr>
          <w:iCs/>
          <w:color w:val="0000FF"/>
        </w:rPr>
        <w:fldChar w:fldCharType="separate"/>
      </w:r>
      <w:r w:rsidR="00024E24" w:rsidRPr="00024E24">
        <w:rPr>
          <w:color w:val="0000FF"/>
        </w:rPr>
        <w:t xml:space="preserve">Appendix </w:t>
      </w:r>
      <w:r w:rsidR="00024E24" w:rsidRPr="00024E24">
        <w:rPr>
          <w:noProof/>
          <w:color w:val="0000FF"/>
        </w:rPr>
        <w:t>4</w:t>
      </w:r>
      <w:r w:rsidR="00031D0F" w:rsidRPr="00276ADA">
        <w:rPr>
          <w:iCs/>
          <w:color w:val="0000FF"/>
        </w:rPr>
        <w:fldChar w:fldCharType="end"/>
      </w:r>
      <w:r w:rsidR="00031D0F" w:rsidRPr="00E47D10">
        <w:rPr>
          <w:iCs/>
        </w:rPr>
        <w:t>)</w:t>
      </w:r>
      <w:r w:rsidRPr="00E47D10">
        <w:rPr>
          <w:iCs/>
        </w:rPr>
        <w:t>.</w:t>
      </w:r>
    </w:p>
    <w:p w14:paraId="7D33160D" w14:textId="2B2EDE27" w:rsidR="00B606C3" w:rsidRPr="00017D2A" w:rsidRDefault="00B606C3" w:rsidP="00C648A1">
      <w:pPr>
        <w:pStyle w:val="BodyText"/>
        <w:numPr>
          <w:ilvl w:val="0"/>
          <w:numId w:val="23"/>
        </w:numPr>
        <w:rPr>
          <w:iCs/>
        </w:rPr>
      </w:pPr>
      <w:r w:rsidRPr="00017D2A">
        <w:rPr>
          <w:iCs/>
        </w:rPr>
        <w:t>High fever (</w:t>
      </w:r>
      <w:r w:rsidR="00DB764C">
        <w:rPr>
          <w:iCs/>
        </w:rPr>
        <w:t xml:space="preserve">axillary </w:t>
      </w:r>
      <w:r w:rsidRPr="00017D2A">
        <w:rPr>
          <w:iCs/>
        </w:rPr>
        <w:t xml:space="preserve">temperature ≥ </w:t>
      </w:r>
      <w:r w:rsidR="00DB764C" w:rsidRPr="00017D2A">
        <w:rPr>
          <w:iCs/>
        </w:rPr>
        <w:t>3</w:t>
      </w:r>
      <w:r w:rsidR="003E77ED">
        <w:rPr>
          <w:iCs/>
        </w:rPr>
        <w:t>8</w:t>
      </w:r>
      <w:r w:rsidR="00DB764C">
        <w:rPr>
          <w:iCs/>
        </w:rPr>
        <w:t>.5</w:t>
      </w:r>
      <w:r w:rsidR="00DB764C" w:rsidRPr="00017D2A">
        <w:rPr>
          <w:iCs/>
        </w:rPr>
        <w:t>˚C</w:t>
      </w:r>
      <w:r w:rsidRPr="00017D2A">
        <w:rPr>
          <w:iCs/>
        </w:rPr>
        <w:t>) within 1 week following study injection associated with constitutional symptoms and not attributable to another cause.</w:t>
      </w:r>
    </w:p>
    <w:p w14:paraId="2BE1F20D" w14:textId="71062026" w:rsidR="00B606C3" w:rsidRDefault="00B606C3" w:rsidP="00C648A1">
      <w:pPr>
        <w:pStyle w:val="BodyText"/>
        <w:numPr>
          <w:ilvl w:val="0"/>
          <w:numId w:val="23"/>
        </w:numPr>
        <w:rPr>
          <w:iCs/>
        </w:rPr>
      </w:pPr>
      <w:r w:rsidRPr="00017D2A">
        <w:rPr>
          <w:iCs/>
        </w:rPr>
        <w:t>Severe injection site reactogenicity that involves Grade 3 or Grade 4 local pain, induration, or erythema as defined in</w:t>
      </w:r>
      <w:r w:rsidRPr="005E13C1">
        <w:rPr>
          <w:iCs/>
        </w:rPr>
        <w:t xml:space="preserve"> </w:t>
      </w:r>
      <w:r w:rsidR="005E13C1" w:rsidRPr="00276ADA">
        <w:rPr>
          <w:iCs/>
          <w:color w:val="0000FF"/>
        </w:rPr>
        <w:fldChar w:fldCharType="begin"/>
      </w:r>
      <w:r w:rsidR="005E13C1" w:rsidRPr="00276ADA">
        <w:rPr>
          <w:iCs/>
          <w:color w:val="0000FF"/>
        </w:rPr>
        <w:instrText xml:space="preserve"> REF  _Ref376868929 \h  \* MERGEFORMAT </w:instrText>
      </w:r>
      <w:r w:rsidR="005E13C1" w:rsidRPr="00276ADA">
        <w:rPr>
          <w:iCs/>
          <w:color w:val="0000FF"/>
        </w:rPr>
      </w:r>
      <w:r w:rsidR="005E13C1" w:rsidRPr="00276ADA">
        <w:rPr>
          <w:iCs/>
          <w:color w:val="0000FF"/>
        </w:rPr>
        <w:fldChar w:fldCharType="separate"/>
      </w:r>
      <w:r w:rsidR="00024E24" w:rsidRPr="00024E24">
        <w:rPr>
          <w:color w:val="0000FF"/>
          <w:szCs w:val="22"/>
        </w:rPr>
        <w:t xml:space="preserve">Appendix </w:t>
      </w:r>
      <w:r w:rsidR="00024E24" w:rsidRPr="00024E24">
        <w:rPr>
          <w:caps/>
          <w:noProof/>
          <w:color w:val="0000FF"/>
          <w:szCs w:val="22"/>
        </w:rPr>
        <w:t>5</w:t>
      </w:r>
      <w:r w:rsidR="005E13C1" w:rsidRPr="00276ADA">
        <w:rPr>
          <w:iCs/>
          <w:color w:val="0000FF"/>
        </w:rPr>
        <w:fldChar w:fldCharType="end"/>
      </w:r>
      <w:r w:rsidRPr="00017D2A">
        <w:rPr>
          <w:iCs/>
        </w:rPr>
        <w:t>.</w:t>
      </w:r>
    </w:p>
    <w:p w14:paraId="674485A5" w14:textId="03FD2FC2" w:rsidR="00073FBC" w:rsidRPr="00073FBC" w:rsidRDefault="00073FBC" w:rsidP="00C648A1">
      <w:pPr>
        <w:pStyle w:val="BodyText"/>
        <w:numPr>
          <w:ilvl w:val="0"/>
          <w:numId w:val="23"/>
        </w:numPr>
        <w:rPr>
          <w:iCs/>
        </w:rPr>
      </w:pPr>
      <w:r>
        <w:t xml:space="preserve">Sputum culture result from </w:t>
      </w:r>
      <w:r>
        <w:rPr>
          <w:rFonts w:eastAsia="SimSun"/>
          <w:iCs/>
          <w:lang w:eastAsia="zh-CN"/>
        </w:rPr>
        <w:t xml:space="preserve">end of TB treatment </w:t>
      </w:r>
      <w:r>
        <w:t xml:space="preserve">is </w:t>
      </w:r>
      <w:r w:rsidRPr="00B30228">
        <w:rPr>
          <w:i/>
        </w:rPr>
        <w:t>Mtb</w:t>
      </w:r>
      <w:r>
        <w:t xml:space="preserve"> positive (late exclusion).</w:t>
      </w:r>
    </w:p>
    <w:p w14:paraId="0CDE21A9" w14:textId="55E38575" w:rsidR="00073FBC" w:rsidRPr="00073FBC" w:rsidRDefault="00073FBC" w:rsidP="00C648A1">
      <w:pPr>
        <w:pStyle w:val="BodyText"/>
        <w:numPr>
          <w:ilvl w:val="0"/>
          <w:numId w:val="23"/>
        </w:numPr>
        <w:rPr>
          <w:iCs/>
        </w:rPr>
      </w:pPr>
      <w:r>
        <w:t>Development of active TB.</w:t>
      </w:r>
    </w:p>
    <w:p w14:paraId="40BE0C1D" w14:textId="1483B9F1" w:rsidR="00073FBC" w:rsidRPr="00073FBC" w:rsidRDefault="00073FBC" w:rsidP="00C648A1">
      <w:pPr>
        <w:pStyle w:val="BodyText"/>
        <w:numPr>
          <w:ilvl w:val="0"/>
          <w:numId w:val="23"/>
        </w:numPr>
        <w:rPr>
          <w:iCs/>
        </w:rPr>
      </w:pPr>
      <w:r>
        <w:t>Pregnancy.</w:t>
      </w:r>
    </w:p>
    <w:p w14:paraId="1C80FD43" w14:textId="7E7108A7" w:rsidR="00073FBC" w:rsidRPr="00017D2A" w:rsidRDefault="00073FBC" w:rsidP="00534A40">
      <w:pPr>
        <w:pStyle w:val="BodyText"/>
        <w:rPr>
          <w:iCs/>
        </w:rPr>
      </w:pPr>
      <w:r>
        <w:t xml:space="preserve">Subjects for whom study injections are discontinued will remain in </w:t>
      </w:r>
      <w:r w:rsidR="00DB764C">
        <w:t xml:space="preserve">limited visit </w:t>
      </w:r>
      <w:r>
        <w:t xml:space="preserve">follow-up for </w:t>
      </w:r>
      <w:r w:rsidR="0016010A">
        <w:t xml:space="preserve">6 months after their first injection for </w:t>
      </w:r>
      <w:r>
        <w:t>safety evaluations</w:t>
      </w:r>
      <w:r w:rsidR="0016010A">
        <w:t xml:space="preserve"> of AEs</w:t>
      </w:r>
      <w:r w:rsidR="00636014">
        <w:t xml:space="preserve"> (28 days post first study injection)</w:t>
      </w:r>
      <w:r w:rsidR="0016010A">
        <w:t>, SAEs</w:t>
      </w:r>
      <w:r w:rsidR="00534A40">
        <w:t>,</w:t>
      </w:r>
      <w:r w:rsidR="0016010A">
        <w:t xml:space="preserve"> and AESIs</w:t>
      </w:r>
      <w:r w:rsidR="00DB764C">
        <w:t>, and have no further immunology blood draws</w:t>
      </w:r>
      <w:r w:rsidR="00C7124B">
        <w:t xml:space="preserve">. </w:t>
      </w:r>
      <w:r>
        <w:t xml:space="preserve"> </w:t>
      </w:r>
    </w:p>
    <w:p w14:paraId="33093AF2" w14:textId="77777777" w:rsidR="00031D0F" w:rsidRDefault="00031D0F" w:rsidP="005F1962"/>
    <w:p w14:paraId="160FA3FB" w14:textId="2682C92F" w:rsidR="00B606C3" w:rsidRPr="000A6285" w:rsidRDefault="00B606C3" w:rsidP="005F1962">
      <w:pPr>
        <w:rPr>
          <w:b/>
        </w:rPr>
      </w:pPr>
      <w:r w:rsidRPr="000A6285">
        <w:rPr>
          <w:b/>
        </w:rPr>
        <w:t>The reporting sequence for AEs that require discontinuation of study injections in an individual subject</w:t>
      </w:r>
      <w:r w:rsidRPr="000A6285" w:rsidDel="00981993">
        <w:rPr>
          <w:b/>
        </w:rPr>
        <w:t xml:space="preserve"> </w:t>
      </w:r>
      <w:r w:rsidRPr="000A6285">
        <w:rPr>
          <w:b/>
        </w:rPr>
        <w:t>will be as follows:</w:t>
      </w:r>
    </w:p>
    <w:p w14:paraId="7112A40E" w14:textId="77777777" w:rsidR="00B606C3" w:rsidRPr="00017D2A" w:rsidRDefault="00B606C3" w:rsidP="00C648A1">
      <w:pPr>
        <w:pStyle w:val="BodyText"/>
        <w:numPr>
          <w:ilvl w:val="0"/>
          <w:numId w:val="24"/>
        </w:numPr>
        <w:rPr>
          <w:iCs/>
        </w:rPr>
      </w:pPr>
      <w:r w:rsidRPr="00017D2A">
        <w:rPr>
          <w:iCs/>
        </w:rPr>
        <w:t xml:space="preserve">The Principal Investigator (or designee) must report the event </w:t>
      </w:r>
      <w:r w:rsidRPr="00017D2A">
        <w:rPr>
          <w:iCs/>
          <w:u w:val="single"/>
        </w:rPr>
        <w:t>immediatel</w:t>
      </w:r>
      <w:r w:rsidRPr="00017D2A">
        <w:rPr>
          <w:iCs/>
        </w:rPr>
        <w:t>y (within 24 hours) to IDRI Pharmacovigilance.</w:t>
      </w:r>
    </w:p>
    <w:p w14:paraId="732C9F0D" w14:textId="24F8E43F" w:rsidR="00B606C3" w:rsidRPr="00017D2A" w:rsidRDefault="00B606C3" w:rsidP="00C648A1">
      <w:pPr>
        <w:pStyle w:val="BodyText"/>
        <w:numPr>
          <w:ilvl w:val="0"/>
          <w:numId w:val="24"/>
        </w:numPr>
        <w:rPr>
          <w:iCs/>
        </w:rPr>
      </w:pPr>
      <w:r w:rsidRPr="00017D2A">
        <w:rPr>
          <w:iCs/>
        </w:rPr>
        <w:t xml:space="preserve">IDRI Pharmacovigilance will then complete and forward an incident report by e-mail, containing all relevant information about the subject, to the </w:t>
      </w:r>
      <w:r w:rsidR="000A6285">
        <w:rPr>
          <w:iCs/>
        </w:rPr>
        <w:t xml:space="preserve">LMM, </w:t>
      </w:r>
      <w:r w:rsidRPr="00017D2A">
        <w:rPr>
          <w:iCs/>
        </w:rPr>
        <w:t>IDRI M</w:t>
      </w:r>
      <w:r w:rsidR="000A6285">
        <w:rPr>
          <w:iCs/>
        </w:rPr>
        <w:t>A</w:t>
      </w:r>
      <w:r w:rsidR="003F0938">
        <w:rPr>
          <w:iCs/>
        </w:rPr>
        <w:t>,</w:t>
      </w:r>
      <w:r w:rsidRPr="00017D2A">
        <w:rPr>
          <w:iCs/>
        </w:rPr>
        <w:t xml:space="preserve"> and the </w:t>
      </w:r>
      <w:r w:rsidR="001D0607">
        <w:rPr>
          <w:iCs/>
        </w:rPr>
        <w:t>DSM</w:t>
      </w:r>
      <w:r w:rsidRPr="00017D2A">
        <w:rPr>
          <w:iCs/>
        </w:rPr>
        <w:t xml:space="preserve"> within 48 hours of receipt of the report of the event.</w:t>
      </w:r>
    </w:p>
    <w:p w14:paraId="11DE9A34" w14:textId="77777777" w:rsidR="00B606C3" w:rsidRPr="00017D2A" w:rsidRDefault="00B606C3" w:rsidP="00C648A1">
      <w:pPr>
        <w:pStyle w:val="BodyText"/>
        <w:numPr>
          <w:ilvl w:val="0"/>
          <w:numId w:val="24"/>
        </w:numPr>
        <w:rPr>
          <w:iCs/>
        </w:rPr>
      </w:pPr>
      <w:r w:rsidRPr="00017D2A">
        <w:rPr>
          <w:iCs/>
        </w:rPr>
        <w:t>The Principal Investigator will meet local EC reporting requirements.</w:t>
      </w:r>
    </w:p>
    <w:p w14:paraId="23CE86B2" w14:textId="48F80445" w:rsidR="00B606C3" w:rsidRPr="00017D2A" w:rsidRDefault="00B606C3" w:rsidP="00C648A1">
      <w:pPr>
        <w:pStyle w:val="BodyText"/>
        <w:numPr>
          <w:ilvl w:val="0"/>
          <w:numId w:val="24"/>
        </w:numPr>
        <w:rPr>
          <w:iCs/>
        </w:rPr>
      </w:pPr>
      <w:r w:rsidRPr="00017D2A">
        <w:rPr>
          <w:iCs/>
        </w:rPr>
        <w:t xml:space="preserve">The </w:t>
      </w:r>
      <w:r w:rsidR="0099456B">
        <w:rPr>
          <w:iCs/>
        </w:rPr>
        <w:t>LMM</w:t>
      </w:r>
      <w:r w:rsidR="0099456B" w:rsidRPr="00017D2A">
        <w:rPr>
          <w:iCs/>
        </w:rPr>
        <w:t xml:space="preserve"> </w:t>
      </w:r>
      <w:r w:rsidRPr="00017D2A">
        <w:rPr>
          <w:iCs/>
        </w:rPr>
        <w:t xml:space="preserve">must provide a written report by e-mail to the </w:t>
      </w:r>
      <w:r w:rsidR="0099456B">
        <w:rPr>
          <w:iCs/>
        </w:rPr>
        <w:t>DSM</w:t>
      </w:r>
      <w:r w:rsidR="0099456B" w:rsidRPr="00017D2A">
        <w:rPr>
          <w:iCs/>
        </w:rPr>
        <w:t xml:space="preserve"> </w:t>
      </w:r>
      <w:r w:rsidRPr="00017D2A">
        <w:rPr>
          <w:iCs/>
        </w:rPr>
        <w:t xml:space="preserve">and </w:t>
      </w:r>
      <w:r w:rsidR="0099456B">
        <w:rPr>
          <w:iCs/>
        </w:rPr>
        <w:t xml:space="preserve">IDRI </w:t>
      </w:r>
      <w:r w:rsidRPr="00017D2A">
        <w:rPr>
          <w:iCs/>
        </w:rPr>
        <w:t xml:space="preserve">Pharmacovigilance within 2 working days of receipt of the initial incident report. This report must provide a recommendation as to whether the individual subject may continue to receive </w:t>
      </w:r>
      <w:r w:rsidR="002C59ED">
        <w:rPr>
          <w:iCs/>
        </w:rPr>
        <w:t>study injection</w:t>
      </w:r>
      <w:r w:rsidRPr="00017D2A">
        <w:rPr>
          <w:iCs/>
        </w:rPr>
        <w:t xml:space="preserve">s (if any additional </w:t>
      </w:r>
      <w:r w:rsidR="002C59ED">
        <w:rPr>
          <w:iCs/>
        </w:rPr>
        <w:t>injection</w:t>
      </w:r>
      <w:r w:rsidRPr="00017D2A">
        <w:rPr>
          <w:iCs/>
        </w:rPr>
        <w:t>s are scheduled).</w:t>
      </w:r>
    </w:p>
    <w:p w14:paraId="45123148" w14:textId="77777777" w:rsidR="00B606C3" w:rsidRPr="00017D2A" w:rsidRDefault="00B606C3" w:rsidP="00C648A1">
      <w:pPr>
        <w:pStyle w:val="BodyText"/>
        <w:numPr>
          <w:ilvl w:val="0"/>
          <w:numId w:val="24"/>
        </w:numPr>
        <w:rPr>
          <w:iCs/>
        </w:rPr>
      </w:pPr>
      <w:r w:rsidRPr="00017D2A">
        <w:rPr>
          <w:iCs/>
        </w:rPr>
        <w:t xml:space="preserve">IDRI Pharmacovigilance will forward the written report and recommendation by e-mail to the Principal Investigator within 2 working days of receipt. </w:t>
      </w:r>
    </w:p>
    <w:p w14:paraId="65F97018" w14:textId="61731B3E" w:rsidR="00B606C3" w:rsidRPr="00017D2A" w:rsidRDefault="00B606C3" w:rsidP="00B606C3">
      <w:pPr>
        <w:pStyle w:val="BodyText"/>
        <w:rPr>
          <w:iCs/>
        </w:rPr>
      </w:pPr>
      <w:r w:rsidRPr="00017D2A">
        <w:rPr>
          <w:iCs/>
        </w:rPr>
        <w:t xml:space="preserve">All subjects who are discontinued from study injections due to </w:t>
      </w:r>
      <w:r w:rsidR="000A6285">
        <w:rPr>
          <w:iCs/>
        </w:rPr>
        <w:t xml:space="preserve">one of the above </w:t>
      </w:r>
      <w:r w:rsidR="008E31C5">
        <w:rPr>
          <w:iCs/>
        </w:rPr>
        <w:t>dose-limiting</w:t>
      </w:r>
      <w:r w:rsidR="000A6285">
        <w:rPr>
          <w:iCs/>
        </w:rPr>
        <w:t xml:space="preserve"> reactions</w:t>
      </w:r>
      <w:r w:rsidR="000A6285" w:rsidRPr="00017D2A">
        <w:rPr>
          <w:iCs/>
        </w:rPr>
        <w:t xml:space="preserve"> </w:t>
      </w:r>
      <w:r w:rsidRPr="00017D2A">
        <w:rPr>
          <w:iCs/>
        </w:rPr>
        <w:t>will be followed until the resolution or stabilization of the event.</w:t>
      </w:r>
    </w:p>
    <w:p w14:paraId="2D4E39DD" w14:textId="77777777" w:rsidR="00B606C3" w:rsidRPr="00017D2A" w:rsidRDefault="00B606C3" w:rsidP="009E0AB3">
      <w:pPr>
        <w:pStyle w:val="Heading3"/>
      </w:pPr>
      <w:bookmarkStart w:id="376" w:name="_Rules_for_Discontinuing"/>
      <w:bookmarkStart w:id="377" w:name="_Ref522512796"/>
      <w:bookmarkStart w:id="378" w:name="_Ref522512800"/>
      <w:bookmarkStart w:id="379" w:name="_Ref522513427"/>
      <w:bookmarkStart w:id="380" w:name="_Toc389130030"/>
      <w:bookmarkStart w:id="381" w:name="_Toc440906333"/>
      <w:bookmarkEnd w:id="376"/>
      <w:r w:rsidRPr="00017D2A">
        <w:t>Rules for Suspension of the Entire Study</w:t>
      </w:r>
      <w:bookmarkEnd w:id="377"/>
      <w:bookmarkEnd w:id="378"/>
      <w:bookmarkEnd w:id="379"/>
      <w:bookmarkEnd w:id="380"/>
      <w:bookmarkEnd w:id="381"/>
    </w:p>
    <w:p w14:paraId="2D0E9167" w14:textId="2B796F76" w:rsidR="00B606C3" w:rsidRPr="00017D2A" w:rsidRDefault="00B606C3" w:rsidP="00B606C3">
      <w:pPr>
        <w:pStyle w:val="BodyText"/>
        <w:rPr>
          <w:iCs/>
        </w:rPr>
      </w:pPr>
      <w:r w:rsidRPr="00017D2A">
        <w:rPr>
          <w:iCs/>
        </w:rPr>
        <w:t xml:space="preserve">The study will be immediately suspended </w:t>
      </w:r>
      <w:r w:rsidR="00C7124B">
        <w:rPr>
          <w:iCs/>
        </w:rPr>
        <w:t xml:space="preserve">(paused) </w:t>
      </w:r>
      <w:r w:rsidRPr="00017D2A">
        <w:rPr>
          <w:iCs/>
        </w:rPr>
        <w:t>and no additional study injections administered</w:t>
      </w:r>
      <w:r w:rsidR="00F02D76">
        <w:rPr>
          <w:iCs/>
        </w:rPr>
        <w:t>,</w:t>
      </w:r>
      <w:r w:rsidRPr="00017D2A">
        <w:rPr>
          <w:iCs/>
        </w:rPr>
        <w:t xml:space="preserve"> pending review and discussion of all appropriate safety data </w:t>
      </w:r>
      <w:r w:rsidR="00F02D76">
        <w:rPr>
          <w:iCs/>
        </w:rPr>
        <w:t xml:space="preserve">by the </w:t>
      </w:r>
      <w:r w:rsidR="001D0607">
        <w:rPr>
          <w:iCs/>
        </w:rPr>
        <w:t>DSM</w:t>
      </w:r>
      <w:r w:rsidR="00F02D76">
        <w:rPr>
          <w:iCs/>
        </w:rPr>
        <w:t xml:space="preserve">, </w:t>
      </w:r>
      <w:r w:rsidRPr="00017D2A">
        <w:rPr>
          <w:iCs/>
        </w:rPr>
        <w:t>if one or more subjects in any treatment group experience any of the following adverse events (</w:t>
      </w:r>
      <w:r w:rsidR="008E31C5">
        <w:rPr>
          <w:iCs/>
        </w:rPr>
        <w:t>dose-limiting reaction</w:t>
      </w:r>
      <w:r w:rsidR="008E31C5" w:rsidRPr="00017D2A">
        <w:rPr>
          <w:iCs/>
        </w:rPr>
        <w:t>s</w:t>
      </w:r>
      <w:r w:rsidRPr="00017D2A">
        <w:rPr>
          <w:iCs/>
        </w:rPr>
        <w:t>):</w:t>
      </w:r>
    </w:p>
    <w:p w14:paraId="22ECE626" w14:textId="77777777" w:rsidR="00B606C3" w:rsidRPr="00017D2A" w:rsidRDefault="00B606C3" w:rsidP="009B0277">
      <w:pPr>
        <w:pStyle w:val="BodyText"/>
        <w:numPr>
          <w:ilvl w:val="0"/>
          <w:numId w:val="25"/>
        </w:numPr>
        <w:ind w:left="720"/>
        <w:rPr>
          <w:iCs/>
        </w:rPr>
      </w:pPr>
      <w:r w:rsidRPr="00017D2A">
        <w:rPr>
          <w:iCs/>
        </w:rPr>
        <w:t>Anaphylaxis or bronchospasm within 4 hours of study injection indicative of an immediate hypersensitivity reaction to the vaccine and not attributable to another cause.</w:t>
      </w:r>
    </w:p>
    <w:p w14:paraId="75460F73" w14:textId="77777777" w:rsidR="00B606C3" w:rsidRPr="00017D2A" w:rsidRDefault="00B606C3" w:rsidP="009B0277">
      <w:pPr>
        <w:pStyle w:val="BodyText"/>
        <w:numPr>
          <w:ilvl w:val="0"/>
          <w:numId w:val="25"/>
        </w:numPr>
        <w:ind w:left="720"/>
        <w:rPr>
          <w:iCs/>
        </w:rPr>
      </w:pPr>
      <w:r w:rsidRPr="00017D2A">
        <w:rPr>
          <w:iCs/>
        </w:rPr>
        <w:t>Any systemic rash, including but not limited to urticaria, generalized petechiae, or erythema multiforme, not attributable to another cause.</w:t>
      </w:r>
    </w:p>
    <w:p w14:paraId="1BCBB234" w14:textId="19376520" w:rsidR="00B606C3" w:rsidRPr="00017D2A" w:rsidRDefault="00B606C3" w:rsidP="009B0277">
      <w:pPr>
        <w:pStyle w:val="BodyText"/>
        <w:numPr>
          <w:ilvl w:val="0"/>
          <w:numId w:val="25"/>
        </w:numPr>
        <w:ind w:left="720"/>
        <w:rPr>
          <w:iCs/>
        </w:rPr>
      </w:pPr>
      <w:r w:rsidRPr="00017D2A">
        <w:rPr>
          <w:iCs/>
        </w:rPr>
        <w:t xml:space="preserve">Tissue necrosis at the </w:t>
      </w:r>
      <w:r w:rsidR="002C59ED">
        <w:rPr>
          <w:iCs/>
        </w:rPr>
        <w:t>study injection</w:t>
      </w:r>
      <w:r w:rsidRPr="00017D2A">
        <w:rPr>
          <w:iCs/>
        </w:rPr>
        <w:t xml:space="preserve"> site.</w:t>
      </w:r>
    </w:p>
    <w:p w14:paraId="70803F71" w14:textId="15F3423B" w:rsidR="00B606C3" w:rsidRPr="00017D2A" w:rsidRDefault="00B606C3" w:rsidP="009B0277">
      <w:pPr>
        <w:pStyle w:val="BodyText"/>
        <w:numPr>
          <w:ilvl w:val="0"/>
          <w:numId w:val="25"/>
        </w:numPr>
        <w:ind w:left="720"/>
        <w:rPr>
          <w:iCs/>
        </w:rPr>
      </w:pPr>
      <w:r w:rsidRPr="00017D2A">
        <w:rPr>
          <w:iCs/>
        </w:rPr>
        <w:t>Any other serious adverse event deemed to be possibly, probably, or definitely attributable to the study injection by the Principal Investigator, IDRI M</w:t>
      </w:r>
      <w:r w:rsidR="008E31C5">
        <w:rPr>
          <w:iCs/>
        </w:rPr>
        <w:t>A, LMM</w:t>
      </w:r>
      <w:r w:rsidRPr="00017D2A">
        <w:rPr>
          <w:iCs/>
        </w:rPr>
        <w:t xml:space="preserve">, or </w:t>
      </w:r>
      <w:r w:rsidR="001D0607">
        <w:rPr>
          <w:iCs/>
        </w:rPr>
        <w:t>DSM</w:t>
      </w:r>
      <w:r w:rsidRPr="00017D2A">
        <w:rPr>
          <w:iCs/>
        </w:rPr>
        <w:t>, based on close temporal relationship or other factors.</w:t>
      </w:r>
    </w:p>
    <w:p w14:paraId="030EC7FE" w14:textId="57828D33" w:rsidR="00B606C3" w:rsidRDefault="00B606C3" w:rsidP="000C5A32">
      <w:pPr>
        <w:pStyle w:val="BodyText"/>
        <w:spacing w:before="120" w:after="120"/>
        <w:rPr>
          <w:iCs/>
        </w:rPr>
      </w:pPr>
      <w:r w:rsidRPr="00017D2A">
        <w:rPr>
          <w:iCs/>
        </w:rPr>
        <w:t xml:space="preserve">The study will also be immediately suspended </w:t>
      </w:r>
      <w:r w:rsidR="00C7124B">
        <w:rPr>
          <w:iCs/>
        </w:rPr>
        <w:t xml:space="preserve">(paused) </w:t>
      </w:r>
      <w:r w:rsidRPr="00017D2A">
        <w:rPr>
          <w:iCs/>
        </w:rPr>
        <w:t xml:space="preserve">and no additional study injections administered pending review and discussion of all appropriate safety data </w:t>
      </w:r>
      <w:r w:rsidR="00F02D76">
        <w:rPr>
          <w:iCs/>
        </w:rPr>
        <w:t xml:space="preserve">by the </w:t>
      </w:r>
      <w:r w:rsidR="00F02D76" w:rsidRPr="00041EFB">
        <w:rPr>
          <w:iCs/>
        </w:rPr>
        <w:t>DSM</w:t>
      </w:r>
      <w:r w:rsidR="00F02D76">
        <w:rPr>
          <w:iCs/>
        </w:rPr>
        <w:t xml:space="preserve"> </w:t>
      </w:r>
      <w:r w:rsidRPr="00017D2A">
        <w:rPr>
          <w:iCs/>
        </w:rPr>
        <w:t xml:space="preserve">if three or more subjects fulfill the criteria in </w:t>
      </w:r>
      <w:r w:rsidR="000C5A32">
        <w:rPr>
          <w:iCs/>
        </w:rPr>
        <w:t xml:space="preserve">Section </w:t>
      </w:r>
      <w:r w:rsidR="008E31C5" w:rsidRPr="00276ADA">
        <w:rPr>
          <w:iCs/>
          <w:color w:val="0000FF"/>
        </w:rPr>
        <w:fldChar w:fldCharType="begin"/>
      </w:r>
      <w:r w:rsidR="008E31C5" w:rsidRPr="00276ADA">
        <w:rPr>
          <w:iCs/>
          <w:color w:val="0000FF"/>
        </w:rPr>
        <w:instrText xml:space="preserve"> REF _Ref376869600 \r \h </w:instrText>
      </w:r>
      <w:r w:rsidR="008E31C5" w:rsidRPr="00276ADA">
        <w:rPr>
          <w:iCs/>
          <w:color w:val="0000FF"/>
        </w:rPr>
      </w:r>
      <w:r w:rsidR="008E31C5" w:rsidRPr="00276ADA">
        <w:rPr>
          <w:iCs/>
          <w:color w:val="0000FF"/>
        </w:rPr>
        <w:fldChar w:fldCharType="separate"/>
      </w:r>
      <w:r w:rsidR="00024E24">
        <w:rPr>
          <w:iCs/>
          <w:color w:val="0000FF"/>
        </w:rPr>
        <w:t>9.8.2</w:t>
      </w:r>
      <w:r w:rsidR="008E31C5" w:rsidRPr="00276ADA">
        <w:rPr>
          <w:iCs/>
          <w:color w:val="0000FF"/>
        </w:rPr>
        <w:fldChar w:fldCharType="end"/>
      </w:r>
      <w:r w:rsidRPr="00017D2A">
        <w:rPr>
          <w:iCs/>
        </w:rPr>
        <w:t xml:space="preserve"> for discontinuation of study injections in an individual subject and if the dose-limiting AEs are determined to be possibly, probably, or definitely related to study injection.</w:t>
      </w:r>
    </w:p>
    <w:p w14:paraId="691B0B27" w14:textId="6DAEEEFA" w:rsidR="00B606C3" w:rsidRPr="00247534" w:rsidRDefault="00B606C3" w:rsidP="000C5A32">
      <w:pPr>
        <w:spacing w:before="120" w:after="120"/>
        <w:rPr>
          <w:b/>
        </w:rPr>
      </w:pPr>
      <w:r w:rsidRPr="00247534">
        <w:rPr>
          <w:b/>
        </w:rPr>
        <w:t>The reporting sequence for AEs that require suspension of study injections in all subjects enrolled in the study will be as follows:</w:t>
      </w:r>
    </w:p>
    <w:p w14:paraId="4D87B3A2" w14:textId="77777777" w:rsidR="00B606C3" w:rsidRPr="00017D2A" w:rsidRDefault="00B606C3" w:rsidP="00C648A1">
      <w:pPr>
        <w:pStyle w:val="BodyText"/>
        <w:numPr>
          <w:ilvl w:val="0"/>
          <w:numId w:val="26"/>
        </w:numPr>
        <w:rPr>
          <w:iCs/>
        </w:rPr>
      </w:pPr>
      <w:r w:rsidRPr="00017D2A">
        <w:rPr>
          <w:iCs/>
        </w:rPr>
        <w:t>The Principal Investigator (or designee) must report immediately (within 24 hours) any occurrence of one or more of the above events to IDRI Pharmacovigilance.</w:t>
      </w:r>
    </w:p>
    <w:p w14:paraId="6A031DDF" w14:textId="7B591428" w:rsidR="00B606C3" w:rsidRPr="00017D2A" w:rsidRDefault="00B606C3" w:rsidP="00C648A1">
      <w:pPr>
        <w:pStyle w:val="BodyText"/>
        <w:numPr>
          <w:ilvl w:val="0"/>
          <w:numId w:val="26"/>
        </w:numPr>
        <w:rPr>
          <w:iCs/>
        </w:rPr>
      </w:pPr>
      <w:r w:rsidRPr="00017D2A">
        <w:rPr>
          <w:iCs/>
        </w:rPr>
        <w:t>IDRI Pharmacovigilance will then complete and forward an incident report by e-mail, containing all relevant information about the subject(s) to the IDRI M</w:t>
      </w:r>
      <w:r w:rsidR="008E31C5">
        <w:rPr>
          <w:iCs/>
        </w:rPr>
        <w:t>A, LMM</w:t>
      </w:r>
      <w:r w:rsidR="003F0938">
        <w:rPr>
          <w:iCs/>
        </w:rPr>
        <w:t>,</w:t>
      </w:r>
      <w:r w:rsidR="008E31C5">
        <w:rPr>
          <w:iCs/>
        </w:rPr>
        <w:t xml:space="preserve"> </w:t>
      </w:r>
      <w:r w:rsidRPr="00017D2A">
        <w:rPr>
          <w:iCs/>
        </w:rPr>
        <w:t xml:space="preserve">and the </w:t>
      </w:r>
      <w:r w:rsidR="001D0607">
        <w:rPr>
          <w:iCs/>
        </w:rPr>
        <w:t>DSM</w:t>
      </w:r>
      <w:r w:rsidRPr="00017D2A">
        <w:rPr>
          <w:iCs/>
        </w:rPr>
        <w:t xml:space="preserve"> within 48 hours of receipt of the report of the event.</w:t>
      </w:r>
    </w:p>
    <w:p w14:paraId="149DF3EB" w14:textId="6563A784" w:rsidR="00B606C3" w:rsidRPr="00017D2A" w:rsidRDefault="00B606C3" w:rsidP="00C648A1">
      <w:pPr>
        <w:pStyle w:val="BodyText"/>
        <w:numPr>
          <w:ilvl w:val="0"/>
          <w:numId w:val="26"/>
        </w:numPr>
        <w:rPr>
          <w:iCs/>
        </w:rPr>
      </w:pPr>
      <w:r w:rsidRPr="00017D2A">
        <w:rPr>
          <w:iCs/>
        </w:rPr>
        <w:t>In case of SAE possibly related to the Investigational Product that resulted in death or is life-threatening,</w:t>
      </w:r>
      <w:r w:rsidR="00C253B3">
        <w:rPr>
          <w:iCs/>
        </w:rPr>
        <w:t xml:space="preserve"> follow reporting requirements listed in Section 9.6.2.</w:t>
      </w:r>
      <w:r w:rsidRPr="00017D2A">
        <w:rPr>
          <w:iCs/>
        </w:rPr>
        <w:t xml:space="preserve"> </w:t>
      </w:r>
    </w:p>
    <w:p w14:paraId="0AA3342C" w14:textId="14A7BFCA" w:rsidR="00B606C3" w:rsidRPr="00017D2A" w:rsidRDefault="00B606C3" w:rsidP="00C648A1">
      <w:pPr>
        <w:pStyle w:val="BodyText"/>
        <w:numPr>
          <w:ilvl w:val="0"/>
          <w:numId w:val="26"/>
        </w:numPr>
        <w:rPr>
          <w:iCs/>
        </w:rPr>
      </w:pPr>
      <w:r w:rsidRPr="00017D2A">
        <w:rPr>
          <w:iCs/>
        </w:rPr>
        <w:t>Within 15 working days of the initial report of the event, the IDRI M</w:t>
      </w:r>
      <w:r w:rsidR="008E31C5">
        <w:rPr>
          <w:iCs/>
        </w:rPr>
        <w:t>A, LMM</w:t>
      </w:r>
      <w:r w:rsidRPr="00017D2A">
        <w:rPr>
          <w:iCs/>
        </w:rPr>
        <w:t xml:space="preserve">, the </w:t>
      </w:r>
      <w:r w:rsidR="001D0607">
        <w:rPr>
          <w:iCs/>
        </w:rPr>
        <w:t>DSM</w:t>
      </w:r>
      <w:r w:rsidRPr="00017D2A">
        <w:rPr>
          <w:iCs/>
        </w:rPr>
        <w:t>, FDA, and the Principal Investigator must reach a consensus to either re-start or terminate the study. This process will be coordinated by the IDRI Project Director.</w:t>
      </w:r>
    </w:p>
    <w:p w14:paraId="32153F7F" w14:textId="77777777" w:rsidR="00B606C3" w:rsidRPr="00017D2A" w:rsidRDefault="00B606C3" w:rsidP="00B606C3">
      <w:pPr>
        <w:pStyle w:val="BodyText"/>
        <w:rPr>
          <w:iCs/>
        </w:rPr>
      </w:pPr>
      <w:r w:rsidRPr="00017D2A">
        <w:rPr>
          <w:iCs/>
        </w:rPr>
        <w:t>The Principal Investigator must report the incident(s) and the final decision to re-start or terminate the study to the local Ethics Committee.</w:t>
      </w:r>
    </w:p>
    <w:p w14:paraId="7431B7DC" w14:textId="3B1E5AE1" w:rsidR="00B606C3" w:rsidRPr="00017D2A" w:rsidRDefault="00B606C3" w:rsidP="00B606C3">
      <w:pPr>
        <w:pStyle w:val="BodyText"/>
        <w:rPr>
          <w:iCs/>
        </w:rPr>
      </w:pPr>
      <w:r w:rsidRPr="00017D2A">
        <w:rPr>
          <w:iCs/>
        </w:rPr>
        <w:t xml:space="preserve">Study suspension or termination will only apply to additional study injections. </w:t>
      </w:r>
      <w:r w:rsidR="002D4B35">
        <w:t xml:space="preserve">Subjects for whom their second study injections are discontinued will remain in limited visit follow-up for 6 months after their first injection for safety evaluations of </w:t>
      </w:r>
      <w:r w:rsidR="00636014">
        <w:t xml:space="preserve">AEs (28 days post first study injection), </w:t>
      </w:r>
      <w:r w:rsidR="002D4B35">
        <w:t>SAEs</w:t>
      </w:r>
      <w:r w:rsidR="00B62A5F">
        <w:t xml:space="preserve"> </w:t>
      </w:r>
      <w:r w:rsidR="002D4B35">
        <w:t xml:space="preserve">and AESIs, and have no further immunology blood draws. </w:t>
      </w:r>
      <w:r w:rsidRPr="00017D2A">
        <w:rPr>
          <w:iCs/>
        </w:rPr>
        <w:t xml:space="preserve">Subjects who have received </w:t>
      </w:r>
      <w:r w:rsidR="002D4B35">
        <w:rPr>
          <w:iCs/>
        </w:rPr>
        <w:t>two</w:t>
      </w:r>
      <w:r w:rsidR="002D4B35" w:rsidRPr="00017D2A">
        <w:rPr>
          <w:iCs/>
        </w:rPr>
        <w:t xml:space="preserve"> </w:t>
      </w:r>
      <w:r w:rsidRPr="00017D2A">
        <w:rPr>
          <w:iCs/>
        </w:rPr>
        <w:t>study injections will continue to be followed at all scheduled evaluation visits. Any subject(s) experiencing one or more of the adverse events as identified in this section must be followed closely until resolution.</w:t>
      </w:r>
    </w:p>
    <w:p w14:paraId="6C0A6ACD" w14:textId="4BCB2B74" w:rsidR="00F43682" w:rsidRDefault="00F43682">
      <w:pPr>
        <w:pStyle w:val="Heading2"/>
      </w:pPr>
      <w:bookmarkStart w:id="382" w:name="_Ref105830341"/>
      <w:bookmarkStart w:id="383" w:name="_Ref105830357"/>
      <w:bookmarkStart w:id="384" w:name="_Toc389130031"/>
      <w:bookmarkStart w:id="385" w:name="_Toc440906334"/>
      <w:r>
        <w:t>Safety Oversight</w:t>
      </w:r>
      <w:bookmarkEnd w:id="382"/>
      <w:bookmarkEnd w:id="383"/>
      <w:r w:rsidR="00F02D76">
        <w:t xml:space="preserve"> (LM</w:t>
      </w:r>
      <w:r w:rsidR="00017D2A">
        <w:t xml:space="preserve">M plus </w:t>
      </w:r>
      <w:r w:rsidR="001D0607">
        <w:t>DSM</w:t>
      </w:r>
      <w:r>
        <w:t>)</w:t>
      </w:r>
      <w:bookmarkEnd w:id="384"/>
      <w:bookmarkEnd w:id="385"/>
    </w:p>
    <w:p w14:paraId="2F0CD5C3" w14:textId="1CD6AB6B" w:rsidR="00B046CF" w:rsidRPr="00017D2A" w:rsidRDefault="002962AC" w:rsidP="00B046CF">
      <w:pPr>
        <w:pStyle w:val="BodyText"/>
      </w:pPr>
      <w:r>
        <w:t>A</w:t>
      </w:r>
      <w:r w:rsidR="00B046CF" w:rsidRPr="00017D2A">
        <w:t xml:space="preserve">n independent Data and Safety Monitor </w:t>
      </w:r>
      <w:r>
        <w:t>(</w:t>
      </w:r>
      <w:r w:rsidR="001D0607">
        <w:t>DSM</w:t>
      </w:r>
      <w:r>
        <w:t>),</w:t>
      </w:r>
      <w:r w:rsidR="00B046CF" w:rsidRPr="00017D2A">
        <w:t xml:space="preserve"> whose primary purpose will be to review the safety data for this study</w:t>
      </w:r>
      <w:r>
        <w:t>, will operate under charter</w:t>
      </w:r>
      <w:r w:rsidR="00B046CF" w:rsidRPr="00017D2A">
        <w:t>. Information on each episod</w:t>
      </w:r>
      <w:r w:rsidR="00F02D76">
        <w:t>e of dose limiting toxicity</w:t>
      </w:r>
      <w:r w:rsidR="001D0607">
        <w:t xml:space="preserve"> (DLT)</w:t>
      </w:r>
      <w:r w:rsidR="00F02D76">
        <w:t xml:space="preserve">, </w:t>
      </w:r>
      <w:r w:rsidR="00B046CF" w:rsidRPr="00017D2A">
        <w:t>each episode of a Grade 3 or 4 adverse event</w:t>
      </w:r>
      <w:r w:rsidR="00F02D76">
        <w:t xml:space="preserve">, and each </w:t>
      </w:r>
      <w:r w:rsidR="001D0607">
        <w:t>SAE</w:t>
      </w:r>
      <w:r w:rsidR="00F02D76">
        <w:t xml:space="preserve"> or SUSAR</w:t>
      </w:r>
      <w:r w:rsidR="00B046CF" w:rsidRPr="00017D2A">
        <w:t xml:space="preserve"> will be provided and assessed within 5 working days by the </w:t>
      </w:r>
      <w:r w:rsidR="001D0607">
        <w:t>DSM</w:t>
      </w:r>
      <w:r w:rsidR="00B046CF" w:rsidRPr="00017D2A">
        <w:t>.</w:t>
      </w:r>
    </w:p>
    <w:p w14:paraId="6F5C03F4" w14:textId="2367497B" w:rsidR="00B606C3" w:rsidRDefault="00B606C3" w:rsidP="00B606C3">
      <w:pPr>
        <w:pStyle w:val="BodyText"/>
      </w:pPr>
      <w:r w:rsidRPr="00017D2A">
        <w:t xml:space="preserve">Meetings between the Sponsor, the Co-PIs, the </w:t>
      </w:r>
      <w:r w:rsidR="005C070C">
        <w:t>LMM</w:t>
      </w:r>
      <w:r w:rsidR="003F0938">
        <w:t>,</w:t>
      </w:r>
      <w:r w:rsidRPr="00017D2A">
        <w:t xml:space="preserve"> and the </w:t>
      </w:r>
      <w:r w:rsidR="001D0607">
        <w:t>DSM</w:t>
      </w:r>
      <w:r w:rsidRPr="00017D2A">
        <w:t xml:space="preserve"> will be scheduled at the discretion of the </w:t>
      </w:r>
      <w:r w:rsidR="001D0607">
        <w:t>DSM</w:t>
      </w:r>
      <w:r w:rsidRPr="00017D2A">
        <w:t xml:space="preserve"> to review </w:t>
      </w:r>
      <w:r w:rsidR="00F02D76">
        <w:t xml:space="preserve">individual </w:t>
      </w:r>
      <w:r w:rsidRPr="00017D2A">
        <w:t xml:space="preserve">adverse events and/or accumulated safety data. </w:t>
      </w:r>
    </w:p>
    <w:p w14:paraId="7DB6F82E" w14:textId="77777777" w:rsidR="00B606C3" w:rsidRPr="00B046CF" w:rsidRDefault="00B606C3" w:rsidP="00B046CF">
      <w:pPr>
        <w:pStyle w:val="BodyText"/>
        <w:rPr>
          <w:i/>
        </w:rPr>
      </w:pPr>
    </w:p>
    <w:p w14:paraId="33F7D8D8" w14:textId="77777777" w:rsidR="00F43682" w:rsidRPr="00C1283B" w:rsidRDefault="00F43682">
      <w:pPr>
        <w:pStyle w:val="Heading1"/>
      </w:pPr>
      <w:bookmarkStart w:id="386" w:name="_Toc42588996"/>
      <w:bookmarkStart w:id="387" w:name="_Toc53202855"/>
      <w:bookmarkStart w:id="388" w:name="_Toc389130032"/>
      <w:bookmarkStart w:id="389" w:name="_Toc440906335"/>
      <w:r w:rsidRPr="00C1283B">
        <w:t>Clinical Monitoring</w:t>
      </w:r>
      <w:bookmarkEnd w:id="386"/>
      <w:bookmarkEnd w:id="387"/>
      <w:bookmarkEnd w:id="388"/>
      <w:bookmarkEnd w:id="389"/>
    </w:p>
    <w:p w14:paraId="6510DEDE" w14:textId="44F9EFC1" w:rsidR="00A35315" w:rsidRDefault="00F43682" w:rsidP="00A35315">
      <w:pPr>
        <w:pStyle w:val="Heading2"/>
      </w:pPr>
      <w:bookmarkStart w:id="390" w:name="_Toc53202856"/>
      <w:bookmarkStart w:id="391" w:name="_Ref102891666"/>
      <w:bookmarkStart w:id="392" w:name="_Toc389130033"/>
      <w:bookmarkStart w:id="393" w:name="_Toc440906336"/>
      <w:r w:rsidRPr="00615FC7">
        <w:t>Site Monitoring</w:t>
      </w:r>
      <w:bookmarkEnd w:id="390"/>
      <w:bookmarkEnd w:id="391"/>
      <w:bookmarkEnd w:id="392"/>
      <w:bookmarkEnd w:id="393"/>
      <w:r w:rsidR="00A35315" w:rsidRPr="00A35315">
        <w:t xml:space="preserve"> </w:t>
      </w:r>
    </w:p>
    <w:p w14:paraId="0D6063F7" w14:textId="16CA4F94" w:rsidR="00C1283B" w:rsidRPr="00F5263F" w:rsidRDefault="00DD6F9A" w:rsidP="00F5263F">
      <w:pPr>
        <w:widowControl w:val="0"/>
        <w:autoSpaceDE w:val="0"/>
        <w:autoSpaceDN w:val="0"/>
        <w:adjustRightInd w:val="0"/>
        <w:spacing w:before="240" w:line="240" w:lineRule="auto"/>
        <w:rPr>
          <w:color w:val="000000"/>
          <w:szCs w:val="22"/>
        </w:rPr>
      </w:pPr>
      <w:r w:rsidRPr="00DD6F9A">
        <w:rPr>
          <w:color w:val="000000"/>
          <w:szCs w:val="22"/>
        </w:rPr>
        <w:t>The Sponsor</w:t>
      </w:r>
      <w:r w:rsidR="00C1283B" w:rsidRPr="00F5263F">
        <w:rPr>
          <w:color w:val="000000"/>
          <w:szCs w:val="22"/>
        </w:rPr>
        <w:t xml:space="preserve"> CRA or a consulting CRA will be responsible for monitoring the study site</w:t>
      </w:r>
      <w:r w:rsidR="00C1283B">
        <w:rPr>
          <w:color w:val="000000"/>
          <w:szCs w:val="22"/>
        </w:rPr>
        <w:t>s</w:t>
      </w:r>
      <w:r w:rsidR="00C1283B" w:rsidRPr="00F5263F">
        <w:rPr>
          <w:color w:val="000000"/>
          <w:szCs w:val="22"/>
        </w:rPr>
        <w:t xml:space="preserve">, including the adherence to study schedules and scientific requirements of the study. </w:t>
      </w:r>
    </w:p>
    <w:p w14:paraId="45E7A37E" w14:textId="4C7AAC67" w:rsidR="00C1283B" w:rsidRPr="00F5263F" w:rsidRDefault="00C1283B" w:rsidP="00F5263F">
      <w:pPr>
        <w:widowControl w:val="0"/>
        <w:autoSpaceDE w:val="0"/>
        <w:autoSpaceDN w:val="0"/>
        <w:adjustRightInd w:val="0"/>
        <w:spacing w:before="240" w:line="240" w:lineRule="auto"/>
        <w:rPr>
          <w:color w:val="000000"/>
          <w:szCs w:val="22"/>
        </w:rPr>
      </w:pPr>
      <w:r w:rsidRPr="00F5263F">
        <w:rPr>
          <w:color w:val="000000"/>
          <w:szCs w:val="22"/>
        </w:rPr>
        <w:t xml:space="preserve">Site </w:t>
      </w:r>
      <w:r w:rsidR="00A35315">
        <w:rPr>
          <w:color w:val="000000"/>
          <w:szCs w:val="22"/>
        </w:rPr>
        <w:t xml:space="preserve">monitoring </w:t>
      </w:r>
      <w:r w:rsidRPr="00F5263F">
        <w:rPr>
          <w:color w:val="000000"/>
          <w:szCs w:val="22"/>
        </w:rPr>
        <w:t xml:space="preserve">visits </w:t>
      </w:r>
      <w:r w:rsidR="00A35315">
        <w:rPr>
          <w:color w:val="000000"/>
          <w:szCs w:val="22"/>
        </w:rPr>
        <w:t xml:space="preserve">(SMVs) </w:t>
      </w:r>
      <w:r w:rsidRPr="00F5263F">
        <w:rPr>
          <w:color w:val="000000"/>
          <w:szCs w:val="22"/>
        </w:rPr>
        <w:t xml:space="preserve">for the study will include </w:t>
      </w:r>
      <w:r>
        <w:rPr>
          <w:color w:val="000000"/>
          <w:szCs w:val="22"/>
        </w:rPr>
        <w:t xml:space="preserve">a </w:t>
      </w:r>
      <w:r w:rsidRPr="00F5263F">
        <w:rPr>
          <w:color w:val="000000"/>
          <w:szCs w:val="22"/>
        </w:rPr>
        <w:t>site initiation visit, regular monitoring visits</w:t>
      </w:r>
      <w:r w:rsidR="003F0938">
        <w:rPr>
          <w:color w:val="000000"/>
          <w:szCs w:val="22"/>
        </w:rPr>
        <w:t>,</w:t>
      </w:r>
      <w:r w:rsidRPr="00F5263F">
        <w:rPr>
          <w:color w:val="000000"/>
          <w:szCs w:val="22"/>
        </w:rPr>
        <w:t xml:space="preserve"> and a study close-out visit. After each site visit, the CRA will prepare a visit report and follow-up letter</w:t>
      </w:r>
      <w:r w:rsidRPr="00DD6F9A">
        <w:rPr>
          <w:color w:val="000000"/>
          <w:szCs w:val="22"/>
        </w:rPr>
        <w:t>.</w:t>
      </w:r>
    </w:p>
    <w:p w14:paraId="51CD3A38" w14:textId="1B63056A" w:rsidR="00DD6F9A" w:rsidRDefault="00DD6F9A" w:rsidP="00F5263F">
      <w:pPr>
        <w:widowControl w:val="0"/>
        <w:autoSpaceDE w:val="0"/>
        <w:autoSpaceDN w:val="0"/>
        <w:adjustRightInd w:val="0"/>
        <w:spacing w:before="240" w:line="240" w:lineRule="auto"/>
        <w:rPr>
          <w:color w:val="000000"/>
          <w:szCs w:val="22"/>
        </w:rPr>
      </w:pPr>
      <w:r>
        <w:rPr>
          <w:color w:val="000000"/>
          <w:szCs w:val="22"/>
        </w:rPr>
        <w:t xml:space="preserve">Source document verification will be performed on </w:t>
      </w:r>
      <w:r w:rsidRPr="00DD6F9A">
        <w:rPr>
          <w:color w:val="000000"/>
          <w:szCs w:val="22"/>
        </w:rPr>
        <w:t xml:space="preserve">100% </w:t>
      </w:r>
      <w:r w:rsidRPr="00DD6F9A">
        <w:rPr>
          <w:i/>
          <w:iCs/>
          <w:color w:val="000000"/>
          <w:szCs w:val="22"/>
        </w:rPr>
        <w:t xml:space="preserve">all </w:t>
      </w:r>
      <w:r w:rsidRPr="00DD6F9A">
        <w:rPr>
          <w:color w:val="000000"/>
          <w:szCs w:val="22"/>
        </w:rPr>
        <w:t xml:space="preserve">safety data, for </w:t>
      </w:r>
      <w:r w:rsidRPr="00DD6F9A">
        <w:rPr>
          <w:i/>
          <w:iCs/>
          <w:color w:val="000000"/>
          <w:szCs w:val="22"/>
        </w:rPr>
        <w:t xml:space="preserve">all </w:t>
      </w:r>
      <w:r w:rsidRPr="00DD6F9A">
        <w:rPr>
          <w:color w:val="000000"/>
          <w:szCs w:val="22"/>
        </w:rPr>
        <w:t>su</w:t>
      </w:r>
      <w:r>
        <w:rPr>
          <w:color w:val="000000"/>
          <w:szCs w:val="22"/>
        </w:rPr>
        <w:t xml:space="preserve">bjects, through the final visit; </w:t>
      </w:r>
      <w:r w:rsidRPr="00DD6F9A">
        <w:rPr>
          <w:color w:val="000000"/>
          <w:szCs w:val="22"/>
        </w:rPr>
        <w:t xml:space="preserve">100% </w:t>
      </w:r>
      <w:r w:rsidRPr="00DD6F9A">
        <w:rPr>
          <w:i/>
          <w:iCs/>
          <w:color w:val="000000"/>
          <w:szCs w:val="22"/>
        </w:rPr>
        <w:t xml:space="preserve">all </w:t>
      </w:r>
      <w:r w:rsidRPr="00DD6F9A">
        <w:rPr>
          <w:color w:val="000000"/>
          <w:szCs w:val="22"/>
        </w:rPr>
        <w:t xml:space="preserve">data, for </w:t>
      </w:r>
      <w:r w:rsidRPr="00DD6F9A">
        <w:rPr>
          <w:i/>
          <w:iCs/>
          <w:color w:val="000000"/>
          <w:szCs w:val="22"/>
        </w:rPr>
        <w:t xml:space="preserve">all </w:t>
      </w:r>
      <w:r>
        <w:rPr>
          <w:color w:val="000000"/>
          <w:szCs w:val="22"/>
        </w:rPr>
        <w:t xml:space="preserve">subjects, through Day 63 visit; and </w:t>
      </w:r>
      <w:r w:rsidRPr="00DD6F9A">
        <w:rPr>
          <w:color w:val="000000"/>
          <w:szCs w:val="22"/>
        </w:rPr>
        <w:t xml:space="preserve">100% </w:t>
      </w:r>
      <w:r w:rsidRPr="00DD6F9A">
        <w:rPr>
          <w:i/>
          <w:iCs/>
          <w:color w:val="000000"/>
          <w:szCs w:val="22"/>
        </w:rPr>
        <w:t xml:space="preserve">all </w:t>
      </w:r>
      <w:r w:rsidRPr="00DD6F9A">
        <w:rPr>
          <w:color w:val="000000"/>
          <w:szCs w:val="22"/>
        </w:rPr>
        <w:t>data for random 30% study subjects o</w:t>
      </w:r>
      <w:r>
        <w:rPr>
          <w:color w:val="000000"/>
          <w:szCs w:val="22"/>
        </w:rPr>
        <w:t>n Days 84, 168</w:t>
      </w:r>
      <w:r w:rsidR="003F0938">
        <w:rPr>
          <w:color w:val="000000"/>
          <w:szCs w:val="22"/>
        </w:rPr>
        <w:t>,</w:t>
      </w:r>
      <w:r>
        <w:rPr>
          <w:color w:val="000000"/>
          <w:szCs w:val="22"/>
        </w:rPr>
        <w:t xml:space="preserve"> and final visits.</w:t>
      </w:r>
    </w:p>
    <w:p w14:paraId="6277EB6B" w14:textId="167788C3" w:rsidR="00C1283B" w:rsidRPr="00F5263F" w:rsidRDefault="00C1283B" w:rsidP="00F5263F">
      <w:pPr>
        <w:widowControl w:val="0"/>
        <w:autoSpaceDE w:val="0"/>
        <w:autoSpaceDN w:val="0"/>
        <w:adjustRightInd w:val="0"/>
        <w:spacing w:before="240" w:line="240" w:lineRule="auto"/>
        <w:rPr>
          <w:color w:val="000000"/>
          <w:szCs w:val="22"/>
        </w:rPr>
      </w:pPr>
      <w:r w:rsidRPr="00F5263F">
        <w:rPr>
          <w:color w:val="000000"/>
          <w:szCs w:val="22"/>
        </w:rPr>
        <w:t xml:space="preserve">Other </w:t>
      </w:r>
      <w:r w:rsidR="00DD6F9A">
        <w:rPr>
          <w:color w:val="000000"/>
          <w:szCs w:val="22"/>
        </w:rPr>
        <w:t xml:space="preserve">CRA </w:t>
      </w:r>
      <w:r w:rsidRPr="00F5263F">
        <w:rPr>
          <w:color w:val="000000"/>
          <w:szCs w:val="22"/>
        </w:rPr>
        <w:t xml:space="preserve">responsibilities </w:t>
      </w:r>
      <w:r w:rsidR="00DD6F9A">
        <w:rPr>
          <w:color w:val="000000"/>
          <w:szCs w:val="22"/>
        </w:rPr>
        <w:t xml:space="preserve">will </w:t>
      </w:r>
      <w:r w:rsidRPr="00F5263F">
        <w:rPr>
          <w:color w:val="000000"/>
          <w:szCs w:val="22"/>
        </w:rPr>
        <w:t xml:space="preserve">include: </w:t>
      </w:r>
    </w:p>
    <w:p w14:paraId="2D8F4F20" w14:textId="5613F16A" w:rsidR="00C1283B" w:rsidRPr="00F5263F" w:rsidRDefault="00DD6F9A" w:rsidP="00F5263F">
      <w:pPr>
        <w:widowControl w:val="0"/>
        <w:autoSpaceDE w:val="0"/>
        <w:autoSpaceDN w:val="0"/>
        <w:adjustRightInd w:val="0"/>
        <w:spacing w:before="240" w:line="240" w:lineRule="auto"/>
        <w:rPr>
          <w:color w:val="000000"/>
          <w:szCs w:val="22"/>
        </w:rPr>
      </w:pPr>
      <w:r w:rsidRPr="00DD6F9A">
        <w:rPr>
          <w:color w:val="000000"/>
          <w:szCs w:val="22"/>
        </w:rPr>
        <w:t>Keep the Sponsor</w:t>
      </w:r>
      <w:r w:rsidR="00C1283B" w:rsidRPr="00F5263F">
        <w:rPr>
          <w:color w:val="000000"/>
          <w:szCs w:val="22"/>
        </w:rPr>
        <w:t xml:space="preserve"> informed of study progress through regular verbal and written communication including status reports, e-mail and phone contact as needed. </w:t>
      </w:r>
    </w:p>
    <w:p w14:paraId="6DDB3DA3" w14:textId="56215077" w:rsidR="00C1283B" w:rsidRPr="000C5A32" w:rsidRDefault="00C1283B" w:rsidP="000C5A32">
      <w:pPr>
        <w:pStyle w:val="ListParagraph"/>
        <w:widowControl w:val="0"/>
        <w:numPr>
          <w:ilvl w:val="0"/>
          <w:numId w:val="58"/>
        </w:numPr>
        <w:autoSpaceDE w:val="0"/>
        <w:autoSpaceDN w:val="0"/>
        <w:adjustRightInd w:val="0"/>
        <w:spacing w:before="240" w:line="240" w:lineRule="auto"/>
        <w:rPr>
          <w:rFonts w:ascii="Arial" w:hAnsi="Arial" w:cs="Arial"/>
          <w:color w:val="000000"/>
        </w:rPr>
      </w:pPr>
      <w:r w:rsidRPr="000C5A32">
        <w:rPr>
          <w:rFonts w:ascii="Arial" w:hAnsi="Arial" w:cs="Arial"/>
          <w:color w:val="000000"/>
        </w:rPr>
        <w:t xml:space="preserve">Identify potential issues and risks that could affect the project and development of contingency plans. </w:t>
      </w:r>
    </w:p>
    <w:p w14:paraId="0ED88D34" w14:textId="5718C0B8" w:rsidR="00C1283B" w:rsidRPr="000C5A32" w:rsidRDefault="00C1283B" w:rsidP="000C5A32">
      <w:pPr>
        <w:pStyle w:val="ListParagraph"/>
        <w:widowControl w:val="0"/>
        <w:numPr>
          <w:ilvl w:val="0"/>
          <w:numId w:val="58"/>
        </w:numPr>
        <w:autoSpaceDE w:val="0"/>
        <w:autoSpaceDN w:val="0"/>
        <w:adjustRightInd w:val="0"/>
        <w:spacing w:before="240" w:line="240" w:lineRule="auto"/>
        <w:rPr>
          <w:rFonts w:ascii="Arial" w:hAnsi="Arial" w:cs="Arial"/>
          <w:color w:val="000000"/>
        </w:rPr>
      </w:pPr>
      <w:r w:rsidRPr="000C5A32">
        <w:rPr>
          <w:rFonts w:ascii="Arial" w:hAnsi="Arial" w:cs="Arial"/>
          <w:color w:val="000000"/>
        </w:rPr>
        <w:t xml:space="preserve">Manage prompt resolution of identified problems with the appropriate team members. </w:t>
      </w:r>
    </w:p>
    <w:p w14:paraId="24ADC874" w14:textId="6BA6245D" w:rsidR="00C1283B" w:rsidRPr="000C5A32" w:rsidRDefault="00C1283B" w:rsidP="000C5A32">
      <w:pPr>
        <w:pStyle w:val="ListParagraph"/>
        <w:widowControl w:val="0"/>
        <w:numPr>
          <w:ilvl w:val="0"/>
          <w:numId w:val="58"/>
        </w:numPr>
        <w:autoSpaceDE w:val="0"/>
        <w:autoSpaceDN w:val="0"/>
        <w:adjustRightInd w:val="0"/>
        <w:spacing w:before="240" w:line="240" w:lineRule="auto"/>
        <w:rPr>
          <w:rFonts w:ascii="Arial" w:hAnsi="Arial" w:cs="Arial"/>
          <w:color w:val="000000"/>
        </w:rPr>
      </w:pPr>
      <w:r w:rsidRPr="000C5A32">
        <w:rPr>
          <w:rFonts w:ascii="Arial" w:hAnsi="Arial" w:cs="Arial"/>
          <w:color w:val="000000"/>
        </w:rPr>
        <w:t>Assist in day to day management of the study site, un</w:t>
      </w:r>
      <w:r w:rsidR="00DD6F9A" w:rsidRPr="000C5A32">
        <w:rPr>
          <w:rFonts w:ascii="Arial" w:hAnsi="Arial" w:cs="Arial"/>
          <w:color w:val="000000"/>
        </w:rPr>
        <w:t>der the direction of the Sponsor</w:t>
      </w:r>
      <w:r w:rsidRPr="000C5A32">
        <w:rPr>
          <w:rFonts w:ascii="Arial" w:hAnsi="Arial" w:cs="Arial"/>
          <w:color w:val="000000"/>
        </w:rPr>
        <w:t xml:space="preserve">. </w:t>
      </w:r>
    </w:p>
    <w:p w14:paraId="39EFC556" w14:textId="5FCDF59A" w:rsidR="00C1283B" w:rsidRPr="000C5A32" w:rsidRDefault="00C1283B" w:rsidP="000C5A32">
      <w:pPr>
        <w:pStyle w:val="ListParagraph"/>
        <w:widowControl w:val="0"/>
        <w:numPr>
          <w:ilvl w:val="0"/>
          <w:numId w:val="58"/>
        </w:numPr>
        <w:autoSpaceDE w:val="0"/>
        <w:autoSpaceDN w:val="0"/>
        <w:adjustRightInd w:val="0"/>
        <w:spacing w:before="240" w:line="240" w:lineRule="auto"/>
        <w:rPr>
          <w:rFonts w:ascii="Arial" w:hAnsi="Arial" w:cs="Arial"/>
          <w:color w:val="000000"/>
        </w:rPr>
      </w:pPr>
      <w:r w:rsidRPr="000C5A32">
        <w:rPr>
          <w:rFonts w:ascii="Arial" w:hAnsi="Arial" w:cs="Arial"/>
          <w:color w:val="000000"/>
        </w:rPr>
        <w:t xml:space="preserve">Schedule and confirm SMVs with the study Site Coordinator in writing in advance. </w:t>
      </w:r>
    </w:p>
    <w:p w14:paraId="3E723AC0" w14:textId="7B53EB7C" w:rsidR="00C1283B" w:rsidRPr="000C5A32" w:rsidRDefault="00C1283B" w:rsidP="000C5A32">
      <w:pPr>
        <w:pStyle w:val="ListParagraph"/>
        <w:widowControl w:val="0"/>
        <w:numPr>
          <w:ilvl w:val="0"/>
          <w:numId w:val="58"/>
        </w:numPr>
        <w:autoSpaceDE w:val="0"/>
        <w:autoSpaceDN w:val="0"/>
        <w:adjustRightInd w:val="0"/>
        <w:spacing w:before="240" w:line="240" w:lineRule="auto"/>
        <w:rPr>
          <w:rFonts w:ascii="Arial" w:hAnsi="Arial" w:cs="Arial"/>
          <w:color w:val="000000"/>
        </w:rPr>
      </w:pPr>
      <w:r w:rsidRPr="000C5A32">
        <w:rPr>
          <w:rFonts w:ascii="Arial" w:hAnsi="Arial" w:cs="Arial"/>
          <w:color w:val="000000"/>
        </w:rPr>
        <w:t xml:space="preserve">Review storage and daily temperature monitoring for investigational product. </w:t>
      </w:r>
    </w:p>
    <w:p w14:paraId="3F44AEAB" w14:textId="5D7DEC61" w:rsidR="00C1283B" w:rsidRPr="000C5A32" w:rsidRDefault="00C1283B" w:rsidP="000C5A32">
      <w:pPr>
        <w:pStyle w:val="ListParagraph"/>
        <w:widowControl w:val="0"/>
        <w:numPr>
          <w:ilvl w:val="0"/>
          <w:numId w:val="58"/>
        </w:numPr>
        <w:autoSpaceDE w:val="0"/>
        <w:autoSpaceDN w:val="0"/>
        <w:adjustRightInd w:val="0"/>
        <w:spacing w:before="240" w:line="240" w:lineRule="auto"/>
        <w:rPr>
          <w:rFonts w:ascii="Arial" w:hAnsi="Arial" w:cs="Arial"/>
          <w:color w:val="000000"/>
        </w:rPr>
      </w:pPr>
      <w:r w:rsidRPr="000C5A32">
        <w:rPr>
          <w:rFonts w:ascii="Arial" w:hAnsi="Arial" w:cs="Arial"/>
          <w:color w:val="000000"/>
        </w:rPr>
        <w:t xml:space="preserve">Review proper storage of study specimens and temperature monitoring of freezer if applicable. </w:t>
      </w:r>
    </w:p>
    <w:p w14:paraId="48EDA492" w14:textId="06E81B90" w:rsidR="00C1283B" w:rsidRPr="000C5A32" w:rsidRDefault="00C1283B" w:rsidP="000C5A32">
      <w:pPr>
        <w:pStyle w:val="ListParagraph"/>
        <w:widowControl w:val="0"/>
        <w:numPr>
          <w:ilvl w:val="0"/>
          <w:numId w:val="58"/>
        </w:numPr>
        <w:autoSpaceDE w:val="0"/>
        <w:autoSpaceDN w:val="0"/>
        <w:adjustRightInd w:val="0"/>
        <w:spacing w:before="240" w:line="240" w:lineRule="auto"/>
        <w:rPr>
          <w:rFonts w:ascii="Arial" w:hAnsi="Arial" w:cs="Arial"/>
          <w:color w:val="000000"/>
        </w:rPr>
      </w:pPr>
      <w:r w:rsidRPr="000C5A32">
        <w:rPr>
          <w:rFonts w:ascii="Arial" w:hAnsi="Arial" w:cs="Arial"/>
          <w:color w:val="000000"/>
        </w:rPr>
        <w:t xml:space="preserve">Assure sufficient and appropriate resources are assigned and maintained. </w:t>
      </w:r>
    </w:p>
    <w:p w14:paraId="5FCF55B2" w14:textId="7B977C2A" w:rsidR="00C1283B" w:rsidRPr="000C5A32" w:rsidRDefault="00C1283B" w:rsidP="000C5A32">
      <w:pPr>
        <w:pStyle w:val="ListParagraph"/>
        <w:widowControl w:val="0"/>
        <w:numPr>
          <w:ilvl w:val="0"/>
          <w:numId w:val="58"/>
        </w:numPr>
        <w:autoSpaceDE w:val="0"/>
        <w:autoSpaceDN w:val="0"/>
        <w:adjustRightInd w:val="0"/>
        <w:spacing w:before="240" w:line="240" w:lineRule="auto"/>
        <w:rPr>
          <w:rFonts w:ascii="Arial" w:hAnsi="Arial" w:cs="Arial"/>
          <w:color w:val="000000"/>
        </w:rPr>
      </w:pPr>
      <w:r w:rsidRPr="000C5A32">
        <w:rPr>
          <w:rFonts w:ascii="Arial" w:hAnsi="Arial" w:cs="Arial"/>
          <w:color w:val="000000"/>
        </w:rPr>
        <w:t xml:space="preserve">Ensure that the PI submits any amendments and reports to the IRB. </w:t>
      </w:r>
    </w:p>
    <w:p w14:paraId="301773A5" w14:textId="0DED46C1" w:rsidR="00C1283B" w:rsidRPr="000C5A32" w:rsidRDefault="00C1283B" w:rsidP="000C5A32">
      <w:pPr>
        <w:pStyle w:val="ListParagraph"/>
        <w:widowControl w:val="0"/>
        <w:numPr>
          <w:ilvl w:val="0"/>
          <w:numId w:val="58"/>
        </w:numPr>
        <w:autoSpaceDE w:val="0"/>
        <w:autoSpaceDN w:val="0"/>
        <w:adjustRightInd w:val="0"/>
        <w:spacing w:before="240" w:line="240" w:lineRule="auto"/>
        <w:rPr>
          <w:rFonts w:ascii="Arial" w:hAnsi="Arial" w:cs="Arial"/>
          <w:color w:val="000000"/>
        </w:rPr>
      </w:pPr>
      <w:r w:rsidRPr="000C5A32">
        <w:rPr>
          <w:rFonts w:ascii="Arial" w:hAnsi="Arial" w:cs="Arial"/>
          <w:color w:val="000000"/>
        </w:rPr>
        <w:t xml:space="preserve">Maintain documentation of all project correspondence, meetings, status reports, monthly reports, and telephone communications. </w:t>
      </w:r>
    </w:p>
    <w:p w14:paraId="0EBC3C96" w14:textId="13E49FA4" w:rsidR="00C1283B" w:rsidRPr="000C5A32" w:rsidRDefault="00C1283B" w:rsidP="000C5A32">
      <w:pPr>
        <w:pStyle w:val="ListParagraph"/>
        <w:widowControl w:val="0"/>
        <w:numPr>
          <w:ilvl w:val="0"/>
          <w:numId w:val="58"/>
        </w:numPr>
        <w:autoSpaceDE w:val="0"/>
        <w:autoSpaceDN w:val="0"/>
        <w:adjustRightInd w:val="0"/>
        <w:spacing w:before="240" w:line="240" w:lineRule="auto"/>
        <w:rPr>
          <w:rFonts w:ascii="Arial" w:hAnsi="Arial" w:cs="Arial"/>
          <w:color w:val="000000"/>
        </w:rPr>
      </w:pPr>
      <w:r w:rsidRPr="000C5A32">
        <w:rPr>
          <w:rFonts w:ascii="Arial" w:hAnsi="Arial" w:cs="Arial"/>
          <w:color w:val="000000"/>
        </w:rPr>
        <w:t>Ensure that work carrie</w:t>
      </w:r>
      <w:r w:rsidR="00DD6F9A" w:rsidRPr="000C5A32">
        <w:rPr>
          <w:rFonts w:ascii="Arial" w:hAnsi="Arial" w:cs="Arial"/>
          <w:color w:val="000000"/>
        </w:rPr>
        <w:t>d out is in accordance with Sponsor</w:t>
      </w:r>
      <w:r w:rsidRPr="000C5A32">
        <w:rPr>
          <w:rFonts w:ascii="Arial" w:hAnsi="Arial" w:cs="Arial"/>
          <w:color w:val="000000"/>
        </w:rPr>
        <w:t xml:space="preserve"> SOPs and GCP guidelines. </w:t>
      </w:r>
    </w:p>
    <w:p w14:paraId="011CC9F9" w14:textId="5E8FA24B" w:rsidR="00C1283B" w:rsidRPr="00A35315" w:rsidRDefault="00DD6F9A" w:rsidP="00F5263F">
      <w:pPr>
        <w:widowControl w:val="0"/>
        <w:autoSpaceDE w:val="0"/>
        <w:autoSpaceDN w:val="0"/>
        <w:adjustRightInd w:val="0"/>
        <w:spacing w:before="240" w:line="240" w:lineRule="auto"/>
        <w:rPr>
          <w:color w:val="000000"/>
          <w:szCs w:val="22"/>
        </w:rPr>
      </w:pPr>
      <w:r w:rsidRPr="00650E00">
        <w:rPr>
          <w:color w:val="000000"/>
          <w:szCs w:val="22"/>
        </w:rPr>
        <w:t>The CRA</w:t>
      </w:r>
      <w:r w:rsidR="00C1283B" w:rsidRPr="00A35315">
        <w:rPr>
          <w:color w:val="000000"/>
          <w:szCs w:val="22"/>
        </w:rPr>
        <w:t xml:space="preserve"> will ensure that the following are filed on site prior to study initiation: </w:t>
      </w:r>
    </w:p>
    <w:p w14:paraId="487CFFCB" w14:textId="224284F0" w:rsidR="00C1283B" w:rsidRPr="000C5A32" w:rsidRDefault="00C1283B" w:rsidP="000C5A32">
      <w:pPr>
        <w:pStyle w:val="ListParagraph"/>
        <w:widowControl w:val="0"/>
        <w:numPr>
          <w:ilvl w:val="0"/>
          <w:numId w:val="59"/>
        </w:numPr>
        <w:autoSpaceDE w:val="0"/>
        <w:autoSpaceDN w:val="0"/>
        <w:adjustRightInd w:val="0"/>
        <w:spacing w:before="240" w:line="240" w:lineRule="auto"/>
        <w:rPr>
          <w:rFonts w:ascii="Arial" w:hAnsi="Arial" w:cs="Arial"/>
          <w:color w:val="000000"/>
        </w:rPr>
      </w:pPr>
      <w:r w:rsidRPr="000C5A32">
        <w:rPr>
          <w:rFonts w:ascii="Arial" w:hAnsi="Arial" w:cs="Arial"/>
          <w:color w:val="000000"/>
        </w:rPr>
        <w:t xml:space="preserve">Protocol (approved version) </w:t>
      </w:r>
    </w:p>
    <w:p w14:paraId="7E6DDA46" w14:textId="6F34120A" w:rsidR="00C1283B" w:rsidRPr="000C5A32" w:rsidRDefault="00C1283B" w:rsidP="000C5A32">
      <w:pPr>
        <w:pStyle w:val="ListParagraph"/>
        <w:widowControl w:val="0"/>
        <w:numPr>
          <w:ilvl w:val="0"/>
          <w:numId w:val="59"/>
        </w:numPr>
        <w:autoSpaceDE w:val="0"/>
        <w:autoSpaceDN w:val="0"/>
        <w:adjustRightInd w:val="0"/>
        <w:spacing w:before="240" w:line="240" w:lineRule="auto"/>
        <w:rPr>
          <w:rFonts w:ascii="Arial" w:hAnsi="Arial" w:cs="Arial"/>
          <w:color w:val="000000"/>
        </w:rPr>
      </w:pPr>
      <w:r w:rsidRPr="000C5A32">
        <w:rPr>
          <w:rFonts w:ascii="Arial" w:hAnsi="Arial" w:cs="Arial"/>
          <w:color w:val="000000"/>
        </w:rPr>
        <w:t xml:space="preserve">Amendments, if any </w:t>
      </w:r>
    </w:p>
    <w:p w14:paraId="575B9854" w14:textId="7798360F" w:rsidR="00C1283B" w:rsidRPr="000C5A32" w:rsidRDefault="00C1283B" w:rsidP="000C5A32">
      <w:pPr>
        <w:pStyle w:val="ListParagraph"/>
        <w:widowControl w:val="0"/>
        <w:numPr>
          <w:ilvl w:val="0"/>
          <w:numId w:val="59"/>
        </w:numPr>
        <w:autoSpaceDE w:val="0"/>
        <w:autoSpaceDN w:val="0"/>
        <w:adjustRightInd w:val="0"/>
        <w:spacing w:before="240" w:line="240" w:lineRule="auto"/>
        <w:rPr>
          <w:rFonts w:ascii="Arial" w:hAnsi="Arial" w:cs="Arial"/>
          <w:color w:val="000000"/>
        </w:rPr>
      </w:pPr>
      <w:r w:rsidRPr="000C5A32">
        <w:rPr>
          <w:rFonts w:ascii="Arial" w:hAnsi="Arial" w:cs="Arial"/>
          <w:color w:val="000000"/>
        </w:rPr>
        <w:t>Investigator</w:t>
      </w:r>
      <w:r w:rsidR="003F0938">
        <w:rPr>
          <w:rFonts w:ascii="Arial" w:hAnsi="Arial" w:cs="Arial"/>
          <w:color w:val="000000"/>
        </w:rPr>
        <w:t>’s</w:t>
      </w:r>
      <w:r w:rsidRPr="000C5A32">
        <w:rPr>
          <w:rFonts w:ascii="Arial" w:hAnsi="Arial" w:cs="Arial"/>
          <w:color w:val="000000"/>
        </w:rPr>
        <w:t xml:space="preserve"> Brochure (current edition) </w:t>
      </w:r>
    </w:p>
    <w:p w14:paraId="0B26F410" w14:textId="3ED971D1" w:rsidR="00C1283B" w:rsidRPr="000C5A32" w:rsidRDefault="00C1283B" w:rsidP="000C5A32">
      <w:pPr>
        <w:pStyle w:val="ListParagraph"/>
        <w:widowControl w:val="0"/>
        <w:numPr>
          <w:ilvl w:val="0"/>
          <w:numId w:val="59"/>
        </w:numPr>
        <w:autoSpaceDE w:val="0"/>
        <w:autoSpaceDN w:val="0"/>
        <w:adjustRightInd w:val="0"/>
        <w:spacing w:before="240" w:line="240" w:lineRule="auto"/>
        <w:rPr>
          <w:rFonts w:ascii="Arial" w:hAnsi="Arial" w:cs="Arial"/>
        </w:rPr>
      </w:pPr>
      <w:r w:rsidRPr="000C5A32">
        <w:rPr>
          <w:rFonts w:ascii="Arial" w:hAnsi="Arial" w:cs="Arial"/>
          <w:color w:val="000000"/>
        </w:rPr>
        <w:t xml:space="preserve">Informed Consent Form and HIV consent </w:t>
      </w:r>
    </w:p>
    <w:p w14:paraId="42C4AB7B" w14:textId="77777777" w:rsidR="00F43682" w:rsidRDefault="00F43682">
      <w:pPr>
        <w:pStyle w:val="Heading1"/>
      </w:pPr>
      <w:bookmarkStart w:id="394" w:name="_Toc42589000"/>
      <w:bookmarkStart w:id="395" w:name="_Toc53202857"/>
      <w:bookmarkStart w:id="396" w:name="_Ref377387179"/>
      <w:bookmarkStart w:id="397" w:name="_Toc389130034"/>
      <w:bookmarkStart w:id="398" w:name="_Toc440906337"/>
      <w:r>
        <w:t>Statistical Considerations</w:t>
      </w:r>
      <w:bookmarkEnd w:id="394"/>
      <w:bookmarkEnd w:id="395"/>
      <w:bookmarkEnd w:id="396"/>
      <w:bookmarkEnd w:id="397"/>
      <w:bookmarkEnd w:id="398"/>
    </w:p>
    <w:p w14:paraId="4E614B25" w14:textId="77777777" w:rsidR="00F43682" w:rsidRDefault="00F43682">
      <w:pPr>
        <w:pStyle w:val="Heading2"/>
      </w:pPr>
      <w:bookmarkStart w:id="399" w:name="_Toc389130035"/>
      <w:bookmarkStart w:id="400" w:name="_Toc440906338"/>
      <w:r>
        <w:t>Study Hypotheses</w:t>
      </w:r>
      <w:bookmarkEnd w:id="399"/>
      <w:bookmarkEnd w:id="400"/>
    </w:p>
    <w:p w14:paraId="0E0892EF" w14:textId="5952C0EE" w:rsidR="001627DD" w:rsidRPr="001627DD" w:rsidRDefault="001627DD" w:rsidP="001627DD">
      <w:pPr>
        <w:pStyle w:val="BodyText"/>
      </w:pPr>
      <w:r w:rsidRPr="00772A62">
        <w:rPr>
          <w:rFonts w:cs="Arial"/>
          <w:color w:val="000000"/>
          <w:sz w:val="21"/>
          <w:szCs w:val="21"/>
        </w:rPr>
        <w:t xml:space="preserve">We hypothesize that </w:t>
      </w:r>
      <w:r w:rsidR="00072B81">
        <w:rPr>
          <w:rFonts w:cs="Arial"/>
          <w:color w:val="000000"/>
          <w:sz w:val="21"/>
          <w:szCs w:val="21"/>
        </w:rPr>
        <w:t>ID93 + GLA-SE</w:t>
      </w:r>
      <w:r w:rsidRPr="00772A62">
        <w:rPr>
          <w:rFonts w:cs="Arial"/>
          <w:color w:val="000000"/>
          <w:sz w:val="21"/>
          <w:szCs w:val="21"/>
        </w:rPr>
        <w:t xml:space="preserve"> is safe and immunogenic in BCG vaccinated, HIV uninfected</w:t>
      </w:r>
      <w:r>
        <w:rPr>
          <w:rFonts w:cs="Arial"/>
          <w:color w:val="000000"/>
          <w:sz w:val="21"/>
          <w:szCs w:val="21"/>
        </w:rPr>
        <w:t xml:space="preserve"> </w:t>
      </w:r>
      <w:r w:rsidRPr="00772A62">
        <w:rPr>
          <w:rFonts w:cs="Arial"/>
          <w:color w:val="000000"/>
          <w:sz w:val="21"/>
          <w:szCs w:val="21"/>
        </w:rPr>
        <w:t>adults, after successful completion</w:t>
      </w:r>
      <w:r>
        <w:rPr>
          <w:rFonts w:cs="Arial"/>
          <w:color w:val="000000"/>
          <w:sz w:val="21"/>
          <w:szCs w:val="21"/>
        </w:rPr>
        <w:t xml:space="preserve"> of treatment for pulmonary TB</w:t>
      </w:r>
    </w:p>
    <w:p w14:paraId="0A571A9C" w14:textId="089FA25B" w:rsidR="00E730E6" w:rsidRPr="00F14180" w:rsidRDefault="00F43682" w:rsidP="00E730E6">
      <w:pPr>
        <w:pStyle w:val="Heading2"/>
      </w:pPr>
      <w:bookmarkStart w:id="401" w:name="_Ref102891634"/>
      <w:bookmarkStart w:id="402" w:name="_Toc389130036"/>
      <w:bookmarkStart w:id="403" w:name="_Toc440906339"/>
      <w:r>
        <w:t>Sample Size Considerations</w:t>
      </w:r>
      <w:bookmarkEnd w:id="401"/>
      <w:bookmarkEnd w:id="402"/>
      <w:bookmarkEnd w:id="403"/>
    </w:p>
    <w:p w14:paraId="18FAF91D" w14:textId="3FFFC146" w:rsidR="005757A1" w:rsidRDefault="005757A1" w:rsidP="005757A1">
      <w:pPr>
        <w:pStyle w:val="BodyText"/>
        <w:rPr>
          <w:iCs/>
        </w:rPr>
      </w:pPr>
      <w:r>
        <w:rPr>
          <w:iCs/>
        </w:rPr>
        <w:t xml:space="preserve">The sample size (60 subjects) is based upon the statistical power to evaluate safety outcomes (severe local reactogenicity events and related SAEs). If no severe local reactogenicity events or related SAEs are observed in any of the </w:t>
      </w:r>
      <w:r w:rsidR="0020164F">
        <w:rPr>
          <w:iCs/>
        </w:rPr>
        <w:t xml:space="preserve">48 </w:t>
      </w:r>
      <w:r>
        <w:rPr>
          <w:iCs/>
        </w:rPr>
        <w:t xml:space="preserve">subjects receiving </w:t>
      </w:r>
      <w:r w:rsidRPr="00E730E6">
        <w:rPr>
          <w:iCs/>
        </w:rPr>
        <w:t>ID93 + GLA-SE vaccine</w:t>
      </w:r>
      <w:r>
        <w:rPr>
          <w:iCs/>
        </w:rPr>
        <w:t xml:space="preserve">, </w:t>
      </w:r>
      <w:r w:rsidRPr="005421EF">
        <w:rPr>
          <w:iCs/>
        </w:rPr>
        <w:t xml:space="preserve">the upper limit of the 95% confidence interval for the true proportion of </w:t>
      </w:r>
      <w:r w:rsidRPr="002D4DF6">
        <w:rPr>
          <w:iCs/>
        </w:rPr>
        <w:t>such events is 7.9%. This sample size has 95% probability of detecting a severe local reactogenicity event or SAE with a true occurrence rate of 2% in subjects receiving ID93 + GLA-S</w:t>
      </w:r>
      <w:r w:rsidRPr="00EC518C">
        <w:rPr>
          <w:iCs/>
        </w:rPr>
        <w:t>E vaccine</w:t>
      </w:r>
      <w:r>
        <w:rPr>
          <w:iCs/>
        </w:rPr>
        <w:t xml:space="preserve">. </w:t>
      </w:r>
    </w:p>
    <w:p w14:paraId="23D3B51C" w14:textId="2B08B8A0" w:rsidR="00723BE7" w:rsidRPr="00723BE7" w:rsidRDefault="00723BE7" w:rsidP="005757A1">
      <w:pPr>
        <w:pStyle w:val="BodyText"/>
        <w:rPr>
          <w:iCs/>
        </w:rPr>
      </w:pPr>
      <w:r w:rsidRPr="00723BE7">
        <w:rPr>
          <w:szCs w:val="22"/>
        </w:rPr>
        <w:t>Th</w:t>
      </w:r>
      <w:r w:rsidR="00650E00">
        <w:rPr>
          <w:szCs w:val="22"/>
        </w:rPr>
        <w:t>is</w:t>
      </w:r>
      <w:r w:rsidRPr="00723BE7">
        <w:rPr>
          <w:szCs w:val="22"/>
        </w:rPr>
        <w:t xml:space="preserve"> sample size will allow the Sponsor to define a safety profile for the ID93 + GLA-SE vaccine in pulmonary TB patients</w:t>
      </w:r>
      <w:r w:rsidR="00650E00">
        <w:rPr>
          <w:szCs w:val="22"/>
        </w:rPr>
        <w:t xml:space="preserve"> upon completion of treatment</w:t>
      </w:r>
      <w:r w:rsidRPr="00723BE7">
        <w:rPr>
          <w:szCs w:val="22"/>
        </w:rPr>
        <w:t>, and to evaluate immunogenicity specific to the vaccine</w:t>
      </w:r>
      <w:r w:rsidR="00650E00">
        <w:rPr>
          <w:szCs w:val="22"/>
        </w:rPr>
        <w:t>, in order to select the dose to be evaluated in the planned Phase 2b trial in this study population.</w:t>
      </w:r>
    </w:p>
    <w:p w14:paraId="70A93C3C" w14:textId="32E8EDAE" w:rsidR="00F43682" w:rsidRDefault="00F43682">
      <w:pPr>
        <w:pStyle w:val="Heading2"/>
      </w:pPr>
      <w:bookmarkStart w:id="404" w:name="_Toc389130037"/>
      <w:bookmarkStart w:id="405" w:name="_Toc440906340"/>
      <w:bookmarkStart w:id="406" w:name="_Ref102891596"/>
      <w:r>
        <w:t>Planned Interim Analyses</w:t>
      </w:r>
      <w:bookmarkEnd w:id="404"/>
      <w:bookmarkEnd w:id="405"/>
      <w:r>
        <w:t xml:space="preserve"> </w:t>
      </w:r>
      <w:bookmarkEnd w:id="406"/>
    </w:p>
    <w:p w14:paraId="502503AA" w14:textId="4059E28A" w:rsidR="009C09ED" w:rsidRPr="009C09ED" w:rsidRDefault="009C09ED" w:rsidP="009C09ED">
      <w:pPr>
        <w:pStyle w:val="BodyText"/>
      </w:pPr>
      <w:r>
        <w:t xml:space="preserve">No interim analyses of immunogenicity or protection outcomes are planned </w:t>
      </w:r>
      <w:r w:rsidRPr="0062594E">
        <w:rPr>
          <w:i/>
        </w:rPr>
        <w:t>a priori</w:t>
      </w:r>
      <w:r>
        <w:t>.</w:t>
      </w:r>
    </w:p>
    <w:p w14:paraId="78B92CB2" w14:textId="77777777" w:rsidR="00F43682" w:rsidRDefault="00F43682">
      <w:pPr>
        <w:pStyle w:val="Heading2"/>
      </w:pPr>
      <w:bookmarkStart w:id="407" w:name="_Toc385264375"/>
      <w:bookmarkStart w:id="408" w:name="_Toc385265520"/>
      <w:bookmarkStart w:id="409" w:name="_Toc389130038"/>
      <w:bookmarkStart w:id="410" w:name="_Toc440906341"/>
      <w:bookmarkEnd w:id="407"/>
      <w:bookmarkEnd w:id="408"/>
      <w:r>
        <w:t>Final Analysis Plan</w:t>
      </w:r>
      <w:bookmarkEnd w:id="409"/>
      <w:bookmarkEnd w:id="410"/>
    </w:p>
    <w:p w14:paraId="0D90D86E" w14:textId="1DDA9D98" w:rsidR="00B62ABA" w:rsidRPr="00B62ABA" w:rsidRDefault="00B62ABA" w:rsidP="00725327">
      <w:pPr>
        <w:spacing w:before="120" w:after="120" w:line="276" w:lineRule="auto"/>
      </w:pPr>
      <w:r>
        <w:t>The planned statistical analyses for this study are outlined below.</w:t>
      </w:r>
      <w:r w:rsidR="00725327">
        <w:t xml:space="preserve"> </w:t>
      </w:r>
      <w:r>
        <w:t>A detailed statistical analysis plan will be created and finalized prior to database lock and preparation of any unblinded preliminary data review and for preparation of the final study report.</w:t>
      </w:r>
    </w:p>
    <w:p w14:paraId="4467BA99" w14:textId="5450C05C" w:rsidR="00A8674E" w:rsidRPr="00A8674E" w:rsidRDefault="00A8674E" w:rsidP="00725327">
      <w:pPr>
        <w:pStyle w:val="BodyText"/>
        <w:spacing w:before="120" w:after="120" w:line="276" w:lineRule="auto"/>
        <w:rPr>
          <w:b/>
        </w:rPr>
      </w:pPr>
      <w:r w:rsidRPr="00A8674E">
        <w:rPr>
          <w:b/>
        </w:rPr>
        <w:t>Safety</w:t>
      </w:r>
      <w:r w:rsidR="007524E8">
        <w:rPr>
          <w:b/>
        </w:rPr>
        <w:t xml:space="preserve"> Analyses</w:t>
      </w:r>
    </w:p>
    <w:p w14:paraId="59D04373" w14:textId="255ED363" w:rsidR="00A8674E" w:rsidRDefault="00A8674E" w:rsidP="00725327">
      <w:pPr>
        <w:pStyle w:val="BodyText"/>
        <w:spacing w:before="120" w:after="120" w:line="276" w:lineRule="auto"/>
      </w:pPr>
      <w:r w:rsidRPr="00A8674E">
        <w:t>The safety profile will be described by treatment regimen for all participants who received at least one study injection. Listings will be provided for all participants with adverse events (AEs), serious adverse events (SAEs)</w:t>
      </w:r>
      <w:r w:rsidR="003F0938">
        <w:t>,</w:t>
      </w:r>
      <w:r w:rsidRPr="00A8674E">
        <w:t xml:space="preserve"> and adverse events of special interest (AESIs). All AEs and clinically relevant laboratory results will be summarized to examine the relationship between treatment regimen and key safety endpoints including number (percentage) of participants with solicited and unsolicited adverse events and number (percentage) of participants with newly abnormal post-</w:t>
      </w:r>
      <w:r w:rsidR="002C59ED">
        <w:t>injection</w:t>
      </w:r>
      <w:r w:rsidRPr="00A8674E">
        <w:t xml:space="preserve"> laboratory values based on predefined toxicity criteria. Adverse events will also be summarized by severity and by relationship to study injection, </w:t>
      </w:r>
      <w:r>
        <w:t>and by treatment regimen.</w:t>
      </w:r>
    </w:p>
    <w:p w14:paraId="0B2DD1B4" w14:textId="6FD17D32" w:rsidR="00771269" w:rsidRDefault="00771269" w:rsidP="00725327">
      <w:pPr>
        <w:pStyle w:val="BodyText"/>
        <w:spacing w:before="120" w:after="120" w:line="276" w:lineRule="auto"/>
      </w:pPr>
      <w:r>
        <w:t>The safety profile of the dose levels of ID93 + GLA-SE will be described. The primary variable for evaluation of the safety profile will be the number and percentage of unsolicited and solicited adverse events recorded at all available post-</w:t>
      </w:r>
      <w:r w:rsidR="002C59ED">
        <w:t>injection</w:t>
      </w:r>
      <w:r>
        <w:t xml:space="preserve"> time points. For all presentations of adverse events, additional summaries based on reporting period of adverse events following each study injection may also be presented.</w:t>
      </w:r>
    </w:p>
    <w:p w14:paraId="77D2A9AC" w14:textId="77777777" w:rsidR="00771269" w:rsidRDefault="00771269" w:rsidP="00725327">
      <w:pPr>
        <w:pStyle w:val="BodyText"/>
        <w:spacing w:before="120" w:after="120" w:line="276" w:lineRule="auto"/>
      </w:pPr>
      <w:r>
        <w:t>The number (percentage) of participants with adverse events will be summarized by MedDRA system organ class (SOC) and preferred term (PT). Additional summaries will present the number (percentage) of participants with adverse events by severity and by relationship to study injection; each participant will be counted once per preferred term at the greatest severity or most related state recorded for that term.</w:t>
      </w:r>
    </w:p>
    <w:p w14:paraId="67C43008" w14:textId="77777777" w:rsidR="00771269" w:rsidRDefault="00771269" w:rsidP="00725327">
      <w:pPr>
        <w:pStyle w:val="BodyText"/>
        <w:spacing w:before="120" w:after="120" w:line="276" w:lineRule="auto"/>
      </w:pPr>
      <w:r>
        <w:t>Separate summaries of the number (percentage) of participants with solicited adverse events will also be presented. Solicited adverse events will also be summarized by severity and relationship to study injection; each participant will be counted once per preferred term at the greatest severity or most related state recorded for that term.</w:t>
      </w:r>
    </w:p>
    <w:p w14:paraId="1977A74E" w14:textId="41E0530F" w:rsidR="009821CE" w:rsidRPr="007524E8" w:rsidRDefault="00771269" w:rsidP="00725327">
      <w:pPr>
        <w:pStyle w:val="BodyText"/>
        <w:spacing w:before="120" w:after="120" w:line="276" w:lineRule="auto"/>
      </w:pPr>
      <w:r>
        <w:t>Separate summaries of the number (percentage) of participants with adverse events of special interest will also be presented.</w:t>
      </w:r>
      <w:r w:rsidR="007524E8">
        <w:t xml:space="preserve"> </w:t>
      </w:r>
      <w:r>
        <w:t>Listings will be provided for participa</w:t>
      </w:r>
      <w:r w:rsidR="007524E8">
        <w:t xml:space="preserve">nts with adverse events. </w:t>
      </w:r>
      <w:r>
        <w:t>Serious adverse events will be recorded through the final study visit for all participants. Listings will be provided for participants with serious adverse events.</w:t>
      </w:r>
      <w:r w:rsidR="007524E8">
        <w:t xml:space="preserve"> </w:t>
      </w:r>
      <w:r>
        <w:t>For each clinical laboratory parameter and vital sign parameter pre-specified in the protocol, summary statistics for continuous parameters will be presented by treatment regimen for all pre- and post-</w:t>
      </w:r>
      <w:r w:rsidR="002C59ED">
        <w:t>injection</w:t>
      </w:r>
      <w:r>
        <w:t xml:space="preserve"> assessments and for change from pre-</w:t>
      </w:r>
      <w:r w:rsidR="002C59ED">
        <w:t>injection</w:t>
      </w:r>
      <w:r>
        <w:t xml:space="preserve"> to post-</w:t>
      </w:r>
      <w:r w:rsidR="002C59ED">
        <w:t>injection</w:t>
      </w:r>
      <w:r>
        <w:t xml:space="preserve"> assessments.</w:t>
      </w:r>
      <w:r w:rsidR="003F0938">
        <w:t xml:space="preserve"> </w:t>
      </w:r>
      <w:r>
        <w:t>The number (percentage) of participants with post-</w:t>
      </w:r>
      <w:r w:rsidR="002C59ED">
        <w:t>injection</w:t>
      </w:r>
      <w:r>
        <w:t xml:space="preserve"> clinical laboratory values or vital sign values recorded as newly abnormal following study injection and meeting toxicity mild criteria (Grade 1) or above as specified in the Toxicity Table will be tabulated at each post-</w:t>
      </w:r>
      <w:r w:rsidR="002C59ED">
        <w:t>injection</w:t>
      </w:r>
      <w:r>
        <w:t xml:space="preserve"> time point and overall. Clinical laboratory and vital sign abnormalities will also be reported as adverse events and will be included in the summary of adverse events.</w:t>
      </w:r>
    </w:p>
    <w:p w14:paraId="028395E2" w14:textId="0E6F8AAF" w:rsidR="009821CE" w:rsidRDefault="009821CE" w:rsidP="00725327">
      <w:pPr>
        <w:pStyle w:val="BodyText"/>
        <w:spacing w:before="120" w:after="120" w:line="276" w:lineRule="auto"/>
        <w:rPr>
          <w:b/>
        </w:rPr>
      </w:pPr>
      <w:r w:rsidRPr="009821CE">
        <w:rPr>
          <w:b/>
        </w:rPr>
        <w:t>Immunology Analyses</w:t>
      </w:r>
    </w:p>
    <w:p w14:paraId="27FD6BB7" w14:textId="15394F59" w:rsidR="00D25A77" w:rsidRDefault="00D25A77" w:rsidP="00725327">
      <w:pPr>
        <w:pStyle w:val="BodyText"/>
        <w:spacing w:before="120" w:after="120" w:line="276" w:lineRule="auto"/>
      </w:pPr>
      <w:r w:rsidRPr="00BE36CA">
        <w:rPr>
          <w:iCs/>
        </w:rPr>
        <w:t>The evaluation of vaccine-induced immunity will be based on the development of circulating antibody and T</w:t>
      </w:r>
      <w:r w:rsidR="00546B91">
        <w:rPr>
          <w:iCs/>
        </w:rPr>
        <w:t>-</w:t>
      </w:r>
      <w:r w:rsidRPr="00BE36CA">
        <w:rPr>
          <w:iCs/>
        </w:rPr>
        <w:t xml:space="preserve">cell responses directed against the ID93 protein. IgG responses will be assessed at Days 0, </w:t>
      </w:r>
      <w:r w:rsidR="005E6C23">
        <w:rPr>
          <w:iCs/>
        </w:rPr>
        <w:t xml:space="preserve">14, </w:t>
      </w:r>
      <w:r w:rsidRPr="00BE36CA">
        <w:rPr>
          <w:iCs/>
        </w:rPr>
        <w:t xml:space="preserve">28, </w:t>
      </w:r>
      <w:r w:rsidR="00E36A61">
        <w:rPr>
          <w:iCs/>
        </w:rPr>
        <w:t xml:space="preserve">42, </w:t>
      </w:r>
      <w:r w:rsidRPr="00BE36CA">
        <w:rPr>
          <w:iCs/>
        </w:rPr>
        <w:t>56</w:t>
      </w:r>
      <w:r w:rsidR="005E6C23">
        <w:rPr>
          <w:iCs/>
        </w:rPr>
        <w:t>, 70, 84</w:t>
      </w:r>
      <w:r w:rsidR="003F0938">
        <w:rPr>
          <w:iCs/>
        </w:rPr>
        <w:t>,</w:t>
      </w:r>
      <w:r w:rsidRPr="00BE36CA">
        <w:rPr>
          <w:iCs/>
        </w:rPr>
        <w:t xml:space="preserve"> and </w:t>
      </w:r>
      <w:r w:rsidR="00567485">
        <w:rPr>
          <w:iCs/>
        </w:rPr>
        <w:t>224</w:t>
      </w:r>
      <w:r w:rsidRPr="00BE36CA">
        <w:rPr>
          <w:iCs/>
        </w:rPr>
        <w:t>. T</w:t>
      </w:r>
      <w:r w:rsidR="00546B91">
        <w:rPr>
          <w:iCs/>
        </w:rPr>
        <w:t>-</w:t>
      </w:r>
      <w:r w:rsidRPr="00BE36CA">
        <w:rPr>
          <w:iCs/>
        </w:rPr>
        <w:t xml:space="preserve">cell responses will be assessed for all subjects at Days 0, </w:t>
      </w:r>
      <w:r w:rsidR="005E6C23">
        <w:rPr>
          <w:iCs/>
        </w:rPr>
        <w:t xml:space="preserve">14, </w:t>
      </w:r>
      <w:r w:rsidRPr="00BE36CA">
        <w:rPr>
          <w:iCs/>
        </w:rPr>
        <w:t xml:space="preserve">28, </w:t>
      </w:r>
      <w:r w:rsidR="00A40648">
        <w:rPr>
          <w:iCs/>
        </w:rPr>
        <w:t xml:space="preserve">42, </w:t>
      </w:r>
      <w:r w:rsidRPr="00BE36CA">
        <w:rPr>
          <w:iCs/>
        </w:rPr>
        <w:t xml:space="preserve">56, </w:t>
      </w:r>
      <w:r w:rsidR="005E6C23">
        <w:rPr>
          <w:iCs/>
        </w:rPr>
        <w:t>70, 84</w:t>
      </w:r>
      <w:r w:rsidR="003F0938">
        <w:rPr>
          <w:iCs/>
        </w:rPr>
        <w:t>,</w:t>
      </w:r>
      <w:r w:rsidR="005E6C23">
        <w:rPr>
          <w:iCs/>
        </w:rPr>
        <w:t xml:space="preserve"> </w:t>
      </w:r>
      <w:r w:rsidRPr="00BE36CA">
        <w:rPr>
          <w:iCs/>
        </w:rPr>
        <w:t xml:space="preserve">and </w:t>
      </w:r>
      <w:r w:rsidR="00567485">
        <w:rPr>
          <w:iCs/>
        </w:rPr>
        <w:t>224</w:t>
      </w:r>
      <w:r>
        <w:rPr>
          <w:iCs/>
        </w:rPr>
        <w:t>.</w:t>
      </w:r>
    </w:p>
    <w:p w14:paraId="0C6DE32C" w14:textId="46875C4B" w:rsidR="009821CE" w:rsidRPr="007524E8" w:rsidRDefault="009821CE" w:rsidP="00725327">
      <w:pPr>
        <w:pStyle w:val="BodyText"/>
        <w:spacing w:before="120" w:after="120" w:line="276" w:lineRule="auto"/>
      </w:pPr>
      <w:r>
        <w:t>The primary</w:t>
      </w:r>
      <w:r w:rsidRPr="009821CE">
        <w:t xml:space="preserve"> immunology </w:t>
      </w:r>
      <w:r>
        <w:t>analyses involve</w:t>
      </w:r>
      <w:r w:rsidRPr="009821CE">
        <w:t xml:space="preserve"> assessment of the immune response to the vaccine by measurement of the frequency of CD4+ and CD8+ T</w:t>
      </w:r>
      <w:r w:rsidR="00546B91">
        <w:t>-</w:t>
      </w:r>
      <w:r w:rsidRPr="009821CE">
        <w:t>cells that produce any of selected cytokines following stimulation with peptide pools derived from and representing the entire amino acid sequences of the mycobacterial antigens Rv2608, Rv3619, Rv3620, and Rv1813.</w:t>
      </w:r>
      <w:r w:rsidR="00725327">
        <w:t xml:space="preserve"> </w:t>
      </w:r>
      <w:r w:rsidRPr="009821CE">
        <w:t>Response will be measured using PBMCs by flow cytometry in the intracellular cytokine staining (ICS) assay, and will be presented using median DMSO-subtracted cytokine responses and associated 95% CIs by treatment regimen.</w:t>
      </w:r>
      <w:r w:rsidR="00725327">
        <w:t xml:space="preserve"> </w:t>
      </w:r>
      <w:r w:rsidRPr="009821CE">
        <w:t>DMSO (background) values in vaccine recipients with respective antigen-stimulated responses and responses in the placebo recipients will be presented for comparison.</w:t>
      </w:r>
      <w:r w:rsidR="00725327">
        <w:t xml:space="preserve"> </w:t>
      </w:r>
      <w:r w:rsidRPr="009821CE">
        <w:t>Separate summaries will be presented by treatment regimen.</w:t>
      </w:r>
      <w:r w:rsidR="00725327">
        <w:t xml:space="preserve"> </w:t>
      </w:r>
      <w:r w:rsidR="00546B91">
        <w:t>Positivity of T-</w:t>
      </w:r>
      <w:r w:rsidRPr="009821CE">
        <w:t>cell responses from the ICS assay will be determined according to a pre-specified methodology</w:t>
      </w:r>
      <w:r w:rsidR="00F83EFB">
        <w:t xml:space="preserve"> </w:t>
      </w:r>
      <w:r w:rsidR="00C704B8">
        <w:fldChar w:fldCharType="begin">
          <w:fldData xml:space="preserve">PEVuZE5vdGU+PENpdGU+PEF1dGhvcj5Ib3J0b248L0F1dGhvcj48WWVhcj4yMDA3PC9ZZWFyPjxS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</w:fldData>
        </w:fldChar>
      </w:r>
      <w:r w:rsidR="001A1F59">
        <w:instrText xml:space="preserve"> ADDIN EN.CITE </w:instrText>
      </w:r>
      <w:r w:rsidR="001A1F59">
        <w:fldChar w:fldCharType="begin">
          <w:fldData xml:space="preserve">PEVuZE5vdGU+PENpdGU+PEF1dGhvcj5Ib3J0b248L0F1dGhvcj48WWVhcj4yMDA3PC9ZZWFyPjxS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</w:fldData>
        </w:fldChar>
      </w:r>
      <w:r w:rsidR="001A1F59">
        <w:instrText xml:space="preserve"> ADDIN EN.CITE.DATA </w:instrText>
      </w:r>
      <w:r w:rsidR="001A1F59">
        <w:fldChar w:fldCharType="end"/>
      </w:r>
      <w:r w:rsidR="00C704B8">
        <w:fldChar w:fldCharType="separate"/>
      </w:r>
      <w:r w:rsidR="001A1F59">
        <w:rPr>
          <w:noProof/>
        </w:rPr>
        <w:t>[</w:t>
      </w:r>
      <w:hyperlink w:anchor="_ENREF_13" w:tooltip="Horton, 2007 #13264" w:history="1">
        <w:r w:rsidR="001A1F59" w:rsidRPr="0038687D">
          <w:rPr>
            <w:noProof/>
            <w:color w:val="0000FF"/>
          </w:rPr>
          <w:t>13</w:t>
        </w:r>
      </w:hyperlink>
      <w:r w:rsidR="001A1F59">
        <w:rPr>
          <w:noProof/>
        </w:rPr>
        <w:t>]</w:t>
      </w:r>
      <w:r w:rsidR="00C704B8">
        <w:fldChar w:fldCharType="end"/>
      </w:r>
      <w:r w:rsidRPr="009821CE">
        <w:t>, to be described in the statistical analysis plan, and will be summarized as number (percentage) of re</w:t>
      </w:r>
      <w:r w:rsidR="007524E8">
        <w:t xml:space="preserve">sponders by treatment regimen. </w:t>
      </w:r>
    </w:p>
    <w:p w14:paraId="2B9D23B2" w14:textId="614427FB" w:rsidR="009821CE" w:rsidRPr="009821CE" w:rsidRDefault="009821CE" w:rsidP="00725327">
      <w:pPr>
        <w:pStyle w:val="BodyText"/>
        <w:spacing w:before="120" w:after="120" w:line="276" w:lineRule="auto"/>
      </w:pPr>
      <w:r w:rsidRPr="009821CE">
        <w:t>Immune sera will be analyzed for the presence of antigen-specific IgG antibodies by ELISA.</w:t>
      </w:r>
      <w:r w:rsidR="00725327">
        <w:t xml:space="preserve"> </w:t>
      </w:r>
      <w:r w:rsidRPr="009821CE">
        <w:t>Responses will be summarized using geometric mean titers and associated 95% CIs by treatment regimen and by baseline QFT status</w:t>
      </w:r>
      <w:r>
        <w:t>, at all available time points.</w:t>
      </w:r>
    </w:p>
    <w:p w14:paraId="521A5B94" w14:textId="77777777" w:rsidR="00F43682" w:rsidRDefault="00F43682">
      <w:pPr>
        <w:pStyle w:val="Heading1"/>
      </w:pPr>
      <w:bookmarkStart w:id="411" w:name="_Toc385264377"/>
      <w:bookmarkStart w:id="412" w:name="_Toc385265522"/>
      <w:bookmarkStart w:id="413" w:name="_Toc385264378"/>
      <w:bookmarkStart w:id="414" w:name="_Toc385265523"/>
      <w:bookmarkStart w:id="415" w:name="_Toc385264381"/>
      <w:bookmarkStart w:id="416" w:name="_Toc385265526"/>
      <w:bookmarkStart w:id="417" w:name="_Toc385264382"/>
      <w:bookmarkStart w:id="418" w:name="_Toc385265527"/>
      <w:bookmarkStart w:id="419" w:name="_Toc385264383"/>
      <w:bookmarkStart w:id="420" w:name="_Toc385265528"/>
      <w:bookmarkStart w:id="421" w:name="_Toc385264384"/>
      <w:bookmarkStart w:id="422" w:name="_Toc385265529"/>
      <w:bookmarkStart w:id="423" w:name="QuickMark"/>
      <w:bookmarkStart w:id="424" w:name="_Toc389130039"/>
      <w:bookmarkStart w:id="425" w:name="_Toc440906342"/>
      <w:bookmarkEnd w:id="411"/>
      <w:bookmarkEnd w:id="412"/>
      <w:bookmarkEnd w:id="413"/>
      <w:bookmarkEnd w:id="414"/>
      <w:bookmarkEnd w:id="415"/>
      <w:bookmarkEnd w:id="416"/>
      <w:bookmarkEnd w:id="417"/>
      <w:bookmarkEnd w:id="418"/>
      <w:bookmarkEnd w:id="419"/>
      <w:bookmarkEnd w:id="420"/>
      <w:bookmarkEnd w:id="421"/>
      <w:bookmarkEnd w:id="422"/>
      <w:bookmarkEnd w:id="423"/>
      <w:r>
        <w:t>Source Documents and Access to Source Data/Documents</w:t>
      </w:r>
      <w:bookmarkEnd w:id="424"/>
      <w:bookmarkEnd w:id="425"/>
    </w:p>
    <w:p w14:paraId="7727EDC2" w14:textId="446C9CA0" w:rsidR="007A35E7" w:rsidRDefault="007A35E7" w:rsidP="007A35E7">
      <w:pPr>
        <w:pStyle w:val="BodyText"/>
      </w:pPr>
      <w:r>
        <w:t>For the purpose of monitoring and auditing the study, source documentation will consist of existing medical records and/or study records developed and maintained by the investigator. Any source document templates provided by the Sponsor or its designee will serve as supplements to the participant’s study record.</w:t>
      </w:r>
    </w:p>
    <w:p w14:paraId="51D9321F" w14:textId="2BC04B95" w:rsidR="007A35E7" w:rsidRDefault="007A35E7" w:rsidP="007A35E7">
      <w:pPr>
        <w:pStyle w:val="BodyText"/>
      </w:pPr>
      <w:r>
        <w:t>Data recorded on source documents will be transcribed onto case report forms (CRFs) or entered using electronic case report forms (eCRFs) using an Electronic Data Capture (EDC) system. Completed, original CRFs will be retained at the clinical site as part of the study records.</w:t>
      </w:r>
    </w:p>
    <w:p w14:paraId="20295461" w14:textId="7A9DE1B9" w:rsidR="007A35E7" w:rsidRPr="007A35E7" w:rsidRDefault="007A35E7" w:rsidP="007A35E7">
      <w:pPr>
        <w:pStyle w:val="BodyText"/>
      </w:pPr>
    </w:p>
    <w:p w14:paraId="69168F35" w14:textId="77777777" w:rsidR="00F43682" w:rsidRDefault="00F43682">
      <w:pPr>
        <w:pStyle w:val="Heading1"/>
      </w:pPr>
      <w:bookmarkStart w:id="426" w:name="_Toc42589011"/>
      <w:bookmarkStart w:id="427" w:name="_Toc53202872"/>
      <w:bookmarkStart w:id="428" w:name="_Toc389130040"/>
      <w:bookmarkStart w:id="429" w:name="_Toc440906343"/>
      <w:r w:rsidRPr="00E07017">
        <w:t>Quality Control and Quality Assurance</w:t>
      </w:r>
      <w:bookmarkEnd w:id="426"/>
      <w:bookmarkEnd w:id="427"/>
      <w:bookmarkEnd w:id="428"/>
      <w:bookmarkEnd w:id="429"/>
    </w:p>
    <w:p w14:paraId="76D6A770" w14:textId="77777777" w:rsidR="00F5263F" w:rsidRDefault="00C10220" w:rsidP="00725327">
      <w:pPr>
        <w:spacing w:before="120" w:after="120" w:line="276" w:lineRule="auto"/>
        <w:rPr>
          <w:rFonts w:cs="Arial"/>
        </w:rPr>
      </w:pPr>
      <w:r w:rsidRPr="00C10220">
        <w:rPr>
          <w:rFonts w:cs="Arial"/>
        </w:rPr>
        <w:t>O</w:t>
      </w:r>
      <w:r w:rsidRPr="009919E4">
        <w:rPr>
          <w:rFonts w:cs="Arial"/>
        </w:rPr>
        <w:t>ngoing detection, analysis, review, intervention and preventive action for protocol non-compliances and other quality issues</w:t>
      </w:r>
      <w:r w:rsidR="009919E4">
        <w:rPr>
          <w:rFonts w:cs="Arial"/>
        </w:rPr>
        <w:t xml:space="preserve"> is essential</w:t>
      </w:r>
      <w:r w:rsidR="009919E4" w:rsidRPr="009919E4">
        <w:rPr>
          <w:rFonts w:cs="Arial"/>
        </w:rPr>
        <w:t xml:space="preserve">. </w:t>
      </w:r>
    </w:p>
    <w:p w14:paraId="3E7CA67E" w14:textId="77777777" w:rsidR="00F5263F" w:rsidRDefault="00C10220" w:rsidP="00725327">
      <w:pPr>
        <w:spacing w:before="120" w:after="120" w:line="276" w:lineRule="auto"/>
        <w:rPr>
          <w:rFonts w:cs="Arial"/>
          <w:lang w:val="en-ZA"/>
        </w:rPr>
      </w:pPr>
      <w:r w:rsidRPr="009919E4">
        <w:rPr>
          <w:rFonts w:cs="Arial"/>
        </w:rPr>
        <w:t xml:space="preserve">Quality Management </w:t>
      </w:r>
      <w:r w:rsidRPr="009919E4">
        <w:rPr>
          <w:rFonts w:cs="Arial"/>
          <w:lang w:val="en-ZA"/>
        </w:rPr>
        <w:t>is an integrated system of standardized tools and procedures that are applied to monitor trial activities, to ensure participant protection, and to minimize errors in document</w:t>
      </w:r>
      <w:r w:rsidR="009919E4" w:rsidRPr="009919E4">
        <w:rPr>
          <w:rFonts w:cs="Arial"/>
          <w:lang w:val="en-ZA"/>
        </w:rPr>
        <w:t xml:space="preserve">ation and data collection. </w:t>
      </w:r>
    </w:p>
    <w:p w14:paraId="5642B2A2" w14:textId="6CA9912D" w:rsidR="00C10220" w:rsidRPr="009919E4" w:rsidRDefault="009919E4" w:rsidP="00725327">
      <w:pPr>
        <w:spacing w:before="120" w:after="120" w:line="276" w:lineRule="auto"/>
        <w:rPr>
          <w:rFonts w:cs="Arial"/>
        </w:rPr>
      </w:pPr>
      <w:r w:rsidRPr="009919E4">
        <w:rPr>
          <w:rFonts w:cs="Arial"/>
          <w:lang w:val="en-ZA"/>
        </w:rPr>
        <w:t xml:space="preserve">A Quality Management Plan will be developed by the site to </w:t>
      </w:r>
      <w:r w:rsidR="00C10220" w:rsidRPr="009919E4">
        <w:rPr>
          <w:rFonts w:cs="Arial"/>
          <w:lang w:val="en-ZA"/>
        </w:rPr>
        <w:t xml:space="preserve">allow </w:t>
      </w:r>
      <w:r>
        <w:rPr>
          <w:rFonts w:cs="Arial"/>
          <w:lang w:val="en-ZA"/>
        </w:rPr>
        <w:t xml:space="preserve">prompt </w:t>
      </w:r>
      <w:r w:rsidR="00C10220" w:rsidRPr="009919E4">
        <w:rPr>
          <w:rFonts w:cs="Arial"/>
        </w:rPr>
        <w:t>recognition of quality trends, early identification of protocol non-compliances, facilitation of corre</w:t>
      </w:r>
      <w:r w:rsidRPr="009919E4">
        <w:rPr>
          <w:rFonts w:cs="Arial"/>
        </w:rPr>
        <w:t>ctive action plans</w:t>
      </w:r>
      <w:r w:rsidR="00A410DA">
        <w:rPr>
          <w:rFonts w:cs="Arial"/>
        </w:rPr>
        <w:t>,</w:t>
      </w:r>
      <w:r w:rsidRPr="009919E4">
        <w:rPr>
          <w:rFonts w:cs="Arial"/>
        </w:rPr>
        <w:t xml:space="preserve"> and </w:t>
      </w:r>
      <w:r>
        <w:rPr>
          <w:rFonts w:cs="Arial"/>
        </w:rPr>
        <w:t xml:space="preserve">to </w:t>
      </w:r>
      <w:r w:rsidRPr="009919E4">
        <w:rPr>
          <w:rFonts w:cs="Arial"/>
        </w:rPr>
        <w:t>provide</w:t>
      </w:r>
      <w:r w:rsidR="00C10220" w:rsidRPr="009919E4">
        <w:rPr>
          <w:rFonts w:cs="Arial"/>
        </w:rPr>
        <w:t xml:space="preserve"> a formal mechanism for review by the investigator and feedback of preventive actions, including timelines and measures o</w:t>
      </w:r>
      <w:r w:rsidRPr="009919E4">
        <w:rPr>
          <w:rFonts w:cs="Arial"/>
        </w:rPr>
        <w:t>f compliance, to the study team, and to the Sponsor.</w:t>
      </w:r>
    </w:p>
    <w:p w14:paraId="021AB948" w14:textId="77777777" w:rsidR="00C10220" w:rsidRPr="00C10220" w:rsidRDefault="00C10220" w:rsidP="009919E4">
      <w:pPr>
        <w:pStyle w:val="BodyText"/>
      </w:pPr>
    </w:p>
    <w:p w14:paraId="1A344F52" w14:textId="77777777" w:rsidR="00F43682" w:rsidRDefault="00F43682">
      <w:pPr>
        <w:pStyle w:val="Heading1"/>
      </w:pPr>
      <w:bookmarkStart w:id="430" w:name="_Toc389130041"/>
      <w:bookmarkStart w:id="431" w:name="_Toc440906344"/>
      <w:r>
        <w:t>Ethics/Protection of Human Subjects</w:t>
      </w:r>
      <w:bookmarkEnd w:id="430"/>
      <w:bookmarkEnd w:id="431"/>
    </w:p>
    <w:p w14:paraId="4D1ABB7C" w14:textId="77777777" w:rsidR="00F43682" w:rsidRDefault="00F43682">
      <w:pPr>
        <w:pStyle w:val="Heading2"/>
      </w:pPr>
      <w:bookmarkStart w:id="432" w:name="_Toc389130042"/>
      <w:bookmarkStart w:id="433" w:name="_Toc440906345"/>
      <w:bookmarkStart w:id="434" w:name="_Toc42589013"/>
      <w:r>
        <w:t>Ethical Standard</w:t>
      </w:r>
      <w:bookmarkEnd w:id="432"/>
      <w:bookmarkEnd w:id="433"/>
    </w:p>
    <w:p w14:paraId="21BF887A" w14:textId="77777777" w:rsidR="00955E64" w:rsidRDefault="00955E64" w:rsidP="00725327">
      <w:pPr>
        <w:spacing w:before="120" w:after="120"/>
      </w:pPr>
      <w:bookmarkStart w:id="435" w:name="_Toc42589014"/>
      <w:bookmarkStart w:id="436" w:name="_Toc53202875"/>
      <w:bookmarkEnd w:id="434"/>
      <w:r w:rsidRPr="00955E64">
        <w:t xml:space="preserve">The study will be conducted according to the ethical principles set forth in the Declaration of Helsinki, ICH-GCP, Protection of Human Subjects (21 CFR 50), Institutional Review Boards (21 CFR 56), Obligations of Clinical Investigators (21 CFR 312), Guidelines for Good Practice in the Conduct of Clinical Trials in Human Participants in South Africa, and local regulatory requirements. </w:t>
      </w:r>
    </w:p>
    <w:p w14:paraId="4BE376FA" w14:textId="77777777" w:rsidR="00955E64" w:rsidRPr="00955E64" w:rsidRDefault="00955E64" w:rsidP="00725327">
      <w:pPr>
        <w:spacing w:before="120" w:after="120"/>
      </w:pPr>
      <w:r w:rsidRPr="00955E64">
        <w:t xml:space="preserve">The protocol and informed consent form will be reviewed and approved by the local national regulatory authority and the IRB or IEC of each participating clinical site prior to any protocol-specified procedures being conducted. The investigator will inform the IRB/IEC as to the progress of the study on a regular basis, or at minimum, once a year. </w:t>
      </w:r>
    </w:p>
    <w:p w14:paraId="6BC77A86" w14:textId="57DB209D" w:rsidR="00F43682" w:rsidRPr="00D553CB" w:rsidRDefault="00955E64" w:rsidP="00725327">
      <w:pPr>
        <w:spacing w:before="120" w:after="120"/>
      </w:pPr>
      <w:r w:rsidRPr="00955E64">
        <w:t>Written informed consent will be obtained from each participant prior to any protocol-specified procedures being conducted.</w:t>
      </w:r>
    </w:p>
    <w:p w14:paraId="47635A4D" w14:textId="77777777" w:rsidR="00F43682" w:rsidRPr="00D553CB" w:rsidRDefault="00F43682">
      <w:pPr>
        <w:pStyle w:val="Heading2"/>
      </w:pPr>
      <w:bookmarkStart w:id="437" w:name="_Toc389130043"/>
      <w:bookmarkStart w:id="438" w:name="_Toc440906346"/>
      <w:r w:rsidRPr="00D553CB">
        <w:t>Institutional Review Board</w:t>
      </w:r>
      <w:bookmarkEnd w:id="435"/>
      <w:bookmarkEnd w:id="436"/>
      <w:bookmarkEnd w:id="437"/>
      <w:bookmarkEnd w:id="438"/>
    </w:p>
    <w:p w14:paraId="3955E8FA" w14:textId="1D136451" w:rsidR="00D553CB" w:rsidRDefault="00D553CB" w:rsidP="009B0277">
      <w:pPr>
        <w:spacing w:before="180" w:after="180" w:line="276" w:lineRule="auto"/>
      </w:pPr>
      <w:r w:rsidRPr="000B3E68">
        <w:t>The protocol and informed consent form will be reviewed and approved by the IRB or IEC of each participating clinical site prior to any protocol-specified procedures being conducted. The investigator will inform the IRB/IEC as to the progress of the study at applicable intervals as defined by IRB/IEC policy.</w:t>
      </w:r>
    </w:p>
    <w:p w14:paraId="443CA345" w14:textId="46C9FEC5" w:rsidR="00BB69D5" w:rsidRDefault="00BB69D5" w:rsidP="009B0277">
      <w:pPr>
        <w:keepNext/>
        <w:keepLines/>
        <w:spacing w:before="180" w:after="180" w:line="276" w:lineRule="auto"/>
      </w:pPr>
      <w:r>
        <w:t>All the documents the IRB/IEC may need to fulfill its responsibilities, such as the protocol, protocol amendments, information concerning subject recruitment, payment or compensation procedures, etc., will be submitted to the IRB/IEC by the investigator.</w:t>
      </w:r>
      <w:r w:rsidR="00725327">
        <w:t xml:space="preserve"> </w:t>
      </w:r>
      <w:r>
        <w:t xml:space="preserve">The IRB’s/IEC’s written, unconditional approval of the study protocol and the informed consent form will be in the possession of the investigator/clinical site staff prior to the conduct of any protocol-specified procedures. </w:t>
      </w:r>
    </w:p>
    <w:p w14:paraId="56089F79" w14:textId="5EB1989A" w:rsidR="00BB69D5" w:rsidRDefault="00BB69D5" w:rsidP="009B0277">
      <w:pPr>
        <w:spacing w:before="180" w:after="180" w:line="276" w:lineRule="auto"/>
      </w:pPr>
      <w:r>
        <w:t>Modifications to the protocol may not be implemented without prior written IRB/IEC approval except when necessary to eliminate immediate hazards to the subjects or when the modification involves only logistical or administrative aspects of the study.</w:t>
      </w:r>
      <w:r w:rsidR="00725327">
        <w:t xml:space="preserve"> </w:t>
      </w:r>
      <w:r>
        <w:t>Such logistical or administrative modifications will be submitted to the IRB/IEC in writing by the investigator, and a copy of the correspondence to verify the submission will be maintained.</w:t>
      </w:r>
      <w:r w:rsidR="00725327">
        <w:t xml:space="preserve"> </w:t>
      </w:r>
    </w:p>
    <w:p w14:paraId="1BCA9348" w14:textId="77777777" w:rsidR="00BB69D5" w:rsidRDefault="00BB69D5" w:rsidP="009B0277">
      <w:pPr>
        <w:spacing w:before="180" w:after="180" w:line="276" w:lineRule="auto"/>
      </w:pPr>
      <w:r>
        <w:t xml:space="preserve">The investigator must inform the IRB/IEC of modifications to the informed consent form or any other documents previously submitted for review/approval, of any new information that may adversely affect the safety of the subjects or the conduct of the study, provide an annual update and/or request for re-approval, and advise the IRB/IEC when the study has been completed. </w:t>
      </w:r>
    </w:p>
    <w:p w14:paraId="6D7F35B7" w14:textId="2DC60265" w:rsidR="00BB69D5" w:rsidRPr="00D553CB" w:rsidRDefault="00BB69D5" w:rsidP="009B0277">
      <w:pPr>
        <w:spacing w:before="180" w:after="180" w:line="276" w:lineRule="auto"/>
      </w:pPr>
      <w:r>
        <w:t xml:space="preserve">Any documents or forms to be provided to the participant (e.g., information cards, form letters from the investigator), and all forms of study advertising (flyers, brochures, print advertisements, radio or television scripts, etc.) must be approved by </w:t>
      </w:r>
      <w:r w:rsidR="00955E64">
        <w:t xml:space="preserve">the Sponsor </w:t>
      </w:r>
      <w:r>
        <w:t>or its designee prior to the clinical site submitting them to the IRB/IEC.</w:t>
      </w:r>
      <w:r w:rsidR="00725327">
        <w:t xml:space="preserve"> </w:t>
      </w:r>
      <w:r>
        <w:t xml:space="preserve">Approval from the IRB/IEC must be obtained prior to providing the documents or forms to the participant. </w:t>
      </w:r>
    </w:p>
    <w:p w14:paraId="1D0B4B4C" w14:textId="77777777" w:rsidR="00F43682" w:rsidRPr="00BB69D5" w:rsidRDefault="00F43682">
      <w:pPr>
        <w:pStyle w:val="Heading2"/>
      </w:pPr>
      <w:bookmarkStart w:id="439" w:name="_Toc389130044"/>
      <w:bookmarkStart w:id="440" w:name="_Toc440906347"/>
      <w:bookmarkStart w:id="441" w:name="_Toc42589018"/>
      <w:bookmarkStart w:id="442" w:name="_Toc53202876"/>
      <w:r w:rsidRPr="00BB69D5">
        <w:t>Informed Consent Process</w:t>
      </w:r>
      <w:bookmarkEnd w:id="439"/>
      <w:bookmarkEnd w:id="440"/>
    </w:p>
    <w:p w14:paraId="6D3077FC" w14:textId="3999D199" w:rsidR="00BB69D5" w:rsidRDefault="00BB69D5" w:rsidP="009B0277">
      <w:pPr>
        <w:spacing w:before="180" w:after="180" w:line="276" w:lineRule="auto"/>
      </w:pPr>
      <w:r w:rsidRPr="00BB69D5">
        <w:t>The principles of informed consent</w:t>
      </w:r>
      <w:r>
        <w:t xml:space="preserve"> in the current edition of the Declaration of Helsinki and ICH-GCP/21 CFR 50.25 should be implemented prior to any protocol-specified procedures being conducted.</w:t>
      </w:r>
      <w:r w:rsidR="00725327">
        <w:t xml:space="preserve"> </w:t>
      </w:r>
      <w:r>
        <w:t>Informed consent will be documented in writing on a consent form approved by the IRB/IEC.</w:t>
      </w:r>
    </w:p>
    <w:p w14:paraId="1779C57C" w14:textId="7285C55B" w:rsidR="00BB69D5" w:rsidRDefault="00BB69D5" w:rsidP="009B0277">
      <w:pPr>
        <w:spacing w:before="180" w:after="180" w:line="276" w:lineRule="auto"/>
      </w:pPr>
      <w:r>
        <w:t>All relevant information should be provided in both oral and written form in a way that is understandable to the participant.</w:t>
      </w:r>
      <w:r w:rsidR="00725327">
        <w:t xml:space="preserve"> </w:t>
      </w:r>
      <w:r>
        <w:t>Ample time and opportunity must be given for the participant to inquire about details of the study.</w:t>
      </w:r>
      <w:r w:rsidR="00725327">
        <w:t xml:space="preserve"> </w:t>
      </w:r>
      <w:r>
        <w:t>The written consent document will embody the elements of informed consent as described in the Declaration of Helsinki and will also c</w:t>
      </w:r>
      <w:r w:rsidR="009B0277">
        <w:t xml:space="preserve">omply with local regulations. </w:t>
      </w:r>
    </w:p>
    <w:p w14:paraId="11EAA419" w14:textId="525827D6" w:rsidR="00BB69D5" w:rsidRDefault="00BB69D5" w:rsidP="009B0277">
      <w:pPr>
        <w:spacing w:before="180" w:after="180" w:line="276" w:lineRule="auto"/>
      </w:pPr>
      <w:r>
        <w:t>The investigator or the investigator’s qualified designee will explain the nature of the study and inform the participant that participation is voluntary and that he or she can leave the study at any time, without penalty or loss of benefits to which they are otherwise entitled.</w:t>
      </w:r>
      <w:r w:rsidR="00725327">
        <w:t xml:space="preserve"> </w:t>
      </w:r>
      <w:r>
        <w:t>The participant must be informed about the study’s purpose including why the subject was selected to participate, study goals, expected benefits and risks, potential risks, and that some potential risks are unforeseeable.</w:t>
      </w:r>
      <w:r w:rsidR="00725327">
        <w:t xml:space="preserve"> </w:t>
      </w:r>
      <w:r>
        <w:t>The participant must be provided with a description of the procedures and the estimated duration of time required for participation in the study, as well as alternative interventions or courses of treatment, if applicable.</w:t>
      </w:r>
      <w:r w:rsidR="00725327">
        <w:t xml:space="preserve"> </w:t>
      </w:r>
    </w:p>
    <w:p w14:paraId="0C250D4B" w14:textId="7D40A24D" w:rsidR="00BB69D5" w:rsidRDefault="00BB69D5" w:rsidP="009B0277">
      <w:pPr>
        <w:spacing w:before="180" w:after="180" w:line="276" w:lineRule="auto"/>
      </w:pPr>
      <w:r>
        <w:t>The participant must receive an explanation as to whether any compensation and any medical treatments are available if injury occurs and, if so, what they are, where further information may be obtained, and who to contact in the event of a study-related injury. Participants must be told who to contact for answers to any questions related to the study.</w:t>
      </w:r>
      <w:r w:rsidR="00725327">
        <w:t xml:space="preserve"> </w:t>
      </w:r>
      <w:r>
        <w:t>The extent of the confidentiality of subject records must be defined and the subject must be informed that applicable data protection legislation applies.</w:t>
      </w:r>
    </w:p>
    <w:p w14:paraId="17EE6716" w14:textId="05C73908" w:rsidR="00BB69D5" w:rsidRDefault="00BB69D5" w:rsidP="009B0277">
      <w:pPr>
        <w:spacing w:before="180" w:after="180" w:line="276" w:lineRule="auto"/>
      </w:pPr>
      <w:r>
        <w:t>The participant must be informed that the monitor(s), auditor(s), IRB/IEC members, and the applicable regulatory authorities will be granted direct access to the subject’s original study medical records for verification of protocol-specified procedures and/or data, without violating the confidentiality of the subject to the extent permitted by the applicable laws and regulations.</w:t>
      </w:r>
      <w:r w:rsidR="00725327">
        <w:t xml:space="preserve"> </w:t>
      </w:r>
      <w:r>
        <w:t xml:space="preserve">The participant must be informed that his/her signature on the informed consent form indicates that he/she has decided to participate in the study, having read and discussed the information presented. </w:t>
      </w:r>
    </w:p>
    <w:p w14:paraId="78F06200" w14:textId="23FAF9B7" w:rsidR="00BB69D5" w:rsidRDefault="00BB69D5" w:rsidP="009B0277">
      <w:pPr>
        <w:spacing w:before="180" w:after="180" w:line="276" w:lineRule="auto"/>
      </w:pPr>
      <w:r>
        <w:t>Modifications made by the investigator to an informed consent form template provided to the investigator by the Sponsor or its designee will be reviewed and approved by the Sponsor or its designee prior to being submitted to the IRB/IEC.</w:t>
      </w:r>
      <w:r w:rsidR="00725327">
        <w:t xml:space="preserve"> </w:t>
      </w:r>
    </w:p>
    <w:p w14:paraId="720DA37E" w14:textId="4306F5B6" w:rsidR="00F43682" w:rsidRPr="00BB69D5" w:rsidRDefault="00BB69D5" w:rsidP="009B0277">
      <w:pPr>
        <w:spacing w:before="180" w:after="180" w:line="276" w:lineRule="auto"/>
      </w:pPr>
      <w:r>
        <w:t>The original, signed informed consent form for each subject will be maintained by the investigator as part of the subject’s study records.</w:t>
      </w:r>
      <w:r w:rsidR="00725327">
        <w:t xml:space="preserve"> </w:t>
      </w:r>
      <w:r>
        <w:t>A copy of the signed informed consent form will be provided to each participant.</w:t>
      </w:r>
    </w:p>
    <w:p w14:paraId="10460BA4" w14:textId="77777777" w:rsidR="00F43682" w:rsidRPr="00F1373A" w:rsidRDefault="00F43682" w:rsidP="009E0AB3">
      <w:pPr>
        <w:pStyle w:val="Heading3"/>
      </w:pPr>
      <w:bookmarkStart w:id="443" w:name="_Toc498494690"/>
      <w:bookmarkStart w:id="444" w:name="_Toc42589015"/>
      <w:bookmarkStart w:id="445" w:name="_Toc389130045"/>
      <w:bookmarkStart w:id="446" w:name="_Toc440906348"/>
      <w:r w:rsidRPr="00F1373A">
        <w:t>Informed Consent</w:t>
      </w:r>
      <w:bookmarkEnd w:id="443"/>
      <w:bookmarkEnd w:id="444"/>
      <w:r w:rsidRPr="00F1373A">
        <w:t>/Assent Process (in Case of a Minor)</w:t>
      </w:r>
      <w:bookmarkEnd w:id="445"/>
      <w:bookmarkEnd w:id="446"/>
    </w:p>
    <w:p w14:paraId="21CE253C" w14:textId="00FF6443" w:rsidR="00F1373A" w:rsidRPr="00BB69D5" w:rsidRDefault="00F1373A" w:rsidP="009B0277">
      <w:pPr>
        <w:pStyle w:val="BodyText2"/>
        <w:ind w:left="0"/>
        <w:rPr>
          <w:color w:val="auto"/>
        </w:rPr>
      </w:pPr>
      <w:r w:rsidRPr="00F1373A">
        <w:rPr>
          <w:color w:val="auto"/>
        </w:rPr>
        <w:t xml:space="preserve">Not applicable. </w:t>
      </w:r>
      <w:r w:rsidRPr="00BB69D5">
        <w:rPr>
          <w:color w:val="auto"/>
        </w:rPr>
        <w:t>The age of majority in South Africa is 18 years.</w:t>
      </w:r>
    </w:p>
    <w:p w14:paraId="1151D953" w14:textId="77777777" w:rsidR="00F43682" w:rsidRPr="00BB69D5" w:rsidRDefault="00F43682">
      <w:pPr>
        <w:pStyle w:val="Heading2"/>
      </w:pPr>
      <w:bookmarkStart w:id="447" w:name="_Ref102891443"/>
      <w:bookmarkStart w:id="448" w:name="_Toc389130046"/>
      <w:bookmarkStart w:id="449" w:name="_Toc440906349"/>
      <w:r w:rsidRPr="00BB69D5">
        <w:t>Exclusion of Women, Minorities, and Children</w:t>
      </w:r>
      <w:bookmarkEnd w:id="441"/>
      <w:r w:rsidRPr="00BB69D5">
        <w:t xml:space="preserve"> (Special Populations)</w:t>
      </w:r>
      <w:bookmarkEnd w:id="442"/>
      <w:bookmarkEnd w:id="447"/>
      <w:bookmarkEnd w:id="448"/>
      <w:bookmarkEnd w:id="449"/>
    </w:p>
    <w:p w14:paraId="60B5FC9C" w14:textId="7DA4926E" w:rsidR="00F1373A" w:rsidRDefault="00F06499" w:rsidP="00F1373A">
      <w:pPr>
        <w:pStyle w:val="BodyText"/>
      </w:pPr>
      <w:r>
        <w:t>Adolescents and c</w:t>
      </w:r>
      <w:r w:rsidR="00F1373A" w:rsidRPr="00BB69D5">
        <w:t>hildren are excluded from participation</w:t>
      </w:r>
      <w:r w:rsidR="008D14B7" w:rsidRPr="00BB69D5">
        <w:t xml:space="preserve"> in this study.</w:t>
      </w:r>
      <w:r w:rsidR="00725327">
        <w:t xml:space="preserve"> </w:t>
      </w:r>
      <w:r w:rsidR="008D14B7" w:rsidRPr="00BB69D5">
        <w:t>The safety and immunogenicity of ID93 + GLA-SE has not been demonstrated</w:t>
      </w:r>
      <w:r w:rsidR="008D14B7">
        <w:t xml:space="preserve"> in age group</w:t>
      </w:r>
      <w:r>
        <w:t>s younger than 18 years</w:t>
      </w:r>
      <w:r w:rsidR="008D14B7">
        <w:t xml:space="preserve">. Further, </w:t>
      </w:r>
      <w:r w:rsidR="00F1373A">
        <w:t>TB disease in children is often pauci-ba</w:t>
      </w:r>
      <w:r w:rsidR="004370B4">
        <w:t xml:space="preserve">cillary </w:t>
      </w:r>
      <w:r w:rsidR="00F1373A">
        <w:t>and difficult to diagnose. Therefore, confirmation of TB disease</w:t>
      </w:r>
      <w:r w:rsidR="008D14B7">
        <w:t>, ascertainment of bacteriologic cure, and determination of reactivation versus reinfection TB disease would be difficult in this study population.</w:t>
      </w:r>
    </w:p>
    <w:p w14:paraId="78DCF570" w14:textId="7C31D614" w:rsidR="004370B4" w:rsidRPr="004E50B0" w:rsidRDefault="004370B4" w:rsidP="00F1373A">
      <w:pPr>
        <w:pStyle w:val="BodyText"/>
      </w:pPr>
      <w:r>
        <w:t>HIV infected persons and other immune-compromised individuals are excluded from participation. The safety and immunogenicity of ID93 + GLA-SE has not been demonstrated in this study population. Further, TB disease in HIV infected individuals is often pauci-bacillary and difficult to diagnose. Therefore, confirmation of TB disease at baseline, ascertainment of bacteriologic cure</w:t>
      </w:r>
      <w:r w:rsidRPr="004E50B0">
        <w:t>, and determination of reactivation versus reinfection TB disease would be difficult in this study population.</w:t>
      </w:r>
    </w:p>
    <w:p w14:paraId="1A589E39" w14:textId="3214E461" w:rsidR="004E50B0" w:rsidRPr="004E50B0" w:rsidRDefault="00F43682" w:rsidP="004E50B0">
      <w:pPr>
        <w:pStyle w:val="Heading2"/>
      </w:pPr>
      <w:bookmarkStart w:id="450" w:name="_Toc42589020"/>
      <w:bookmarkStart w:id="451" w:name="_Toc53202877"/>
      <w:bookmarkStart w:id="452" w:name="_Toc389130047"/>
      <w:bookmarkStart w:id="453" w:name="_Toc440906350"/>
      <w:r w:rsidRPr="004E50B0">
        <w:t>Subject Confidentiality</w:t>
      </w:r>
      <w:bookmarkEnd w:id="450"/>
      <w:bookmarkEnd w:id="451"/>
      <w:bookmarkEnd w:id="452"/>
      <w:bookmarkEnd w:id="453"/>
    </w:p>
    <w:p w14:paraId="0E8B8327" w14:textId="7538C19E" w:rsidR="009E651E" w:rsidRPr="004240C5" w:rsidRDefault="004E50B0" w:rsidP="00725327">
      <w:pPr>
        <w:spacing w:before="120" w:after="120"/>
      </w:pPr>
      <w:r w:rsidRPr="004E50B0">
        <w:t>To maintain confidentiality, subject identification numbers will be used to identify the subject’s laboratory specimens, source documents</w:t>
      </w:r>
      <w:r>
        <w:t>, CRF, study reports, etc.</w:t>
      </w:r>
      <w:r w:rsidR="00725327">
        <w:t xml:space="preserve"> </w:t>
      </w:r>
      <w:r>
        <w:t>All study records will be maintained in a secured location.</w:t>
      </w:r>
      <w:r w:rsidR="00725327">
        <w:t xml:space="preserve"> </w:t>
      </w:r>
      <w:r>
        <w:t xml:space="preserve">Clinical information will not be released without written permission from the participant except as necessary for monitoring or auditing of the study by the </w:t>
      </w:r>
      <w:r w:rsidRPr="004240C5">
        <w:t>Sponsor or its designee or applicable regulatory authorities.</w:t>
      </w:r>
    </w:p>
    <w:p w14:paraId="360FC3BD" w14:textId="77777777" w:rsidR="00F43682" w:rsidRPr="004240C5" w:rsidRDefault="00F43682">
      <w:pPr>
        <w:pStyle w:val="Heading2"/>
      </w:pPr>
      <w:bookmarkStart w:id="454" w:name="_Toc84137693"/>
      <w:bookmarkStart w:id="455" w:name="_Ref112741989"/>
      <w:bookmarkStart w:id="456" w:name="_Toc389130048"/>
      <w:bookmarkStart w:id="457" w:name="_Toc440906351"/>
      <w:r w:rsidRPr="004240C5">
        <w:t>Future Use of Stored Specimens</w:t>
      </w:r>
      <w:bookmarkEnd w:id="454"/>
      <w:bookmarkEnd w:id="455"/>
      <w:bookmarkEnd w:id="456"/>
      <w:bookmarkEnd w:id="457"/>
    </w:p>
    <w:p w14:paraId="28FE1A04" w14:textId="26F06F01" w:rsidR="009E651E" w:rsidRPr="004240C5" w:rsidRDefault="009E651E" w:rsidP="009E651E">
      <w:pPr>
        <w:pStyle w:val="BodyText"/>
      </w:pPr>
      <w:r w:rsidRPr="004240C5">
        <w:t>Human subject samples collected dur</w:t>
      </w:r>
      <w:r w:rsidR="004240C5">
        <w:t xml:space="preserve">ing the study will be used </w:t>
      </w:r>
      <w:r w:rsidRPr="004240C5">
        <w:t>for the assays described in the protocol, including exploratory immunological assays</w:t>
      </w:r>
      <w:r w:rsidR="004240C5">
        <w:t xml:space="preserve"> and techniques</w:t>
      </w:r>
      <w:r w:rsidRPr="004240C5">
        <w:t xml:space="preserve"> that become available to address the objectives stated in the protocol prior to study closure.</w:t>
      </w:r>
    </w:p>
    <w:p w14:paraId="3C841CAE" w14:textId="4AFBE5FF" w:rsidR="009E651E" w:rsidRDefault="004240C5" w:rsidP="009E651E">
      <w:pPr>
        <w:pStyle w:val="BodyText"/>
      </w:pPr>
      <w:r>
        <w:t>MTB monocultures derived from sputum or other subject samples will not be considered human subject material for the purposes of future use of stored samples.</w:t>
      </w:r>
    </w:p>
    <w:p w14:paraId="2CEBFA98" w14:textId="510C5FAB" w:rsidR="009E651E" w:rsidRDefault="009E651E" w:rsidP="009E651E">
      <w:pPr>
        <w:pStyle w:val="BodyText"/>
      </w:pPr>
      <w:r>
        <w:t xml:space="preserve">Subjects will be asked to consent </w:t>
      </w:r>
      <w:r w:rsidR="004240C5">
        <w:t>separately for storage of their human subject material and future use of these samples for TB research. The samples from subjects who decline consent for storage and future use of their human subject material will be destroyed upon study closure.</w:t>
      </w:r>
    </w:p>
    <w:p w14:paraId="29EA9251" w14:textId="77777777" w:rsidR="000717B2" w:rsidRPr="0046610D" w:rsidRDefault="000717B2" w:rsidP="00725327">
      <w:pPr>
        <w:pStyle w:val="Heading2"/>
      </w:pPr>
      <w:bookmarkStart w:id="458" w:name="_Toc383793525"/>
      <w:bookmarkStart w:id="459" w:name="_Toc389130049"/>
      <w:bookmarkStart w:id="460" w:name="_Toc440906352"/>
      <w:r w:rsidRPr="0046610D">
        <w:t>Modification of Protocol</w:t>
      </w:r>
      <w:bookmarkEnd w:id="458"/>
      <w:bookmarkEnd w:id="459"/>
      <w:bookmarkEnd w:id="460"/>
    </w:p>
    <w:p w14:paraId="26FBF98E" w14:textId="77777777" w:rsidR="000717B2" w:rsidRPr="0046610D" w:rsidRDefault="000717B2" w:rsidP="00725327">
      <w:pPr>
        <w:spacing w:before="120" w:after="120" w:line="276" w:lineRule="auto"/>
        <w:contextualSpacing/>
      </w:pPr>
      <w:r w:rsidRPr="0046610D">
        <w:t>No deviations from the protocol may be made. IDRI may approve minor exceptions on a case-by-case basis. If modification of the protocol is necessary, the modification must be initiated and confirmed in writing by IDRI, and the Investigator will inform the IRB and not institute the change until approved by the IRB.</w:t>
      </w:r>
    </w:p>
    <w:p w14:paraId="2BA1850B" w14:textId="77777777" w:rsidR="000717B2" w:rsidRPr="0046610D" w:rsidRDefault="000717B2" w:rsidP="00725327">
      <w:pPr>
        <w:pStyle w:val="Heading2"/>
      </w:pPr>
      <w:bookmarkStart w:id="461" w:name="_Toc383793526"/>
      <w:bookmarkStart w:id="462" w:name="_Toc389130050"/>
      <w:bookmarkStart w:id="463" w:name="_Toc440906353"/>
      <w:r w:rsidRPr="0046610D">
        <w:t>Departure from Protocol</w:t>
      </w:r>
      <w:bookmarkEnd w:id="461"/>
      <w:bookmarkEnd w:id="462"/>
      <w:bookmarkEnd w:id="463"/>
    </w:p>
    <w:p w14:paraId="6E79C345" w14:textId="77777777" w:rsidR="000717B2" w:rsidRPr="0046610D" w:rsidRDefault="000717B2" w:rsidP="00725327">
      <w:pPr>
        <w:spacing w:before="120" w:after="120" w:line="276" w:lineRule="auto"/>
        <w:contextualSpacing/>
      </w:pPr>
      <w:r w:rsidRPr="0046610D">
        <w:t>When an emergency occurs that requires a departure from the protocol for an individual, a departure will be only for that individual. The Investigator or other physician in attendance in such an emergency will, if circumstances and time permit, contact IDRI immediately by telephone. The CRFs will completely describe the departure from the protocol and state the reasons for such departure. The IRB must be notified immediately if the departure from the protocol affects the safety or rights of the subject; otherwise, annually.</w:t>
      </w:r>
    </w:p>
    <w:p w14:paraId="50452AD2" w14:textId="77777777" w:rsidR="000717B2" w:rsidRPr="0046610D" w:rsidRDefault="000717B2" w:rsidP="00725327">
      <w:pPr>
        <w:pStyle w:val="Heading2"/>
      </w:pPr>
      <w:bookmarkStart w:id="464" w:name="_Toc383793527"/>
      <w:bookmarkStart w:id="465" w:name="_Toc389130051"/>
      <w:bookmarkStart w:id="466" w:name="_Toc440906354"/>
      <w:r w:rsidRPr="0046610D">
        <w:t>Suspension of Study</w:t>
      </w:r>
      <w:bookmarkEnd w:id="464"/>
      <w:bookmarkEnd w:id="465"/>
      <w:bookmarkEnd w:id="466"/>
    </w:p>
    <w:p w14:paraId="0888A4C4" w14:textId="2B9C2288" w:rsidR="000717B2" w:rsidRPr="0046610D" w:rsidRDefault="000717B2" w:rsidP="00725327">
      <w:pPr>
        <w:spacing w:before="120" w:after="120" w:line="276" w:lineRule="auto"/>
        <w:contextualSpacing/>
      </w:pPr>
      <w:r w:rsidRPr="0046610D">
        <w:t xml:space="preserve">If safety concerns arise during the study, the </w:t>
      </w:r>
      <w:r w:rsidR="002D4B35">
        <w:t xml:space="preserve">LMM or </w:t>
      </w:r>
      <w:r w:rsidRPr="0046610D">
        <w:t>DSM may recommend to the Sponsor that the study be suspended, amended</w:t>
      </w:r>
      <w:r w:rsidR="00A410DA">
        <w:t>,</w:t>
      </w:r>
      <w:r w:rsidRPr="0046610D">
        <w:t xml:space="preserve"> or terminated. The study may be suspended by the Sponsor until the situation or safety concern has been resolved.</w:t>
      </w:r>
    </w:p>
    <w:p w14:paraId="7D25AAF2" w14:textId="0B205B23" w:rsidR="000717B2" w:rsidRPr="0046610D" w:rsidRDefault="00BE72B9" w:rsidP="00725327">
      <w:pPr>
        <w:pStyle w:val="Heading2"/>
      </w:pPr>
      <w:bookmarkStart w:id="467" w:name="_Toc383793528"/>
      <w:bookmarkStart w:id="468" w:name="_Toc389130052"/>
      <w:r>
        <w:t xml:space="preserve"> </w:t>
      </w:r>
      <w:bookmarkStart w:id="469" w:name="_Toc440906355"/>
      <w:r w:rsidR="000717B2" w:rsidRPr="0046610D">
        <w:t>Study Termination by the Sponsor</w:t>
      </w:r>
      <w:bookmarkEnd w:id="467"/>
      <w:bookmarkEnd w:id="468"/>
      <w:bookmarkEnd w:id="469"/>
    </w:p>
    <w:p w14:paraId="291C0B83" w14:textId="0C75F738" w:rsidR="000717B2" w:rsidRPr="00725327" w:rsidRDefault="000717B2" w:rsidP="00725327">
      <w:pPr>
        <w:spacing w:before="120" w:after="120" w:line="276" w:lineRule="auto"/>
        <w:contextualSpacing/>
        <w:rPr>
          <w:szCs w:val="22"/>
        </w:rPr>
      </w:pPr>
      <w:r w:rsidRPr="00725327">
        <w:rPr>
          <w:szCs w:val="22"/>
        </w:rPr>
        <w:t>IDRI retains the right to terminate the study for any cause, suspending subject enrollment</w:t>
      </w:r>
      <w:r w:rsidR="00A410DA">
        <w:rPr>
          <w:szCs w:val="22"/>
        </w:rPr>
        <w:t>,</w:t>
      </w:r>
      <w:r w:rsidRPr="00725327">
        <w:rPr>
          <w:szCs w:val="22"/>
        </w:rPr>
        <w:t xml:space="preserve"> and removing all investigational products and related study materials from the study site at any time. Specific instances, which may precipitate such termination at a site, are as follows:</w:t>
      </w:r>
    </w:p>
    <w:p w14:paraId="33F27556" w14:textId="77777777" w:rsidR="000717B2" w:rsidRPr="00725327" w:rsidRDefault="000717B2" w:rsidP="00725327">
      <w:pPr>
        <w:pStyle w:val="Bullet2"/>
        <w:numPr>
          <w:ilvl w:val="0"/>
          <w:numId w:val="50"/>
        </w:numPr>
        <w:tabs>
          <w:tab w:val="clear" w:pos="1080"/>
        </w:tabs>
        <w:spacing w:before="120" w:after="120" w:line="276" w:lineRule="auto"/>
        <w:contextualSpacing/>
        <w:rPr>
          <w:rFonts w:ascii="Arial" w:hAnsi="Arial" w:cs="Arial"/>
          <w:sz w:val="22"/>
          <w:szCs w:val="22"/>
        </w:rPr>
      </w:pPr>
      <w:r w:rsidRPr="00725327">
        <w:rPr>
          <w:rFonts w:ascii="Arial" w:hAnsi="Arial" w:cs="Arial"/>
          <w:sz w:val="22"/>
          <w:szCs w:val="22"/>
        </w:rPr>
        <w:t>Deviation from protocol requirements.</w:t>
      </w:r>
    </w:p>
    <w:p w14:paraId="778C286D" w14:textId="77777777" w:rsidR="000717B2" w:rsidRPr="00725327" w:rsidRDefault="000717B2" w:rsidP="00725327">
      <w:pPr>
        <w:pStyle w:val="Bullet2"/>
        <w:numPr>
          <w:ilvl w:val="0"/>
          <w:numId w:val="50"/>
        </w:numPr>
        <w:tabs>
          <w:tab w:val="clear" w:pos="1080"/>
        </w:tabs>
        <w:spacing w:before="120" w:after="120" w:line="276" w:lineRule="auto"/>
        <w:contextualSpacing/>
        <w:rPr>
          <w:rFonts w:ascii="Arial" w:hAnsi="Arial" w:cs="Arial"/>
          <w:sz w:val="22"/>
          <w:szCs w:val="22"/>
        </w:rPr>
      </w:pPr>
      <w:r w:rsidRPr="00725327">
        <w:rPr>
          <w:rFonts w:ascii="Arial" w:hAnsi="Arial" w:cs="Arial"/>
          <w:sz w:val="22"/>
          <w:szCs w:val="22"/>
        </w:rPr>
        <w:t>Inaccurate and/or incomplete data recording on a recurrent basis.</w:t>
      </w:r>
    </w:p>
    <w:p w14:paraId="56F7C2AD" w14:textId="77777777" w:rsidR="000717B2" w:rsidRPr="00725327" w:rsidRDefault="000717B2" w:rsidP="00725327">
      <w:pPr>
        <w:pStyle w:val="Bullet2"/>
        <w:numPr>
          <w:ilvl w:val="0"/>
          <w:numId w:val="50"/>
        </w:numPr>
        <w:tabs>
          <w:tab w:val="clear" w:pos="1080"/>
        </w:tabs>
        <w:spacing w:before="120" w:after="120" w:line="276" w:lineRule="auto"/>
        <w:contextualSpacing/>
        <w:rPr>
          <w:rFonts w:ascii="Arial" w:hAnsi="Arial" w:cs="Arial"/>
          <w:sz w:val="22"/>
          <w:szCs w:val="22"/>
        </w:rPr>
      </w:pPr>
      <w:r w:rsidRPr="00725327">
        <w:rPr>
          <w:rFonts w:ascii="Arial" w:hAnsi="Arial" w:cs="Arial"/>
          <w:sz w:val="22"/>
          <w:szCs w:val="22"/>
        </w:rPr>
        <w:t>Unauthorized use of investigational products or administration to any subject not enrolled as part of the protocol.</w:t>
      </w:r>
    </w:p>
    <w:p w14:paraId="79F44208" w14:textId="77777777" w:rsidR="000717B2" w:rsidRPr="00725327" w:rsidRDefault="000717B2" w:rsidP="00725327">
      <w:pPr>
        <w:pStyle w:val="Bullet2"/>
        <w:numPr>
          <w:ilvl w:val="0"/>
          <w:numId w:val="50"/>
        </w:numPr>
        <w:tabs>
          <w:tab w:val="clear" w:pos="1080"/>
        </w:tabs>
        <w:spacing w:before="120" w:after="120" w:line="276" w:lineRule="auto"/>
        <w:contextualSpacing/>
        <w:rPr>
          <w:rFonts w:ascii="Arial" w:hAnsi="Arial" w:cs="Arial"/>
          <w:sz w:val="22"/>
          <w:szCs w:val="22"/>
        </w:rPr>
      </w:pPr>
      <w:r w:rsidRPr="00725327">
        <w:rPr>
          <w:rFonts w:ascii="Arial" w:hAnsi="Arial" w:cs="Arial"/>
          <w:sz w:val="22"/>
          <w:szCs w:val="22"/>
        </w:rPr>
        <w:t>Delinquent fulfillment of obligation on the part of the Investigator with regard to adverse reaction reporting, unacceptable subject enrollment, or other responsibilities as outlined in this protocol.</w:t>
      </w:r>
    </w:p>
    <w:p w14:paraId="432030F7" w14:textId="77777777" w:rsidR="000717B2" w:rsidRPr="00610EFA" w:rsidRDefault="000717B2" w:rsidP="009E651E">
      <w:pPr>
        <w:pStyle w:val="BodyText"/>
        <w:rPr>
          <w:rFonts w:cs="Arial"/>
        </w:rPr>
      </w:pPr>
    </w:p>
    <w:p w14:paraId="71CE441F" w14:textId="77777777" w:rsidR="00F43682" w:rsidRDefault="00F43682">
      <w:pPr>
        <w:pStyle w:val="Heading1"/>
      </w:pPr>
      <w:bookmarkStart w:id="470" w:name="_Toc53202879"/>
      <w:bookmarkStart w:id="471" w:name="_Toc389130053"/>
      <w:bookmarkStart w:id="472" w:name="_Toc440906356"/>
      <w:r>
        <w:t>Data Handling and Record Keeping</w:t>
      </w:r>
      <w:bookmarkEnd w:id="470"/>
      <w:bookmarkEnd w:id="471"/>
      <w:bookmarkEnd w:id="472"/>
    </w:p>
    <w:p w14:paraId="4168E2BE" w14:textId="1C53930C" w:rsidR="0059250A" w:rsidRDefault="0059250A" w:rsidP="0059250A">
      <w:pPr>
        <w:pStyle w:val="Heading2"/>
      </w:pPr>
      <w:bookmarkStart w:id="473" w:name="_Toc383793524"/>
      <w:bookmarkStart w:id="474" w:name="_Toc389130054"/>
      <w:bookmarkStart w:id="475" w:name="_Toc440906357"/>
      <w:r w:rsidRPr="0046610D">
        <w:t>Direct Access to Source Data/Documents and Study Monitoring</w:t>
      </w:r>
      <w:bookmarkEnd w:id="473"/>
      <w:bookmarkEnd w:id="474"/>
      <w:bookmarkEnd w:id="475"/>
    </w:p>
    <w:p w14:paraId="082EB639" w14:textId="6DC2DDC3" w:rsidR="0059250A" w:rsidRPr="00725327" w:rsidRDefault="00B4443C" w:rsidP="00725327">
      <w:pPr>
        <w:pStyle w:val="ZNormal"/>
        <w:spacing w:before="120" w:after="120"/>
        <w:rPr>
          <w:rFonts w:ascii="Arial" w:hAnsi="Arial" w:cs="Arial"/>
          <w:sz w:val="22"/>
        </w:rPr>
      </w:pPr>
      <w:r w:rsidRPr="00725327">
        <w:rPr>
          <w:rFonts w:ascii="Arial" w:hAnsi="Arial" w:cs="Arial"/>
          <w:sz w:val="22"/>
        </w:rPr>
        <w:t xml:space="preserve">The study will be monitored regularly by the Sponsor or its designee throughout the study period. </w:t>
      </w:r>
      <w:r w:rsidR="0059250A" w:rsidRPr="00725327">
        <w:rPr>
          <w:rFonts w:ascii="Arial" w:hAnsi="Arial" w:cs="Arial"/>
          <w:sz w:val="22"/>
        </w:rPr>
        <w:t>The Investigator will allow representatives of IDRI (or their designee) to periodically audit, at mutually convenient times during and after the study, all CRFs and corresponding source documents for each subject. It is important that the Investigator and/or other staff are available at these visits. The monitoring visits provide IDRI with the opportunity to evaluate the progress of the study, to verify the accuracy and completeness of CRFs, to resolve any inconsistencies in the study records, as well as assuring that all protocol requirements, applicable regulations, and Investigator's obligations are being fulfilled. The Investigator must maintain source documents such as laboratory and consultation reports, history and physical examination reports, etc., for possible review.</w:t>
      </w:r>
    </w:p>
    <w:p w14:paraId="03115CA3" w14:textId="77777777" w:rsidR="0059250A" w:rsidRPr="00725327" w:rsidRDefault="0059250A" w:rsidP="00725327">
      <w:pPr>
        <w:pStyle w:val="ZNormal"/>
        <w:spacing w:before="120" w:after="120"/>
        <w:rPr>
          <w:rFonts w:ascii="Arial" w:hAnsi="Arial" w:cs="Arial"/>
          <w:sz w:val="22"/>
        </w:rPr>
      </w:pPr>
      <w:r w:rsidRPr="00725327">
        <w:rPr>
          <w:rFonts w:ascii="Arial" w:hAnsi="Arial" w:cs="Arial"/>
          <w:sz w:val="22"/>
        </w:rPr>
        <w:t>The IDRI monitor will record the date of each visit together with a summary of the status and progress of the study. Proposed actions will be confirmed with the Investigator in writing.</w:t>
      </w:r>
    </w:p>
    <w:p w14:paraId="4C1B87F8" w14:textId="77777777" w:rsidR="0059250A" w:rsidRPr="00725327" w:rsidRDefault="0059250A" w:rsidP="00725327">
      <w:pPr>
        <w:pStyle w:val="ZNormal"/>
        <w:spacing w:before="120" w:after="120"/>
        <w:rPr>
          <w:rFonts w:ascii="Arial" w:hAnsi="Arial" w:cs="Arial"/>
          <w:sz w:val="22"/>
        </w:rPr>
      </w:pPr>
      <w:r w:rsidRPr="00725327">
        <w:rPr>
          <w:rFonts w:ascii="Arial" w:hAnsi="Arial" w:cs="Arial"/>
          <w:sz w:val="22"/>
        </w:rPr>
        <w:t>Telephone contact will be made as necessary during the data collection period and during the data and report writing periods.</w:t>
      </w:r>
    </w:p>
    <w:p w14:paraId="373803D2" w14:textId="538F21F1" w:rsidR="0059250A" w:rsidRDefault="0059250A" w:rsidP="0059250A">
      <w:pPr>
        <w:pStyle w:val="Heading2"/>
      </w:pPr>
      <w:bookmarkStart w:id="476" w:name="_Ref389057370"/>
      <w:bookmarkStart w:id="477" w:name="_Toc389130055"/>
      <w:bookmarkStart w:id="478" w:name="_Toc440906358"/>
      <w:r>
        <w:t>Record Retention</w:t>
      </w:r>
      <w:bookmarkEnd w:id="476"/>
      <w:bookmarkEnd w:id="477"/>
      <w:bookmarkEnd w:id="478"/>
    </w:p>
    <w:p w14:paraId="15E96F72" w14:textId="67DD281C" w:rsidR="006F3879" w:rsidRPr="00725327" w:rsidRDefault="0059250A" w:rsidP="00725327">
      <w:pPr>
        <w:pStyle w:val="ZNormal"/>
        <w:spacing w:before="120" w:after="120"/>
        <w:rPr>
          <w:sz w:val="22"/>
        </w:rPr>
      </w:pPr>
      <w:r w:rsidRPr="00725327">
        <w:rPr>
          <w:rFonts w:ascii="Arial" w:hAnsi="Arial" w:cs="Arial"/>
          <w:sz w:val="22"/>
        </w:rPr>
        <w:t xml:space="preserve">The Investigator shall retain the clinical study records until such time as directed by IDRI. Records are to be </w:t>
      </w:r>
      <w:r w:rsidR="00B4443C" w:rsidRPr="00725327">
        <w:rPr>
          <w:rFonts w:ascii="Arial" w:hAnsi="Arial" w:cs="Arial"/>
          <w:sz w:val="22"/>
        </w:rPr>
        <w:t>kept</w:t>
      </w:r>
      <w:r w:rsidRPr="00725327">
        <w:rPr>
          <w:rFonts w:ascii="Arial" w:hAnsi="Arial" w:cs="Arial"/>
          <w:sz w:val="22"/>
        </w:rPr>
        <w:t xml:space="preserve"> </w:t>
      </w:r>
      <w:r w:rsidR="00B4443C" w:rsidRPr="00725327">
        <w:rPr>
          <w:rFonts w:ascii="Arial" w:hAnsi="Arial" w:cs="Arial"/>
          <w:sz w:val="22"/>
        </w:rPr>
        <w:t xml:space="preserve">secured </w:t>
      </w:r>
      <w:r w:rsidRPr="00725327">
        <w:rPr>
          <w:rFonts w:ascii="Arial" w:hAnsi="Arial" w:cs="Arial"/>
          <w:sz w:val="22"/>
        </w:rPr>
        <w:t>for at least two years</w:t>
      </w:r>
      <w:r w:rsidR="00B4443C" w:rsidRPr="00725327">
        <w:rPr>
          <w:rFonts w:ascii="Arial" w:hAnsi="Arial" w:cs="Arial"/>
          <w:sz w:val="22"/>
        </w:rPr>
        <w:t xml:space="preserve"> after regulatory approval or longer if required by local regulations</w:t>
      </w:r>
      <w:r w:rsidRPr="00725327">
        <w:rPr>
          <w:rFonts w:ascii="Arial" w:hAnsi="Arial" w:cs="Arial"/>
          <w:sz w:val="22"/>
        </w:rPr>
        <w:t>, or if not approved, until two years after shipment and delivery of drug for investigational use are discontinued.</w:t>
      </w:r>
      <w:r w:rsidR="00B4443C" w:rsidRPr="00725327">
        <w:rPr>
          <w:rFonts w:ascii="Arial" w:hAnsi="Arial" w:cs="Arial"/>
          <w:sz w:val="22"/>
        </w:rPr>
        <w:t xml:space="preserve"> The investigator will ensure that study records are not disposed of or removed from the clinical site without prior notification and approval from the Sponsor or its designee.</w:t>
      </w:r>
    </w:p>
    <w:p w14:paraId="1BED6ACF" w14:textId="77777777" w:rsidR="00F43682" w:rsidRPr="00EB2335" w:rsidRDefault="00F43682">
      <w:pPr>
        <w:pStyle w:val="Heading1"/>
      </w:pPr>
      <w:bookmarkStart w:id="479" w:name="_Toc42589022"/>
      <w:bookmarkStart w:id="480" w:name="_Toc53202889"/>
      <w:bookmarkStart w:id="481" w:name="_Toc389130056"/>
      <w:bookmarkStart w:id="482" w:name="_Toc440906359"/>
      <w:r w:rsidRPr="00EB2335">
        <w:t>Publication Policy</w:t>
      </w:r>
      <w:bookmarkEnd w:id="479"/>
      <w:bookmarkEnd w:id="480"/>
      <w:bookmarkEnd w:id="481"/>
      <w:bookmarkEnd w:id="482"/>
    </w:p>
    <w:p w14:paraId="3FF0F298" w14:textId="2F3FF339" w:rsidR="00EB2335" w:rsidRDefault="00A46898" w:rsidP="009B0277">
      <w:pPr>
        <w:spacing w:before="180" w:after="180" w:line="276" w:lineRule="auto"/>
      </w:pPr>
      <w:r w:rsidRPr="00EB2335">
        <w:t>All information contained in this clinical study protocol and accompanying documents is confidential.</w:t>
      </w:r>
      <w:r w:rsidR="00725327">
        <w:t xml:space="preserve"> </w:t>
      </w:r>
      <w:r w:rsidRPr="00EB2335">
        <w:t>All data collected during the course of this study</w:t>
      </w:r>
      <w:r>
        <w:t xml:space="preserve"> are confidential and considered the sole property of IDRI.</w:t>
      </w:r>
      <w:r w:rsidR="00725327">
        <w:t xml:space="preserve"> </w:t>
      </w:r>
      <w:r>
        <w:t>The investigators agree to use this information and data only in accomplishing this study, including for benchmarking and other analytical purposes in future clinical trials, and will not use it for other purposes without the written permission of IDRI.</w:t>
      </w:r>
      <w:r w:rsidR="00725327">
        <w:t xml:space="preserve"> </w:t>
      </w:r>
      <w:r>
        <w:t>IDRI encourages publication in peer-reviewed medical journals and will not unduly withhold permission to publish.</w:t>
      </w:r>
      <w:r w:rsidR="00725327">
        <w:t xml:space="preserve"> </w:t>
      </w:r>
      <w:r>
        <w:t>However, all proposed publications, papers, abstracts, or written materials related to the study, or an outline or poster of any oral presentation, shall be submitted to and coordinated by IDRI for review not less than eight (8) weeks in advance of the planned submission date or presentation.</w:t>
      </w:r>
      <w:r w:rsidR="00725327">
        <w:t xml:space="preserve"> </w:t>
      </w:r>
      <w:r>
        <w:t>In regard to all proposed public disclosures, IDRI has the right</w:t>
      </w:r>
      <w:r w:rsidR="00EB2335">
        <w:t xml:space="preserve"> to do the following: request changes to the manuscript in accordance with scientific custom; request changes for patent purposes and/or inadvertent disclosure of IDRI’s confidential information; request changes that could reasonably be expected to materially or negatively impact IDRI’s intellectual property rights; and access patentability of any invention disclosed and delay submission for up to sixty (60) days to </w:t>
      </w:r>
      <w:r w:rsidR="009B0277">
        <w:t>allow IDRI to file</w:t>
      </w:r>
      <w:r w:rsidR="00725327">
        <w:t xml:space="preserve"> </w:t>
      </w:r>
      <w:r w:rsidR="009B0277">
        <w:t xml:space="preserve">a patent. </w:t>
      </w:r>
    </w:p>
    <w:p w14:paraId="67BB593A" w14:textId="32DA5B90" w:rsidR="00EB2335" w:rsidRDefault="00EB2335" w:rsidP="009B0277">
      <w:pPr>
        <w:spacing w:before="180" w:after="180" w:line="276" w:lineRule="auto"/>
      </w:pPr>
      <w:r>
        <w:t>IDRI may request in writing that the proposed publication or presentation be delayed or modified, specifying in reasonable detail the reasons for the request.</w:t>
      </w:r>
      <w:r w:rsidR="00725327">
        <w:t xml:space="preserve"> </w:t>
      </w:r>
      <w:r>
        <w:t>If IDRI objects to a proposed publication or presentation on the basis that it would disclose confidential information, the investigator shall remove the objectionable information from such proposed publication or presentation.</w:t>
      </w:r>
      <w:r w:rsidR="00725327">
        <w:t xml:space="preserve"> </w:t>
      </w:r>
      <w:r>
        <w:t>If the parties disagree concerning whether certain information should be deleted or modified, the parties agree to meet for the purpose of making good faith efforts to discuss and resolve any such issues or disagreements.</w:t>
      </w:r>
      <w:r w:rsidR="00725327">
        <w:t xml:space="preserve"> </w:t>
      </w:r>
      <w:r>
        <w:t>IDRI will work with the Institution in a collaborative manner to make certain that the clinical study results contained within such presentation or publication (whether positive or negative) are accurate.</w:t>
      </w:r>
    </w:p>
    <w:p w14:paraId="53E71EC8" w14:textId="17055B52" w:rsidR="00EB2335" w:rsidRDefault="00EB2335" w:rsidP="009B0277">
      <w:pPr>
        <w:spacing w:before="180" w:after="180" w:line="276" w:lineRule="auto"/>
      </w:pPr>
      <w:r>
        <w:t>If IDRI determines that the proposed presentation or publication contains patentable subject matter that requires protection, IDRI may require an additional delay and the Institution shall delay such publication or presentation for an additional period (not to exceed sixty (60) days) for the purpose of filing a patent application(s).</w:t>
      </w:r>
      <w:r w:rsidR="00725327">
        <w:t xml:space="preserve"> </w:t>
      </w:r>
      <w:r>
        <w:t>In no event shall IDRI unreasonably delay such publication or presentation.</w:t>
      </w:r>
    </w:p>
    <w:p w14:paraId="3138BCF7" w14:textId="054666A7" w:rsidR="00A46898" w:rsidRPr="00A46898" w:rsidRDefault="00EB2335" w:rsidP="009B0277">
      <w:pPr>
        <w:spacing w:before="180" w:after="180" w:line="276" w:lineRule="auto"/>
      </w:pPr>
      <w:r>
        <w:t>All publications and presentations must acknowledge IDRI’s sponsorship of the clinical study.</w:t>
      </w:r>
    </w:p>
    <w:p w14:paraId="7F0FFC6E" w14:textId="77777777" w:rsidR="00F43682" w:rsidRPr="00E07017" w:rsidRDefault="00F43682" w:rsidP="007428CA">
      <w:pPr>
        <w:pStyle w:val="Heading1"/>
      </w:pPr>
      <w:bookmarkStart w:id="483" w:name="_Toc42589023"/>
      <w:bookmarkStart w:id="484" w:name="_Toc53202890"/>
      <w:bookmarkStart w:id="485" w:name="_Ref102891385"/>
      <w:bookmarkStart w:id="486" w:name="_Ref103483438"/>
      <w:bookmarkStart w:id="487" w:name="_Toc389130057"/>
      <w:bookmarkStart w:id="488" w:name="_Toc440906360"/>
      <w:r w:rsidRPr="00E07017">
        <w:t>Literature References</w:t>
      </w:r>
      <w:bookmarkEnd w:id="483"/>
      <w:bookmarkEnd w:id="484"/>
      <w:bookmarkEnd w:id="485"/>
      <w:bookmarkEnd w:id="486"/>
      <w:bookmarkEnd w:id="487"/>
      <w:bookmarkEnd w:id="488"/>
    </w:p>
    <w:p w14:paraId="14F1F11E" w14:textId="77777777" w:rsidR="001A1F59" w:rsidRPr="001A1F59" w:rsidRDefault="007D7B6E" w:rsidP="001A1F59">
      <w:pPr>
        <w:pStyle w:val="EndNoteBibliography"/>
        <w:ind w:left="720" w:hanging="720"/>
        <w:rPr>
          <w:noProof/>
        </w:rPr>
      </w:pPr>
      <w:r w:rsidRPr="00276ADA">
        <w:rPr>
          <w:color w:val="0000FF"/>
        </w:rPr>
        <w:fldChar w:fldCharType="begin"/>
      </w:r>
      <w:r w:rsidRPr="00276ADA">
        <w:rPr>
          <w:color w:val="0000FF"/>
        </w:rPr>
        <w:instrText xml:space="preserve"> ADDIN EN.REFLIST </w:instrText>
      </w:r>
      <w:r w:rsidRPr="00276ADA">
        <w:rPr>
          <w:color w:val="0000FF"/>
        </w:rPr>
        <w:fldChar w:fldCharType="separate"/>
      </w:r>
      <w:bookmarkStart w:id="489" w:name="_ENREF_1"/>
      <w:r w:rsidR="001A1F59" w:rsidRPr="001A1F59">
        <w:rPr>
          <w:noProof/>
        </w:rPr>
        <w:t>1.</w:t>
      </w:r>
      <w:r w:rsidR="001A1F59" w:rsidRPr="001A1F59">
        <w:rPr>
          <w:noProof/>
        </w:rPr>
        <w:tab/>
        <w:t xml:space="preserve">Coler, R.N., et al., </w:t>
      </w:r>
      <w:r w:rsidR="001A1F59" w:rsidRPr="001A1F59">
        <w:rPr>
          <w:i/>
          <w:noProof/>
        </w:rPr>
        <w:t>Therapeutic Immunization against Mycobacterium tuberculosis Is an Effective Adjunct to Antibiotic Treatment.</w:t>
      </w:r>
      <w:r w:rsidR="001A1F59" w:rsidRPr="001A1F59">
        <w:rPr>
          <w:noProof/>
        </w:rPr>
        <w:t xml:space="preserve"> J Infect Dis, 2012.</w:t>
      </w:r>
      <w:bookmarkEnd w:id="489"/>
    </w:p>
    <w:p w14:paraId="61C5A836" w14:textId="58073EB9" w:rsidR="001A1F59" w:rsidRPr="001A1F59" w:rsidRDefault="001A1F59" w:rsidP="001A1F59">
      <w:pPr>
        <w:pStyle w:val="EndNoteBibliography"/>
        <w:ind w:left="720" w:hanging="720"/>
        <w:rPr>
          <w:noProof/>
        </w:rPr>
      </w:pPr>
      <w:bookmarkStart w:id="490" w:name="_ENREF_2"/>
      <w:r w:rsidRPr="001A1F59">
        <w:rPr>
          <w:noProof/>
        </w:rPr>
        <w:t>2.</w:t>
      </w:r>
      <w:r w:rsidRPr="001A1F59">
        <w:rPr>
          <w:noProof/>
        </w:rPr>
        <w:tab/>
        <w:t xml:space="preserve">WHO, </w:t>
      </w:r>
      <w:r w:rsidRPr="001A1F59">
        <w:rPr>
          <w:i/>
          <w:noProof/>
        </w:rPr>
        <w:t>Global Tuberculosis Control Report</w:t>
      </w:r>
      <w:r w:rsidR="006022F9">
        <w:rPr>
          <w:i/>
          <w:noProof/>
        </w:rPr>
        <w:t>.</w:t>
      </w:r>
      <w:r w:rsidR="006022F9">
        <w:rPr>
          <w:noProof/>
        </w:rPr>
        <w:t xml:space="preserve"> 20</w:t>
      </w:r>
      <w:r w:rsidRPr="001A1F59">
        <w:rPr>
          <w:noProof/>
        </w:rPr>
        <w:t>11</w:t>
      </w:r>
      <w:r w:rsidR="006022F9">
        <w:rPr>
          <w:noProof/>
        </w:rPr>
        <w:t>: Geneva</w:t>
      </w:r>
      <w:r w:rsidRPr="001A1F59">
        <w:rPr>
          <w:noProof/>
        </w:rPr>
        <w:t>.</w:t>
      </w:r>
      <w:bookmarkEnd w:id="490"/>
    </w:p>
    <w:p w14:paraId="798F151F" w14:textId="77777777" w:rsidR="001A1F59" w:rsidRPr="001A1F59" w:rsidRDefault="001A1F59" w:rsidP="001A1F59">
      <w:pPr>
        <w:pStyle w:val="EndNoteBibliography"/>
        <w:ind w:left="720" w:hanging="720"/>
        <w:rPr>
          <w:noProof/>
        </w:rPr>
      </w:pPr>
      <w:bookmarkStart w:id="491" w:name="_ENREF_3"/>
      <w:r w:rsidRPr="001A1F59">
        <w:rPr>
          <w:noProof/>
        </w:rPr>
        <w:t>3.</w:t>
      </w:r>
      <w:r w:rsidRPr="001A1F59">
        <w:rPr>
          <w:noProof/>
        </w:rPr>
        <w:tab/>
        <w:t xml:space="preserve">Marx, F.M., et al., </w:t>
      </w:r>
      <w:r w:rsidRPr="001A1F59">
        <w:rPr>
          <w:i/>
          <w:noProof/>
        </w:rPr>
        <w:t>Increased risk of default among previously treated tuberculosis cases in the Western Cape Province, South Africa.</w:t>
      </w:r>
      <w:r w:rsidRPr="001A1F59">
        <w:rPr>
          <w:noProof/>
        </w:rPr>
        <w:t xml:space="preserve"> Int J Tuberc Lung Dis, 2012.</w:t>
      </w:r>
      <w:bookmarkEnd w:id="491"/>
    </w:p>
    <w:p w14:paraId="59CEBA23" w14:textId="77777777" w:rsidR="001A1F59" w:rsidRPr="001A1F59" w:rsidRDefault="001A1F59" w:rsidP="001A1F59">
      <w:pPr>
        <w:pStyle w:val="EndNoteBibliography"/>
        <w:ind w:left="720" w:hanging="720"/>
        <w:rPr>
          <w:noProof/>
        </w:rPr>
      </w:pPr>
      <w:bookmarkStart w:id="492" w:name="_ENREF_4"/>
      <w:r w:rsidRPr="001A1F59">
        <w:rPr>
          <w:noProof/>
        </w:rPr>
        <w:t>4.</w:t>
      </w:r>
      <w:r w:rsidRPr="001A1F59">
        <w:rPr>
          <w:noProof/>
        </w:rPr>
        <w:tab/>
        <w:t xml:space="preserve">Charalambous, S., et al., </w:t>
      </w:r>
      <w:r w:rsidRPr="001A1F59">
        <w:rPr>
          <w:i/>
          <w:noProof/>
        </w:rPr>
        <w:t>Contribution of reinfection to recurrent tuberculosis in South African gold miners.</w:t>
      </w:r>
      <w:r w:rsidRPr="001A1F59">
        <w:rPr>
          <w:noProof/>
        </w:rPr>
        <w:t xml:space="preserve"> Int J Tuberc Lung Dis, 2008. </w:t>
      </w:r>
      <w:r w:rsidRPr="001A1F59">
        <w:rPr>
          <w:b/>
          <w:noProof/>
        </w:rPr>
        <w:t>12</w:t>
      </w:r>
      <w:r w:rsidRPr="001A1F59">
        <w:rPr>
          <w:noProof/>
        </w:rPr>
        <w:t>(8): p. 942-8.</w:t>
      </w:r>
      <w:bookmarkEnd w:id="492"/>
    </w:p>
    <w:p w14:paraId="0A81E8C5" w14:textId="77777777" w:rsidR="001A1F59" w:rsidRPr="001A1F59" w:rsidRDefault="001A1F59" w:rsidP="001A1F59">
      <w:pPr>
        <w:pStyle w:val="EndNoteBibliography"/>
        <w:ind w:left="720" w:hanging="720"/>
        <w:rPr>
          <w:noProof/>
        </w:rPr>
      </w:pPr>
      <w:bookmarkStart w:id="493" w:name="_ENREF_5"/>
      <w:r w:rsidRPr="001A1F59">
        <w:rPr>
          <w:noProof/>
        </w:rPr>
        <w:t>5.</w:t>
      </w:r>
      <w:r w:rsidRPr="001A1F59">
        <w:rPr>
          <w:noProof/>
        </w:rPr>
        <w:tab/>
        <w:t xml:space="preserve">Hesseling, A.C., et al., </w:t>
      </w:r>
      <w:r w:rsidRPr="001A1F59">
        <w:rPr>
          <w:i/>
          <w:noProof/>
        </w:rPr>
        <w:t>Baseline sputum time to detection predicts month two culture conversion and relapse in non-HIV-infected patients.</w:t>
      </w:r>
      <w:r w:rsidRPr="001A1F59">
        <w:rPr>
          <w:noProof/>
        </w:rPr>
        <w:t xml:space="preserve"> Int J Tuberc Lung Dis, 2010. </w:t>
      </w:r>
      <w:r w:rsidRPr="001A1F59">
        <w:rPr>
          <w:b/>
          <w:noProof/>
        </w:rPr>
        <w:t>14</w:t>
      </w:r>
      <w:r w:rsidRPr="001A1F59">
        <w:rPr>
          <w:noProof/>
        </w:rPr>
        <w:t>(5): p. 560-70.</w:t>
      </w:r>
      <w:bookmarkEnd w:id="493"/>
    </w:p>
    <w:p w14:paraId="2DD46649" w14:textId="77777777" w:rsidR="001A1F59" w:rsidRPr="001A1F59" w:rsidRDefault="001A1F59" w:rsidP="001A1F59">
      <w:pPr>
        <w:pStyle w:val="EndNoteBibliography"/>
        <w:ind w:left="720" w:hanging="720"/>
        <w:rPr>
          <w:noProof/>
        </w:rPr>
      </w:pPr>
      <w:bookmarkStart w:id="494" w:name="_ENREF_6"/>
      <w:r w:rsidRPr="001A1F59">
        <w:rPr>
          <w:noProof/>
        </w:rPr>
        <w:t>6.</w:t>
      </w:r>
      <w:r w:rsidRPr="001A1F59">
        <w:rPr>
          <w:noProof/>
        </w:rPr>
        <w:tab/>
        <w:t xml:space="preserve">Verver, S., et al., </w:t>
      </w:r>
      <w:r w:rsidRPr="001A1F59">
        <w:rPr>
          <w:i/>
          <w:noProof/>
        </w:rPr>
        <w:t>Rate of reinfection tuberculosis after successful treatment is higher than rate of new tuberculosis.</w:t>
      </w:r>
      <w:r w:rsidRPr="001A1F59">
        <w:rPr>
          <w:noProof/>
        </w:rPr>
        <w:t xml:space="preserve"> Am J Respir Crit Care Med, 2005. </w:t>
      </w:r>
      <w:r w:rsidRPr="001A1F59">
        <w:rPr>
          <w:b/>
          <w:noProof/>
        </w:rPr>
        <w:t>171</w:t>
      </w:r>
      <w:r w:rsidRPr="001A1F59">
        <w:rPr>
          <w:noProof/>
        </w:rPr>
        <w:t>(12): p. 1430-5.</w:t>
      </w:r>
      <w:bookmarkEnd w:id="494"/>
    </w:p>
    <w:p w14:paraId="636141DA" w14:textId="77777777" w:rsidR="001A1F59" w:rsidRPr="001A1F59" w:rsidRDefault="001A1F59" w:rsidP="001A1F59">
      <w:pPr>
        <w:pStyle w:val="EndNoteBibliography"/>
        <w:ind w:left="720" w:hanging="720"/>
        <w:rPr>
          <w:noProof/>
        </w:rPr>
      </w:pPr>
      <w:bookmarkStart w:id="495" w:name="_ENREF_7"/>
      <w:r w:rsidRPr="001A1F59">
        <w:rPr>
          <w:noProof/>
        </w:rPr>
        <w:t>7.</w:t>
      </w:r>
      <w:r w:rsidRPr="001A1F59">
        <w:rPr>
          <w:noProof/>
        </w:rPr>
        <w:tab/>
        <w:t xml:space="preserve">Nunn, A.J., P.P. Phillips, and D.A. Mitchison, </w:t>
      </w:r>
      <w:r w:rsidRPr="001A1F59">
        <w:rPr>
          <w:i/>
          <w:noProof/>
        </w:rPr>
        <w:t>Timing of relapse in short-course chemotherapy trials for tuberculosis.</w:t>
      </w:r>
      <w:r w:rsidRPr="001A1F59">
        <w:rPr>
          <w:noProof/>
        </w:rPr>
        <w:t xml:space="preserve"> Int J Tuberc Lung Dis, 2010. </w:t>
      </w:r>
      <w:r w:rsidRPr="001A1F59">
        <w:rPr>
          <w:b/>
          <w:noProof/>
        </w:rPr>
        <w:t>14</w:t>
      </w:r>
      <w:r w:rsidRPr="001A1F59">
        <w:rPr>
          <w:noProof/>
        </w:rPr>
        <w:t>(2): p. 241-2.</w:t>
      </w:r>
      <w:bookmarkEnd w:id="495"/>
    </w:p>
    <w:p w14:paraId="14F2A84A" w14:textId="77777777" w:rsidR="001A1F59" w:rsidRPr="001A1F59" w:rsidRDefault="001A1F59" w:rsidP="001A1F59">
      <w:pPr>
        <w:pStyle w:val="EndNoteBibliography"/>
        <w:ind w:left="720" w:hanging="720"/>
        <w:rPr>
          <w:noProof/>
        </w:rPr>
      </w:pPr>
      <w:bookmarkStart w:id="496" w:name="_ENREF_8"/>
      <w:r w:rsidRPr="001A1F59">
        <w:rPr>
          <w:noProof/>
        </w:rPr>
        <w:t>8.</w:t>
      </w:r>
      <w:r w:rsidRPr="001A1F59">
        <w:rPr>
          <w:noProof/>
        </w:rPr>
        <w:tab/>
        <w:t xml:space="preserve">Panjabi, R., G.W. Comstock, and J.E. Golub, </w:t>
      </w:r>
      <w:r w:rsidRPr="001A1F59">
        <w:rPr>
          <w:i/>
          <w:noProof/>
        </w:rPr>
        <w:t>Recurrent tuberculosis and its risk factors: adequately treated patients are still at high risk.</w:t>
      </w:r>
      <w:r w:rsidRPr="001A1F59">
        <w:rPr>
          <w:noProof/>
        </w:rPr>
        <w:t xml:space="preserve"> Int J Tuberc Lung Dis, 2007. </w:t>
      </w:r>
      <w:r w:rsidRPr="001A1F59">
        <w:rPr>
          <w:b/>
          <w:noProof/>
        </w:rPr>
        <w:t>11</w:t>
      </w:r>
      <w:r w:rsidRPr="001A1F59">
        <w:rPr>
          <w:noProof/>
        </w:rPr>
        <w:t>(8): p. 828-37.</w:t>
      </w:r>
      <w:bookmarkEnd w:id="496"/>
    </w:p>
    <w:p w14:paraId="5E14471A" w14:textId="74FE3A15" w:rsidR="001A1F59" w:rsidRPr="001A1F59" w:rsidRDefault="001A1F59" w:rsidP="001A1F59">
      <w:pPr>
        <w:pStyle w:val="EndNoteBibliography"/>
        <w:ind w:left="720" w:hanging="720"/>
        <w:rPr>
          <w:noProof/>
        </w:rPr>
      </w:pPr>
      <w:bookmarkStart w:id="497" w:name="_ENREF_9"/>
      <w:r w:rsidRPr="001A1F59">
        <w:rPr>
          <w:noProof/>
        </w:rPr>
        <w:t>9.</w:t>
      </w:r>
      <w:r w:rsidRPr="001A1F59">
        <w:rPr>
          <w:noProof/>
        </w:rPr>
        <w:tab/>
      </w:r>
      <w:r w:rsidR="006022F9">
        <w:rPr>
          <w:noProof/>
        </w:rPr>
        <w:t>WHO</w:t>
      </w:r>
      <w:r w:rsidRPr="001A1F59">
        <w:rPr>
          <w:noProof/>
        </w:rPr>
        <w:t xml:space="preserve">, </w:t>
      </w:r>
      <w:r w:rsidRPr="001A1F59">
        <w:rPr>
          <w:i/>
          <w:noProof/>
        </w:rPr>
        <w:t>Global tuberculosis report</w:t>
      </w:r>
      <w:r w:rsidR="006022F9">
        <w:rPr>
          <w:i/>
          <w:noProof/>
        </w:rPr>
        <w:t>.</w:t>
      </w:r>
      <w:r w:rsidRPr="001A1F59">
        <w:rPr>
          <w:noProof/>
        </w:rPr>
        <w:t xml:space="preserve"> 2013: Geneva.</w:t>
      </w:r>
      <w:bookmarkEnd w:id="497"/>
    </w:p>
    <w:p w14:paraId="4016B391" w14:textId="77777777" w:rsidR="001A1F59" w:rsidRPr="001A1F59" w:rsidRDefault="001A1F59" w:rsidP="001A1F59">
      <w:pPr>
        <w:pStyle w:val="EndNoteBibliography"/>
        <w:ind w:left="720" w:hanging="720"/>
        <w:rPr>
          <w:noProof/>
        </w:rPr>
      </w:pPr>
      <w:bookmarkStart w:id="498" w:name="_ENREF_10"/>
      <w:r w:rsidRPr="001A1F59">
        <w:rPr>
          <w:noProof/>
        </w:rPr>
        <w:t>10.</w:t>
      </w:r>
      <w:r w:rsidRPr="001A1F59">
        <w:rPr>
          <w:noProof/>
        </w:rPr>
        <w:tab/>
        <w:t xml:space="preserve">Coler, R.N., et al., </w:t>
      </w:r>
      <w:r w:rsidRPr="001A1F59">
        <w:rPr>
          <w:i/>
          <w:noProof/>
        </w:rPr>
        <w:t>Development and characterization of synthetic glucopyranosyl lipid adjuvant system as a vaccine adjuvant.</w:t>
      </w:r>
      <w:r w:rsidRPr="001A1F59">
        <w:rPr>
          <w:noProof/>
        </w:rPr>
        <w:t xml:space="preserve"> PLoS One, 2011. </w:t>
      </w:r>
      <w:r w:rsidRPr="001A1F59">
        <w:rPr>
          <w:b/>
          <w:noProof/>
        </w:rPr>
        <w:t>6</w:t>
      </w:r>
      <w:r w:rsidRPr="001A1F59">
        <w:rPr>
          <w:noProof/>
        </w:rPr>
        <w:t>(1): p. e16333.</w:t>
      </w:r>
      <w:bookmarkEnd w:id="498"/>
    </w:p>
    <w:p w14:paraId="56BCE609" w14:textId="77777777" w:rsidR="001A1F59" w:rsidRPr="001A1F59" w:rsidRDefault="001A1F59" w:rsidP="001A1F59">
      <w:pPr>
        <w:pStyle w:val="EndNoteBibliography"/>
        <w:ind w:left="720" w:hanging="720"/>
        <w:rPr>
          <w:noProof/>
        </w:rPr>
      </w:pPr>
      <w:bookmarkStart w:id="499" w:name="_ENREF_11"/>
      <w:r w:rsidRPr="001A1F59">
        <w:rPr>
          <w:noProof/>
        </w:rPr>
        <w:t>11.</w:t>
      </w:r>
      <w:r w:rsidRPr="001A1F59">
        <w:rPr>
          <w:noProof/>
        </w:rPr>
        <w:tab/>
        <w:t xml:space="preserve">Baldwin, S.L., et al., </w:t>
      </w:r>
      <w:r w:rsidRPr="001A1F59">
        <w:rPr>
          <w:i/>
          <w:noProof/>
        </w:rPr>
        <w:t>The importance of adjuvant formulation in the development of a tuberculosis vaccine.</w:t>
      </w:r>
      <w:r w:rsidRPr="001A1F59">
        <w:rPr>
          <w:noProof/>
        </w:rPr>
        <w:t xml:space="preserve"> J Immunol, 2012. </w:t>
      </w:r>
      <w:r w:rsidRPr="001A1F59">
        <w:rPr>
          <w:b/>
          <w:noProof/>
        </w:rPr>
        <w:t>188</w:t>
      </w:r>
      <w:r w:rsidRPr="001A1F59">
        <w:rPr>
          <w:noProof/>
        </w:rPr>
        <w:t>(5): p. 2189-97.</w:t>
      </w:r>
      <w:bookmarkEnd w:id="499"/>
    </w:p>
    <w:p w14:paraId="4786077B" w14:textId="77777777" w:rsidR="001A1F59" w:rsidRPr="001A1F59" w:rsidRDefault="001A1F59" w:rsidP="001A1F59">
      <w:pPr>
        <w:pStyle w:val="EndNoteBibliography"/>
        <w:ind w:left="720" w:hanging="720"/>
        <w:rPr>
          <w:noProof/>
        </w:rPr>
      </w:pPr>
      <w:bookmarkStart w:id="500" w:name="_ENREF_12"/>
      <w:r w:rsidRPr="001A1F59">
        <w:rPr>
          <w:noProof/>
        </w:rPr>
        <w:t>12.</w:t>
      </w:r>
      <w:r w:rsidRPr="001A1F59">
        <w:rPr>
          <w:noProof/>
        </w:rPr>
        <w:tab/>
        <w:t xml:space="preserve">Bertholet, S., et al., </w:t>
      </w:r>
      <w:r w:rsidRPr="001A1F59">
        <w:rPr>
          <w:i/>
          <w:noProof/>
        </w:rPr>
        <w:t>A defined tuberculosis vaccine candidate boosts BCG and protects against multidrug-resistant Mycobacterium tuberculosis.</w:t>
      </w:r>
      <w:r w:rsidRPr="001A1F59">
        <w:rPr>
          <w:noProof/>
        </w:rPr>
        <w:t xml:space="preserve"> Sci Transl Med, 2010. </w:t>
      </w:r>
      <w:r w:rsidRPr="001A1F59">
        <w:rPr>
          <w:b/>
          <w:noProof/>
        </w:rPr>
        <w:t>2</w:t>
      </w:r>
      <w:r w:rsidRPr="001A1F59">
        <w:rPr>
          <w:noProof/>
        </w:rPr>
        <w:t>(53): p. 53ra74.</w:t>
      </w:r>
      <w:bookmarkEnd w:id="500"/>
    </w:p>
    <w:p w14:paraId="6F4C8512" w14:textId="77777777" w:rsidR="001A1F59" w:rsidRPr="001A1F59" w:rsidRDefault="001A1F59" w:rsidP="001A1F59">
      <w:pPr>
        <w:pStyle w:val="EndNoteBibliography"/>
        <w:ind w:left="720" w:hanging="720"/>
        <w:rPr>
          <w:noProof/>
        </w:rPr>
      </w:pPr>
      <w:bookmarkStart w:id="501" w:name="_ENREF_13"/>
      <w:r w:rsidRPr="001A1F59">
        <w:rPr>
          <w:noProof/>
        </w:rPr>
        <w:t>13.</w:t>
      </w:r>
      <w:r w:rsidRPr="001A1F59">
        <w:rPr>
          <w:noProof/>
        </w:rPr>
        <w:tab/>
        <w:t xml:space="preserve">Horton, H., et al., </w:t>
      </w:r>
      <w:r w:rsidRPr="001A1F59">
        <w:rPr>
          <w:i/>
          <w:noProof/>
        </w:rPr>
        <w:t>Optimization and validation of an 8-color intracellular cytokine staining (ICS) assay to quantify antigen-specific T cells induced by vaccination.</w:t>
      </w:r>
      <w:r w:rsidRPr="001A1F59">
        <w:rPr>
          <w:noProof/>
        </w:rPr>
        <w:t xml:space="preserve"> J Immunol Methods, 2007. </w:t>
      </w:r>
      <w:r w:rsidRPr="001A1F59">
        <w:rPr>
          <w:b/>
          <w:noProof/>
        </w:rPr>
        <w:t>323</w:t>
      </w:r>
      <w:r w:rsidRPr="001A1F59">
        <w:rPr>
          <w:noProof/>
        </w:rPr>
        <w:t>(1): p. 39-54.</w:t>
      </w:r>
      <w:bookmarkEnd w:id="501"/>
    </w:p>
    <w:p w14:paraId="4D3DA095" w14:textId="77777777" w:rsidR="001A1F59" w:rsidRPr="001A1F59" w:rsidRDefault="001A1F59" w:rsidP="001A1F59">
      <w:pPr>
        <w:pStyle w:val="EndNoteBibliography"/>
        <w:ind w:left="720" w:hanging="720"/>
        <w:rPr>
          <w:noProof/>
        </w:rPr>
      </w:pPr>
      <w:bookmarkStart w:id="502" w:name="_ENREF_14"/>
      <w:r w:rsidRPr="001A1F59">
        <w:rPr>
          <w:noProof/>
        </w:rPr>
        <w:t>14.</w:t>
      </w:r>
      <w:r w:rsidRPr="001A1F59">
        <w:rPr>
          <w:noProof/>
        </w:rPr>
        <w:tab/>
        <w:t xml:space="preserve">Perrin, F.M., et al., </w:t>
      </w:r>
      <w:r w:rsidRPr="001A1F59">
        <w:rPr>
          <w:i/>
          <w:noProof/>
        </w:rPr>
        <w:t>Are patients on treatment for pulmonary TB who stop expectorating sputum genuinely culture negative?</w:t>
      </w:r>
      <w:r w:rsidRPr="001A1F59">
        <w:rPr>
          <w:noProof/>
        </w:rPr>
        <w:t xml:space="preserve"> Thorax, 2009. </w:t>
      </w:r>
      <w:r w:rsidRPr="001A1F59">
        <w:rPr>
          <w:b/>
          <w:noProof/>
        </w:rPr>
        <w:t>64</w:t>
      </w:r>
      <w:r w:rsidRPr="001A1F59">
        <w:rPr>
          <w:noProof/>
        </w:rPr>
        <w:t>(11): p. 1009-10.</w:t>
      </w:r>
      <w:bookmarkEnd w:id="502"/>
    </w:p>
    <w:p w14:paraId="2EAF97C1" w14:textId="61351A45" w:rsidR="00BE2B64" w:rsidRPr="00DD3316" w:rsidRDefault="007D7B6E" w:rsidP="00F12D0C">
      <w:r w:rsidRPr="00276ADA">
        <w:rPr>
          <w:color w:val="0000FF"/>
        </w:rPr>
        <w:fldChar w:fldCharType="end"/>
      </w:r>
    </w:p>
    <w:p w14:paraId="76CEB811" w14:textId="77777777" w:rsidR="00BE2B64" w:rsidRPr="00DD3316" w:rsidRDefault="00BE2B64"/>
    <w:p w14:paraId="73785491" w14:textId="77777777" w:rsidR="00BE2B64" w:rsidRPr="00DD3316" w:rsidRDefault="00BE2B64"/>
    <w:p w14:paraId="6A512A32" w14:textId="77777777" w:rsidR="00BE2B64" w:rsidRPr="00DD3316" w:rsidRDefault="00BE2B64">
      <w:pPr>
        <w:sectPr w:rsidR="00BE2B64" w:rsidRPr="00DD3316" w:rsidSect="00874D3C">
          <w:headerReference w:type="default" r:id="rId11"/>
          <w:footerReference w:type="default" r:id="rId12"/>
          <w:endnotePr>
            <w:numFmt w:val="decimal"/>
          </w:endnotePr>
          <w:pgSz w:w="12240" w:h="15840" w:code="1"/>
          <w:pgMar w:top="1440" w:right="1440" w:bottom="1440" w:left="1440" w:header="720" w:footer="432" w:gutter="0"/>
          <w:pgNumType w:start="1"/>
          <w:cols w:space="720"/>
          <w:noEndnote/>
          <w:docGrid w:linePitch="299"/>
        </w:sectPr>
      </w:pPr>
    </w:p>
    <w:p w14:paraId="031A5F76" w14:textId="73E2EA1C" w:rsidR="00300759" w:rsidRPr="00CE4928" w:rsidRDefault="001B50A7" w:rsidP="00CE4928">
      <w:pPr>
        <w:pStyle w:val="Heading1"/>
        <w:numPr>
          <w:ilvl w:val="0"/>
          <w:numId w:val="0"/>
        </w:numPr>
        <w:spacing w:before="0" w:after="0" w:line="240" w:lineRule="auto"/>
        <w:jc w:val="center"/>
        <w:rPr>
          <w:rFonts w:ascii="Times New Roman" w:hAnsi="Times New Roman"/>
          <w:caps w:val="0"/>
          <w:szCs w:val="24"/>
        </w:rPr>
      </w:pPr>
      <w:bookmarkStart w:id="503" w:name="_Ref377990419"/>
      <w:bookmarkStart w:id="504" w:name="_Toc389130058"/>
      <w:bookmarkStart w:id="505" w:name="_Toc389130117"/>
      <w:bookmarkStart w:id="506" w:name="_Toc440906361"/>
      <w:bookmarkStart w:id="507" w:name="_Ref376856437"/>
      <w:r w:rsidRPr="00CE4928">
        <w:rPr>
          <w:rFonts w:ascii="Times New Roman" w:hAnsi="Times New Roman"/>
          <w:caps w:val="0"/>
          <w:sz w:val="22"/>
          <w:szCs w:val="24"/>
        </w:rPr>
        <w:t xml:space="preserve">Appendix </w:t>
      </w:r>
      <w:r w:rsidR="00347B69" w:rsidRPr="00CE4928">
        <w:rPr>
          <w:rFonts w:ascii="Times New Roman" w:hAnsi="Times New Roman"/>
          <w:caps w:val="0"/>
          <w:sz w:val="22"/>
          <w:szCs w:val="24"/>
        </w:rPr>
        <w:fldChar w:fldCharType="begin"/>
      </w:r>
      <w:r w:rsidR="00347B69" w:rsidRPr="00CE4928">
        <w:rPr>
          <w:rFonts w:ascii="Times New Roman" w:hAnsi="Times New Roman"/>
          <w:caps w:val="0"/>
          <w:sz w:val="22"/>
          <w:szCs w:val="24"/>
        </w:rPr>
        <w:instrText xml:space="preserve"> SEQ Appendix \* ARABIC </w:instrText>
      </w:r>
      <w:r w:rsidR="00347B69" w:rsidRPr="00CE4928">
        <w:rPr>
          <w:rFonts w:ascii="Times New Roman" w:hAnsi="Times New Roman"/>
          <w:caps w:val="0"/>
          <w:sz w:val="22"/>
          <w:szCs w:val="24"/>
        </w:rPr>
        <w:fldChar w:fldCharType="separate"/>
      </w:r>
      <w:r w:rsidR="00024E24">
        <w:rPr>
          <w:rFonts w:ascii="Times New Roman" w:hAnsi="Times New Roman"/>
          <w:caps w:val="0"/>
          <w:noProof/>
          <w:sz w:val="22"/>
          <w:szCs w:val="24"/>
        </w:rPr>
        <w:t>1</w:t>
      </w:r>
      <w:r w:rsidR="00347B69" w:rsidRPr="00CE4928">
        <w:rPr>
          <w:rFonts w:ascii="Times New Roman" w:hAnsi="Times New Roman"/>
          <w:caps w:val="0"/>
          <w:noProof/>
          <w:sz w:val="22"/>
          <w:szCs w:val="24"/>
        </w:rPr>
        <w:fldChar w:fldCharType="end"/>
      </w:r>
      <w:bookmarkEnd w:id="503"/>
      <w:r w:rsidR="009918A2" w:rsidRPr="00CE4928">
        <w:rPr>
          <w:rFonts w:ascii="Times New Roman" w:hAnsi="Times New Roman"/>
          <w:caps w:val="0"/>
          <w:sz w:val="22"/>
          <w:szCs w:val="24"/>
        </w:rPr>
        <w:t xml:space="preserve">: </w:t>
      </w:r>
      <w:r w:rsidRPr="00CE4928">
        <w:rPr>
          <w:rFonts w:ascii="Times New Roman" w:hAnsi="Times New Roman"/>
          <w:caps w:val="0"/>
          <w:sz w:val="22"/>
          <w:szCs w:val="24"/>
        </w:rPr>
        <w:t>Schedule of study visits and procedures</w:t>
      </w:r>
      <w:bookmarkEnd w:id="504"/>
      <w:bookmarkEnd w:id="505"/>
      <w:bookmarkEnd w:id="5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000" w:firstRow="0" w:lastRow="0" w:firstColumn="0" w:lastColumn="0" w:noHBand="0" w:noVBand="0"/>
      </w:tblPr>
      <w:tblGrid>
        <w:gridCol w:w="2077"/>
        <w:gridCol w:w="895"/>
        <w:gridCol w:w="1074"/>
        <w:gridCol w:w="1076"/>
        <w:gridCol w:w="534"/>
        <w:gridCol w:w="571"/>
        <w:gridCol w:w="450"/>
        <w:gridCol w:w="450"/>
        <w:gridCol w:w="629"/>
        <w:gridCol w:w="629"/>
        <w:gridCol w:w="629"/>
        <w:gridCol w:w="540"/>
        <w:gridCol w:w="632"/>
        <w:gridCol w:w="540"/>
        <w:gridCol w:w="450"/>
        <w:gridCol w:w="540"/>
        <w:gridCol w:w="629"/>
        <w:gridCol w:w="719"/>
        <w:gridCol w:w="722"/>
        <w:gridCol w:w="644"/>
      </w:tblGrid>
      <w:tr w:rsidR="00D40DAB" w:rsidRPr="000E2267" w14:paraId="766000DB" w14:textId="77777777" w:rsidTr="00731C16">
        <w:trPr>
          <w:trHeight w:val="20"/>
        </w:trPr>
        <w:tc>
          <w:tcPr>
            <w:tcW w:w="720" w:type="pct"/>
            <w:vMerge w:val="restart"/>
            <w:tcBorders>
              <w:top w:val="double" w:sz="4" w:space="0" w:color="auto"/>
              <w:left w:val="double" w:sz="4" w:space="0" w:color="auto"/>
              <w:right w:val="double" w:sz="4" w:space="0" w:color="auto"/>
            </w:tcBorders>
            <w:shd w:val="clear" w:color="auto" w:fill="E0E0E0"/>
            <w:vAlign w:val="center"/>
          </w:tcPr>
          <w:p w14:paraId="3B681C38" w14:textId="77777777" w:rsidR="009E7E87" w:rsidRPr="000E2267" w:rsidRDefault="009E7E87" w:rsidP="004C5DB7">
            <w:pPr>
              <w:keepNext/>
              <w:spacing w:line="240" w:lineRule="auto"/>
              <w:rPr>
                <w:rFonts w:ascii="Times New Roman" w:hAnsi="Times New Roman"/>
                <w:b/>
                <w:sz w:val="18"/>
                <w:szCs w:val="18"/>
              </w:rPr>
            </w:pPr>
          </w:p>
        </w:tc>
        <w:tc>
          <w:tcPr>
            <w:tcW w:w="1055" w:type="pct"/>
            <w:gridSpan w:val="3"/>
            <w:tcBorders>
              <w:top w:val="double" w:sz="4" w:space="0" w:color="auto"/>
              <w:left w:val="double" w:sz="4" w:space="0" w:color="auto"/>
              <w:bottom w:val="single" w:sz="4" w:space="0" w:color="auto"/>
              <w:right w:val="double" w:sz="4" w:space="0" w:color="auto"/>
            </w:tcBorders>
            <w:shd w:val="clear" w:color="auto" w:fill="E0E0E0"/>
          </w:tcPr>
          <w:p w14:paraId="240F6E02" w14:textId="77777777" w:rsidR="009E7E87" w:rsidRPr="000E2267" w:rsidRDefault="009E7E87" w:rsidP="004C5DB7">
            <w:pPr>
              <w:keepNext/>
              <w:spacing w:line="240" w:lineRule="auto"/>
              <w:jc w:val="center"/>
              <w:rPr>
                <w:rFonts w:ascii="Times New Roman" w:hAnsi="Times New Roman"/>
                <w:b/>
                <w:sz w:val="18"/>
                <w:szCs w:val="18"/>
              </w:rPr>
            </w:pPr>
            <w:r w:rsidRPr="000E2267">
              <w:rPr>
                <w:rFonts w:ascii="Times New Roman" w:hAnsi="Times New Roman"/>
                <w:b/>
                <w:sz w:val="18"/>
                <w:szCs w:val="18"/>
              </w:rPr>
              <w:t>Screening</w:t>
            </w:r>
          </w:p>
        </w:tc>
        <w:tc>
          <w:tcPr>
            <w:tcW w:w="2503" w:type="pct"/>
            <w:gridSpan w:val="13"/>
            <w:vMerge w:val="restart"/>
            <w:tcBorders>
              <w:top w:val="double" w:sz="4" w:space="0" w:color="auto"/>
              <w:left w:val="double" w:sz="4" w:space="0" w:color="auto"/>
              <w:right w:val="double" w:sz="4" w:space="0" w:color="auto"/>
            </w:tcBorders>
            <w:shd w:val="clear" w:color="auto" w:fill="E0E0E0"/>
            <w:vAlign w:val="center"/>
          </w:tcPr>
          <w:p w14:paraId="7EFBF826" w14:textId="3E72F78B" w:rsidR="009E7E87" w:rsidRPr="000E2267" w:rsidRDefault="009E7E87" w:rsidP="004C5DB7">
            <w:pPr>
              <w:keepNext/>
              <w:spacing w:line="240" w:lineRule="auto"/>
              <w:jc w:val="center"/>
              <w:rPr>
                <w:rFonts w:ascii="Times New Roman" w:hAnsi="Times New Roman"/>
                <w:b/>
                <w:sz w:val="18"/>
                <w:szCs w:val="18"/>
                <w:vertAlign w:val="superscript"/>
              </w:rPr>
            </w:pPr>
            <w:r w:rsidRPr="000E2267">
              <w:rPr>
                <w:rFonts w:ascii="Times New Roman" w:hAnsi="Times New Roman"/>
                <w:b/>
                <w:sz w:val="18"/>
                <w:szCs w:val="18"/>
              </w:rPr>
              <w:t>Schedule for Study Injection Phase</w:t>
            </w:r>
          </w:p>
        </w:tc>
        <w:tc>
          <w:tcPr>
            <w:tcW w:w="722" w:type="pct"/>
            <w:gridSpan w:val="3"/>
            <w:vMerge w:val="restart"/>
            <w:tcBorders>
              <w:top w:val="double" w:sz="4" w:space="0" w:color="auto"/>
              <w:left w:val="double" w:sz="4" w:space="0" w:color="auto"/>
              <w:right w:val="double" w:sz="4" w:space="0" w:color="auto"/>
            </w:tcBorders>
            <w:shd w:val="clear" w:color="auto" w:fill="E0E0E0"/>
            <w:vAlign w:val="center"/>
          </w:tcPr>
          <w:p w14:paraId="236BB734" w14:textId="0570542D" w:rsidR="009E7E87" w:rsidRPr="000E2267" w:rsidRDefault="009E7E87" w:rsidP="004C5DB7">
            <w:pPr>
              <w:keepNext/>
              <w:spacing w:line="240" w:lineRule="auto"/>
              <w:jc w:val="center"/>
              <w:rPr>
                <w:rFonts w:ascii="Times New Roman" w:hAnsi="Times New Roman"/>
                <w:b/>
                <w:sz w:val="18"/>
                <w:szCs w:val="18"/>
                <w:vertAlign w:val="superscript"/>
              </w:rPr>
            </w:pPr>
            <w:r w:rsidRPr="000E2267">
              <w:rPr>
                <w:rFonts w:ascii="Times New Roman" w:hAnsi="Times New Roman"/>
                <w:b/>
                <w:sz w:val="18"/>
                <w:szCs w:val="18"/>
              </w:rPr>
              <w:t>Follow-up Visits</w:t>
            </w:r>
          </w:p>
        </w:tc>
      </w:tr>
      <w:tr w:rsidR="00EE3E42" w:rsidRPr="000E2267" w14:paraId="3FBFD1DF" w14:textId="77777777" w:rsidTr="00D40DAB">
        <w:trPr>
          <w:trHeight w:val="20"/>
        </w:trPr>
        <w:tc>
          <w:tcPr>
            <w:tcW w:w="720" w:type="pct"/>
            <w:vMerge/>
            <w:tcBorders>
              <w:left w:val="double" w:sz="4" w:space="0" w:color="auto"/>
              <w:right w:val="double" w:sz="4" w:space="0" w:color="auto"/>
            </w:tcBorders>
            <w:shd w:val="clear" w:color="auto" w:fill="E0E0E0"/>
            <w:vAlign w:val="center"/>
          </w:tcPr>
          <w:p w14:paraId="5C0DCFE3" w14:textId="77777777" w:rsidR="00D17C74" w:rsidRPr="000E2267" w:rsidRDefault="00D17C74" w:rsidP="004C5DB7">
            <w:pPr>
              <w:keepNext/>
              <w:spacing w:line="240" w:lineRule="auto"/>
              <w:rPr>
                <w:rFonts w:ascii="Times New Roman" w:hAnsi="Times New Roman"/>
                <w:b/>
                <w:sz w:val="18"/>
                <w:szCs w:val="18"/>
              </w:rPr>
            </w:pPr>
          </w:p>
        </w:tc>
        <w:tc>
          <w:tcPr>
            <w:tcW w:w="310" w:type="pct"/>
            <w:tcBorders>
              <w:top w:val="single" w:sz="4" w:space="0" w:color="auto"/>
              <w:left w:val="double" w:sz="4" w:space="0" w:color="auto"/>
              <w:bottom w:val="nil"/>
              <w:right w:val="single" w:sz="4" w:space="0" w:color="auto"/>
            </w:tcBorders>
            <w:shd w:val="clear" w:color="auto" w:fill="E0E0E0"/>
          </w:tcPr>
          <w:p w14:paraId="18ED1ABF" w14:textId="77777777" w:rsidR="00D17C74" w:rsidRPr="000E2267" w:rsidDel="001D19BA" w:rsidRDefault="00D17C74" w:rsidP="004C5DB7">
            <w:pPr>
              <w:keepNext/>
              <w:spacing w:line="240" w:lineRule="auto"/>
              <w:jc w:val="center"/>
              <w:rPr>
                <w:rFonts w:ascii="Times New Roman" w:hAnsi="Times New Roman"/>
                <w:b/>
                <w:sz w:val="18"/>
                <w:szCs w:val="18"/>
              </w:rPr>
            </w:pPr>
            <w:r w:rsidRPr="000E2267">
              <w:rPr>
                <w:rFonts w:ascii="Times New Roman" w:hAnsi="Times New Roman"/>
                <w:b/>
                <w:sz w:val="18"/>
                <w:szCs w:val="18"/>
              </w:rPr>
              <w:t>1</w:t>
            </w:r>
            <w:r w:rsidRPr="000E2267">
              <w:rPr>
                <w:rFonts w:ascii="Times New Roman" w:hAnsi="Times New Roman"/>
                <w:b/>
                <w:sz w:val="18"/>
                <w:szCs w:val="18"/>
                <w:vertAlign w:val="superscript"/>
              </w:rPr>
              <w:t>st</w:t>
            </w:r>
            <w:r w:rsidRPr="000E2267">
              <w:rPr>
                <w:rFonts w:ascii="Times New Roman" w:hAnsi="Times New Roman"/>
                <w:b/>
                <w:sz w:val="18"/>
                <w:szCs w:val="18"/>
              </w:rPr>
              <w:t xml:space="preserve"> screen</w:t>
            </w:r>
          </w:p>
        </w:tc>
        <w:tc>
          <w:tcPr>
            <w:tcW w:w="372" w:type="pct"/>
            <w:tcBorders>
              <w:top w:val="single" w:sz="4" w:space="0" w:color="auto"/>
              <w:left w:val="single" w:sz="4" w:space="0" w:color="auto"/>
              <w:bottom w:val="nil"/>
              <w:right w:val="single" w:sz="4" w:space="0" w:color="auto"/>
            </w:tcBorders>
            <w:shd w:val="clear" w:color="auto" w:fill="E0E0E0"/>
          </w:tcPr>
          <w:p w14:paraId="61EC3302" w14:textId="3D6DCA57" w:rsidR="00D17C74" w:rsidRPr="000E2267" w:rsidDel="001D19BA" w:rsidRDefault="00D17C74" w:rsidP="004C5DB7">
            <w:pPr>
              <w:keepNext/>
              <w:spacing w:line="240" w:lineRule="auto"/>
              <w:jc w:val="center"/>
              <w:rPr>
                <w:rFonts w:ascii="Times New Roman" w:hAnsi="Times New Roman"/>
                <w:b/>
                <w:sz w:val="18"/>
                <w:szCs w:val="18"/>
              </w:rPr>
            </w:pPr>
            <w:r w:rsidRPr="000E2267">
              <w:rPr>
                <w:rFonts w:ascii="Times New Roman" w:hAnsi="Times New Roman"/>
                <w:b/>
                <w:sz w:val="18"/>
                <w:szCs w:val="18"/>
              </w:rPr>
              <w:t>2</w:t>
            </w:r>
            <w:r w:rsidRPr="000E2267">
              <w:rPr>
                <w:rFonts w:ascii="Times New Roman" w:hAnsi="Times New Roman"/>
                <w:b/>
                <w:sz w:val="18"/>
                <w:szCs w:val="18"/>
                <w:vertAlign w:val="superscript"/>
              </w:rPr>
              <w:t>nd</w:t>
            </w:r>
            <w:r w:rsidRPr="000E2267">
              <w:rPr>
                <w:rFonts w:ascii="Times New Roman" w:hAnsi="Times New Roman"/>
                <w:b/>
                <w:sz w:val="18"/>
                <w:szCs w:val="18"/>
              </w:rPr>
              <w:t xml:space="preserve"> Screen</w:t>
            </w:r>
          </w:p>
        </w:tc>
        <w:tc>
          <w:tcPr>
            <w:tcW w:w="373" w:type="pct"/>
            <w:tcBorders>
              <w:top w:val="single" w:sz="4" w:space="0" w:color="auto"/>
              <w:left w:val="single" w:sz="4" w:space="0" w:color="auto"/>
              <w:bottom w:val="nil"/>
              <w:right w:val="double" w:sz="4" w:space="0" w:color="auto"/>
            </w:tcBorders>
            <w:shd w:val="clear" w:color="auto" w:fill="E0E0E0"/>
          </w:tcPr>
          <w:p w14:paraId="5B27DEB6" w14:textId="5D7B7AB4" w:rsidR="00D17C74" w:rsidRPr="000E2267" w:rsidDel="001D19BA" w:rsidRDefault="002D4B35" w:rsidP="004C5DB7">
            <w:pPr>
              <w:keepNext/>
              <w:spacing w:line="240" w:lineRule="auto"/>
              <w:jc w:val="center"/>
              <w:rPr>
                <w:rFonts w:ascii="Times New Roman" w:hAnsi="Times New Roman"/>
                <w:b/>
                <w:sz w:val="18"/>
                <w:szCs w:val="18"/>
              </w:rPr>
            </w:pPr>
            <w:r w:rsidRPr="000E2267">
              <w:rPr>
                <w:rFonts w:ascii="Times New Roman" w:hAnsi="Times New Roman"/>
                <w:b/>
                <w:sz w:val="18"/>
                <w:szCs w:val="18"/>
              </w:rPr>
              <w:t>3rd Screen</w:t>
            </w:r>
          </w:p>
        </w:tc>
        <w:tc>
          <w:tcPr>
            <w:tcW w:w="2503" w:type="pct"/>
            <w:gridSpan w:val="13"/>
            <w:vMerge/>
            <w:tcBorders>
              <w:left w:val="double" w:sz="4" w:space="0" w:color="auto"/>
              <w:right w:val="double" w:sz="4" w:space="0" w:color="auto"/>
            </w:tcBorders>
            <w:shd w:val="clear" w:color="auto" w:fill="E0E0E0"/>
          </w:tcPr>
          <w:p w14:paraId="2397D757" w14:textId="77777777" w:rsidR="00D17C74" w:rsidRPr="000E2267" w:rsidRDefault="00D17C74" w:rsidP="004C5DB7">
            <w:pPr>
              <w:keepNext/>
              <w:spacing w:line="240" w:lineRule="auto"/>
              <w:jc w:val="center"/>
              <w:rPr>
                <w:rFonts w:ascii="Times New Roman" w:hAnsi="Times New Roman"/>
                <w:b/>
                <w:sz w:val="18"/>
                <w:szCs w:val="18"/>
              </w:rPr>
            </w:pPr>
          </w:p>
        </w:tc>
        <w:tc>
          <w:tcPr>
            <w:tcW w:w="722" w:type="pct"/>
            <w:gridSpan w:val="3"/>
            <w:vMerge/>
            <w:tcBorders>
              <w:left w:val="double" w:sz="4" w:space="0" w:color="auto"/>
              <w:right w:val="double" w:sz="4" w:space="0" w:color="auto"/>
            </w:tcBorders>
            <w:shd w:val="clear" w:color="auto" w:fill="E0E0E0"/>
          </w:tcPr>
          <w:p w14:paraId="132CFBAD" w14:textId="77777777" w:rsidR="00D17C74" w:rsidRPr="000E2267" w:rsidRDefault="00D17C74" w:rsidP="004C5DB7">
            <w:pPr>
              <w:keepNext/>
              <w:spacing w:line="240" w:lineRule="auto"/>
              <w:jc w:val="center"/>
              <w:rPr>
                <w:rFonts w:ascii="Times New Roman" w:hAnsi="Times New Roman"/>
                <w:b/>
                <w:sz w:val="18"/>
                <w:szCs w:val="18"/>
              </w:rPr>
            </w:pPr>
          </w:p>
        </w:tc>
      </w:tr>
      <w:tr w:rsidR="00731C16" w:rsidRPr="000E2267" w14:paraId="4CD792B9" w14:textId="77777777" w:rsidTr="008A3264">
        <w:trPr>
          <w:trHeight w:val="576"/>
        </w:trPr>
        <w:tc>
          <w:tcPr>
            <w:tcW w:w="720" w:type="pct"/>
            <w:tcBorders>
              <w:top w:val="nil"/>
              <w:left w:val="double" w:sz="4" w:space="0" w:color="auto"/>
              <w:right w:val="double" w:sz="4" w:space="0" w:color="auto"/>
            </w:tcBorders>
            <w:shd w:val="clear" w:color="auto" w:fill="E0E0E0"/>
            <w:vAlign w:val="center"/>
          </w:tcPr>
          <w:p w14:paraId="3CE3306D" w14:textId="77777777" w:rsidR="00731C16" w:rsidRPr="000E2267" w:rsidRDefault="00731C16" w:rsidP="00F04064">
            <w:pPr>
              <w:keepNext/>
              <w:spacing w:line="240" w:lineRule="auto"/>
              <w:rPr>
                <w:rFonts w:ascii="Times New Roman" w:hAnsi="Times New Roman"/>
                <w:b/>
                <w:sz w:val="18"/>
                <w:szCs w:val="18"/>
              </w:rPr>
            </w:pPr>
          </w:p>
        </w:tc>
        <w:tc>
          <w:tcPr>
            <w:tcW w:w="310" w:type="pct"/>
            <w:tcBorders>
              <w:left w:val="double" w:sz="4" w:space="0" w:color="auto"/>
            </w:tcBorders>
            <w:shd w:val="clear" w:color="auto" w:fill="F2F2F2" w:themeFill="background1" w:themeFillShade="F2"/>
          </w:tcPr>
          <w:p w14:paraId="72C5AC52" w14:textId="79F4D6CC" w:rsidR="00731C16" w:rsidRPr="000E2267" w:rsidRDefault="00731C16" w:rsidP="00F04064">
            <w:pPr>
              <w:keepNext/>
              <w:spacing w:line="240" w:lineRule="auto"/>
              <w:jc w:val="center"/>
              <w:rPr>
                <w:rFonts w:ascii="Times New Roman" w:hAnsi="Times New Roman"/>
                <w:b/>
                <w:bCs/>
                <w:sz w:val="18"/>
                <w:szCs w:val="18"/>
              </w:rPr>
            </w:pPr>
            <w:r w:rsidRPr="000E2267">
              <w:rPr>
                <w:rFonts w:ascii="Times New Roman" w:hAnsi="Times New Roman"/>
                <w:sz w:val="18"/>
                <w:szCs w:val="18"/>
              </w:rPr>
              <w:t xml:space="preserve">16 weeks (+/- 1 week) of </w:t>
            </w:r>
            <w:r w:rsidRPr="000E2267">
              <w:rPr>
                <w:rFonts w:ascii="Times New Roman" w:hAnsi="Times New Roman"/>
                <w:b/>
                <w:sz w:val="18"/>
                <w:szCs w:val="18"/>
              </w:rPr>
              <w:t xml:space="preserve"> </w:t>
            </w:r>
            <w:r w:rsidRPr="000E2267">
              <w:rPr>
                <w:rFonts w:ascii="Times New Roman" w:hAnsi="Times New Roman"/>
                <w:sz w:val="18"/>
                <w:szCs w:val="18"/>
              </w:rPr>
              <w:t>TB</w:t>
            </w:r>
            <w:r w:rsidRPr="000E2267">
              <w:rPr>
                <w:rFonts w:ascii="Times New Roman" w:hAnsi="Times New Roman"/>
                <w:b/>
                <w:sz w:val="18"/>
                <w:szCs w:val="18"/>
              </w:rPr>
              <w:t xml:space="preserve"> </w:t>
            </w:r>
            <w:r w:rsidRPr="000E2267">
              <w:rPr>
                <w:rFonts w:ascii="Times New Roman" w:hAnsi="Times New Roman"/>
                <w:sz w:val="18"/>
                <w:szCs w:val="18"/>
              </w:rPr>
              <w:t>Rx</w:t>
            </w:r>
          </w:p>
        </w:tc>
        <w:tc>
          <w:tcPr>
            <w:tcW w:w="372" w:type="pct"/>
            <w:tcBorders>
              <w:left w:val="single" w:sz="4" w:space="0" w:color="auto"/>
              <w:right w:val="single" w:sz="4" w:space="0" w:color="auto"/>
            </w:tcBorders>
            <w:shd w:val="clear" w:color="auto" w:fill="F2F2F2" w:themeFill="background1" w:themeFillShade="F2"/>
            <w:vAlign w:val="center"/>
          </w:tcPr>
          <w:p w14:paraId="2887D0FD" w14:textId="030B56C7" w:rsidR="00731C16" w:rsidRPr="000E2267" w:rsidRDefault="00731C16" w:rsidP="008E3CD9">
            <w:pPr>
              <w:keepNext/>
              <w:spacing w:line="240" w:lineRule="auto"/>
              <w:jc w:val="center"/>
              <w:rPr>
                <w:rFonts w:ascii="Times New Roman" w:hAnsi="Times New Roman"/>
                <w:sz w:val="18"/>
                <w:szCs w:val="18"/>
              </w:rPr>
            </w:pPr>
            <w:r w:rsidRPr="000E2267">
              <w:rPr>
                <w:rFonts w:ascii="Times New Roman" w:hAnsi="Times New Roman"/>
                <w:sz w:val="18"/>
                <w:szCs w:val="18"/>
              </w:rPr>
              <w:t>14 – 28 days after 1</w:t>
            </w:r>
            <w:r w:rsidRPr="000E2267">
              <w:rPr>
                <w:rFonts w:ascii="Times New Roman" w:hAnsi="Times New Roman"/>
                <w:sz w:val="18"/>
                <w:szCs w:val="18"/>
                <w:vertAlign w:val="superscript"/>
              </w:rPr>
              <w:t>st</w:t>
            </w:r>
            <w:r w:rsidRPr="000E2267">
              <w:rPr>
                <w:rFonts w:ascii="Times New Roman" w:hAnsi="Times New Roman"/>
                <w:sz w:val="18"/>
                <w:szCs w:val="18"/>
              </w:rPr>
              <w:t xml:space="preserve"> screen</w:t>
            </w:r>
          </w:p>
        </w:tc>
        <w:tc>
          <w:tcPr>
            <w:tcW w:w="373" w:type="pct"/>
            <w:tcBorders>
              <w:left w:val="single" w:sz="4" w:space="0" w:color="auto"/>
              <w:right w:val="double" w:sz="4" w:space="0" w:color="auto"/>
            </w:tcBorders>
            <w:shd w:val="clear" w:color="auto" w:fill="F2F2F2" w:themeFill="background1" w:themeFillShade="F2"/>
            <w:vAlign w:val="center"/>
          </w:tcPr>
          <w:p w14:paraId="6582DE12" w14:textId="77777777" w:rsidR="00731C16" w:rsidRPr="000E2267" w:rsidRDefault="00731C16">
            <w:pPr>
              <w:keepNext/>
              <w:spacing w:line="240" w:lineRule="auto"/>
              <w:jc w:val="center"/>
              <w:rPr>
                <w:rFonts w:ascii="Times New Roman" w:hAnsi="Times New Roman"/>
                <w:sz w:val="18"/>
                <w:szCs w:val="18"/>
              </w:rPr>
            </w:pPr>
            <w:r w:rsidRPr="000E2267">
              <w:rPr>
                <w:rFonts w:ascii="Times New Roman" w:hAnsi="Times New Roman"/>
                <w:sz w:val="18"/>
                <w:szCs w:val="18"/>
              </w:rPr>
              <w:t>Within</w:t>
            </w:r>
          </w:p>
          <w:p w14:paraId="592EBBAA" w14:textId="3E3006C7" w:rsidR="00731C16" w:rsidRPr="000E2267" w:rsidRDefault="00731C16">
            <w:pPr>
              <w:keepNext/>
              <w:spacing w:line="240" w:lineRule="auto"/>
              <w:jc w:val="center"/>
              <w:rPr>
                <w:rFonts w:ascii="Times New Roman" w:hAnsi="Times New Roman"/>
                <w:sz w:val="18"/>
                <w:szCs w:val="18"/>
              </w:rPr>
            </w:pPr>
            <w:r w:rsidRPr="000E2267">
              <w:rPr>
                <w:rFonts w:ascii="Times New Roman" w:hAnsi="Times New Roman"/>
                <w:sz w:val="18"/>
                <w:szCs w:val="18"/>
              </w:rPr>
              <w:t>-28 days of Day 0</w:t>
            </w:r>
          </w:p>
        </w:tc>
        <w:tc>
          <w:tcPr>
            <w:tcW w:w="185" w:type="pct"/>
            <w:tcBorders>
              <w:left w:val="double" w:sz="4" w:space="0" w:color="auto"/>
            </w:tcBorders>
            <w:shd w:val="clear" w:color="auto" w:fill="E0E0E0"/>
          </w:tcPr>
          <w:p w14:paraId="323BC39A" w14:textId="24693F08" w:rsidR="00731C16" w:rsidRPr="000E2267" w:rsidRDefault="00731C16" w:rsidP="00F04064">
            <w:pPr>
              <w:keepNext/>
              <w:spacing w:line="240" w:lineRule="auto"/>
              <w:jc w:val="center"/>
              <w:rPr>
                <w:rFonts w:ascii="Times New Roman" w:hAnsi="Times New Roman"/>
                <w:sz w:val="18"/>
                <w:szCs w:val="18"/>
              </w:rPr>
            </w:pPr>
            <w:r w:rsidRPr="000E2267">
              <w:rPr>
                <w:rFonts w:ascii="Times New Roman" w:hAnsi="Times New Roman"/>
                <w:b/>
                <w:sz w:val="18"/>
                <w:szCs w:val="18"/>
              </w:rPr>
              <w:t>Day 0</w:t>
            </w:r>
            <w:r w:rsidRPr="000E2267">
              <w:rPr>
                <w:rFonts w:ascii="Times New Roman" w:hAnsi="Times New Roman"/>
                <w:sz w:val="18"/>
                <w:szCs w:val="18"/>
                <w:vertAlign w:val="superscript"/>
              </w:rPr>
              <w:t>1</w:t>
            </w:r>
          </w:p>
        </w:tc>
        <w:tc>
          <w:tcPr>
            <w:tcW w:w="198" w:type="pct"/>
            <w:shd w:val="clear" w:color="auto" w:fill="E0E0E0"/>
          </w:tcPr>
          <w:p w14:paraId="6DA36F3A" w14:textId="77777777" w:rsidR="00731C16" w:rsidRPr="000E2267" w:rsidRDefault="00731C16" w:rsidP="00F04064">
            <w:pPr>
              <w:keepNext/>
              <w:spacing w:line="240" w:lineRule="auto"/>
              <w:jc w:val="center"/>
              <w:rPr>
                <w:rFonts w:ascii="Times New Roman" w:hAnsi="Times New Roman"/>
                <w:bCs/>
                <w:sz w:val="18"/>
                <w:szCs w:val="18"/>
              </w:rPr>
            </w:pPr>
            <w:r w:rsidRPr="000E2267">
              <w:rPr>
                <w:rFonts w:ascii="Times New Roman" w:hAnsi="Times New Roman"/>
                <w:bCs/>
                <w:sz w:val="18"/>
                <w:szCs w:val="18"/>
              </w:rPr>
              <w:t xml:space="preserve">Day </w:t>
            </w:r>
          </w:p>
          <w:p w14:paraId="56E2005E" w14:textId="31EF0612" w:rsidR="00731C16" w:rsidRPr="000E2267" w:rsidRDefault="00731C16" w:rsidP="00F04064">
            <w:pPr>
              <w:keepNext/>
              <w:spacing w:line="240" w:lineRule="auto"/>
              <w:jc w:val="center"/>
              <w:rPr>
                <w:rFonts w:ascii="Times New Roman" w:hAnsi="Times New Roman"/>
                <w:bCs/>
                <w:sz w:val="18"/>
                <w:szCs w:val="18"/>
              </w:rPr>
            </w:pPr>
            <w:r w:rsidRPr="000E2267">
              <w:rPr>
                <w:rFonts w:ascii="Times New Roman" w:hAnsi="Times New Roman"/>
                <w:bCs/>
                <w:sz w:val="18"/>
                <w:szCs w:val="18"/>
              </w:rPr>
              <w:t xml:space="preserve">3 </w:t>
            </w:r>
          </w:p>
        </w:tc>
        <w:tc>
          <w:tcPr>
            <w:tcW w:w="156" w:type="pct"/>
            <w:shd w:val="clear" w:color="auto" w:fill="E0E0E0"/>
          </w:tcPr>
          <w:p w14:paraId="01EC25E6" w14:textId="77777777" w:rsidR="00731C16" w:rsidRPr="000E2267" w:rsidRDefault="00731C16" w:rsidP="00F04064">
            <w:pPr>
              <w:keepNext/>
              <w:spacing w:line="240" w:lineRule="auto"/>
              <w:jc w:val="center"/>
              <w:rPr>
                <w:rFonts w:ascii="Times New Roman" w:hAnsi="Times New Roman"/>
                <w:bCs/>
                <w:sz w:val="18"/>
                <w:szCs w:val="18"/>
              </w:rPr>
            </w:pPr>
            <w:r w:rsidRPr="000E2267">
              <w:rPr>
                <w:rFonts w:ascii="Times New Roman" w:hAnsi="Times New Roman"/>
                <w:bCs/>
                <w:sz w:val="18"/>
                <w:szCs w:val="18"/>
              </w:rPr>
              <w:t xml:space="preserve">Day </w:t>
            </w:r>
          </w:p>
          <w:p w14:paraId="04C51023" w14:textId="5B768A45" w:rsidR="00731C16" w:rsidRPr="000E2267" w:rsidRDefault="00731C16" w:rsidP="00F04064">
            <w:pPr>
              <w:keepNext/>
              <w:spacing w:line="240" w:lineRule="auto"/>
              <w:jc w:val="center"/>
              <w:rPr>
                <w:rFonts w:ascii="Times New Roman" w:hAnsi="Times New Roman"/>
                <w:bCs/>
                <w:sz w:val="18"/>
                <w:szCs w:val="18"/>
              </w:rPr>
            </w:pPr>
            <w:r w:rsidRPr="000E2267">
              <w:rPr>
                <w:rFonts w:ascii="Times New Roman" w:hAnsi="Times New Roman"/>
                <w:bCs/>
                <w:sz w:val="18"/>
                <w:szCs w:val="18"/>
              </w:rPr>
              <w:t xml:space="preserve">7 </w:t>
            </w:r>
          </w:p>
          <w:p w14:paraId="1708CCD5" w14:textId="77777777" w:rsidR="00731C16" w:rsidRPr="000E2267" w:rsidRDefault="00731C16" w:rsidP="00F04064">
            <w:pPr>
              <w:keepNext/>
              <w:spacing w:line="240" w:lineRule="auto"/>
              <w:jc w:val="center"/>
              <w:rPr>
                <w:rFonts w:ascii="Times New Roman" w:hAnsi="Times New Roman"/>
                <w:bCs/>
                <w:sz w:val="18"/>
                <w:szCs w:val="18"/>
              </w:rPr>
            </w:pPr>
            <w:r w:rsidRPr="000E2267">
              <w:rPr>
                <w:rFonts w:ascii="Times New Roman" w:hAnsi="Times New Roman"/>
                <w:bCs/>
                <w:sz w:val="18"/>
                <w:szCs w:val="18"/>
              </w:rPr>
              <w:t>(±1)</w:t>
            </w:r>
          </w:p>
        </w:tc>
        <w:tc>
          <w:tcPr>
            <w:tcW w:w="156" w:type="pct"/>
            <w:shd w:val="clear" w:color="auto" w:fill="E0E0E0"/>
          </w:tcPr>
          <w:p w14:paraId="4FC6CB59" w14:textId="5ADB26B8" w:rsidR="00731C16" w:rsidRPr="000E2267" w:rsidRDefault="00731C16" w:rsidP="00F04064">
            <w:pPr>
              <w:keepNext/>
              <w:spacing w:line="240" w:lineRule="auto"/>
              <w:jc w:val="center"/>
              <w:rPr>
                <w:rFonts w:ascii="Times New Roman" w:hAnsi="Times New Roman"/>
                <w:b/>
                <w:sz w:val="18"/>
                <w:szCs w:val="18"/>
              </w:rPr>
            </w:pPr>
            <w:r w:rsidRPr="000E2267">
              <w:rPr>
                <w:rFonts w:ascii="Times New Roman" w:hAnsi="Times New Roman"/>
                <w:bCs/>
                <w:sz w:val="18"/>
                <w:szCs w:val="18"/>
              </w:rPr>
              <w:t>Day 14 (±1)</w:t>
            </w:r>
          </w:p>
        </w:tc>
        <w:tc>
          <w:tcPr>
            <w:tcW w:w="218" w:type="pct"/>
            <w:shd w:val="clear" w:color="auto" w:fill="E0E0E0"/>
          </w:tcPr>
          <w:p w14:paraId="3AEBA2BD" w14:textId="77777777" w:rsidR="00731C16" w:rsidRPr="00EE1857" w:rsidRDefault="00731C16" w:rsidP="00EE3E42">
            <w:pPr>
              <w:keepNext/>
              <w:spacing w:line="240" w:lineRule="auto"/>
              <w:jc w:val="center"/>
              <w:rPr>
                <w:rFonts w:ascii="Times New Roman" w:hAnsi="Times New Roman"/>
                <w:b/>
                <w:bCs/>
                <w:sz w:val="18"/>
                <w:szCs w:val="18"/>
              </w:rPr>
            </w:pPr>
            <w:r w:rsidRPr="00EE1857">
              <w:rPr>
                <w:rFonts w:ascii="Times New Roman" w:hAnsi="Times New Roman"/>
                <w:b/>
                <w:bCs/>
                <w:sz w:val="18"/>
                <w:szCs w:val="18"/>
              </w:rPr>
              <w:t xml:space="preserve">Day </w:t>
            </w:r>
          </w:p>
          <w:p w14:paraId="7CCF05D2" w14:textId="77777777" w:rsidR="00731C16" w:rsidRPr="00EE1857" w:rsidRDefault="00731C16" w:rsidP="00EE3E42">
            <w:pPr>
              <w:keepNext/>
              <w:spacing w:line="240" w:lineRule="auto"/>
              <w:jc w:val="center"/>
              <w:rPr>
                <w:rFonts w:ascii="Times New Roman" w:hAnsi="Times New Roman"/>
                <w:b/>
                <w:bCs/>
                <w:sz w:val="18"/>
                <w:szCs w:val="18"/>
              </w:rPr>
            </w:pPr>
            <w:r w:rsidRPr="00EE1857">
              <w:rPr>
                <w:rFonts w:ascii="Times New Roman" w:hAnsi="Times New Roman"/>
                <w:b/>
                <w:bCs/>
                <w:sz w:val="18"/>
                <w:szCs w:val="18"/>
              </w:rPr>
              <w:t>28</w:t>
            </w:r>
          </w:p>
          <w:p w14:paraId="44D36154" w14:textId="2D1F4F56" w:rsidR="00731C16" w:rsidRPr="000E2267" w:rsidRDefault="00731C16" w:rsidP="00EE3E42">
            <w:pPr>
              <w:keepNext/>
              <w:spacing w:line="240" w:lineRule="auto"/>
              <w:jc w:val="center"/>
              <w:rPr>
                <w:rFonts w:ascii="Times New Roman" w:hAnsi="Times New Roman"/>
                <w:b/>
                <w:sz w:val="18"/>
                <w:szCs w:val="18"/>
              </w:rPr>
            </w:pPr>
            <w:r w:rsidRPr="00EE1857">
              <w:rPr>
                <w:rFonts w:ascii="Times New Roman" w:hAnsi="Times New Roman"/>
                <w:b/>
                <w:bCs/>
                <w:sz w:val="18"/>
                <w:szCs w:val="18"/>
              </w:rPr>
              <w:t>(±3)</w:t>
            </w:r>
          </w:p>
        </w:tc>
        <w:tc>
          <w:tcPr>
            <w:tcW w:w="218" w:type="pct"/>
            <w:shd w:val="clear" w:color="auto" w:fill="FFFF00"/>
          </w:tcPr>
          <w:p w14:paraId="487796FD" w14:textId="77777777" w:rsidR="00731C16" w:rsidRPr="000E2267" w:rsidRDefault="00731C16" w:rsidP="002E799E">
            <w:pPr>
              <w:keepNext/>
              <w:spacing w:line="240" w:lineRule="auto"/>
              <w:jc w:val="center"/>
              <w:rPr>
                <w:rFonts w:ascii="Times New Roman" w:hAnsi="Times New Roman"/>
                <w:bCs/>
                <w:sz w:val="18"/>
                <w:szCs w:val="18"/>
              </w:rPr>
            </w:pPr>
            <w:r w:rsidRPr="000E2267">
              <w:rPr>
                <w:rFonts w:ascii="Times New Roman" w:hAnsi="Times New Roman"/>
                <w:bCs/>
                <w:sz w:val="18"/>
                <w:szCs w:val="18"/>
              </w:rPr>
              <w:t xml:space="preserve">Day </w:t>
            </w:r>
          </w:p>
          <w:p w14:paraId="7C49BEE2" w14:textId="501BC299" w:rsidR="00731C16" w:rsidRPr="000E2267" w:rsidRDefault="00731C16" w:rsidP="00F04064">
            <w:pPr>
              <w:keepNext/>
              <w:spacing w:line="240" w:lineRule="auto"/>
              <w:jc w:val="center"/>
              <w:rPr>
                <w:rFonts w:ascii="Times New Roman" w:hAnsi="Times New Roman"/>
                <w:b/>
                <w:sz w:val="18"/>
                <w:szCs w:val="18"/>
              </w:rPr>
            </w:pPr>
            <w:r w:rsidRPr="000E2267">
              <w:rPr>
                <w:rFonts w:ascii="Times New Roman" w:hAnsi="Times New Roman"/>
                <w:bCs/>
                <w:sz w:val="18"/>
                <w:szCs w:val="18"/>
              </w:rPr>
              <w:t xml:space="preserve">31 </w:t>
            </w:r>
          </w:p>
        </w:tc>
        <w:tc>
          <w:tcPr>
            <w:tcW w:w="218" w:type="pct"/>
            <w:shd w:val="clear" w:color="auto" w:fill="FFFF00"/>
          </w:tcPr>
          <w:p w14:paraId="1FFE2B1D" w14:textId="77777777" w:rsidR="00731C16" w:rsidRPr="000E2267" w:rsidRDefault="00731C16" w:rsidP="002E799E">
            <w:pPr>
              <w:keepNext/>
              <w:spacing w:line="240" w:lineRule="auto"/>
              <w:jc w:val="center"/>
              <w:rPr>
                <w:rFonts w:ascii="Times New Roman" w:hAnsi="Times New Roman"/>
                <w:bCs/>
                <w:sz w:val="18"/>
                <w:szCs w:val="18"/>
              </w:rPr>
            </w:pPr>
            <w:r w:rsidRPr="000E2267">
              <w:rPr>
                <w:rFonts w:ascii="Times New Roman" w:hAnsi="Times New Roman"/>
                <w:bCs/>
                <w:sz w:val="18"/>
                <w:szCs w:val="18"/>
              </w:rPr>
              <w:t xml:space="preserve">Day </w:t>
            </w:r>
          </w:p>
          <w:p w14:paraId="74C8B4C0" w14:textId="654B8D05" w:rsidR="00731C16" w:rsidRPr="000E2267" w:rsidRDefault="00731C16" w:rsidP="002E799E">
            <w:pPr>
              <w:keepNext/>
              <w:spacing w:line="240" w:lineRule="auto"/>
              <w:jc w:val="center"/>
              <w:rPr>
                <w:rFonts w:ascii="Times New Roman" w:hAnsi="Times New Roman"/>
                <w:bCs/>
                <w:sz w:val="18"/>
                <w:szCs w:val="18"/>
              </w:rPr>
            </w:pPr>
            <w:r w:rsidRPr="000E2267">
              <w:rPr>
                <w:rFonts w:ascii="Times New Roman" w:hAnsi="Times New Roman"/>
                <w:bCs/>
                <w:sz w:val="18"/>
                <w:szCs w:val="18"/>
              </w:rPr>
              <w:t xml:space="preserve">35 </w:t>
            </w:r>
          </w:p>
          <w:p w14:paraId="342CEF78" w14:textId="52CB12F3" w:rsidR="00731C16" w:rsidRPr="000E2267" w:rsidRDefault="00731C16" w:rsidP="00F04064">
            <w:pPr>
              <w:keepNext/>
              <w:spacing w:line="240" w:lineRule="auto"/>
              <w:jc w:val="center"/>
              <w:rPr>
                <w:rFonts w:ascii="Times New Roman" w:hAnsi="Times New Roman"/>
                <w:b/>
                <w:sz w:val="18"/>
                <w:szCs w:val="18"/>
              </w:rPr>
            </w:pPr>
            <w:r w:rsidRPr="000E2267">
              <w:rPr>
                <w:rFonts w:ascii="Times New Roman" w:hAnsi="Times New Roman"/>
                <w:bCs/>
                <w:sz w:val="18"/>
                <w:szCs w:val="18"/>
              </w:rPr>
              <w:t>(±1)</w:t>
            </w:r>
          </w:p>
        </w:tc>
        <w:tc>
          <w:tcPr>
            <w:tcW w:w="187" w:type="pct"/>
            <w:shd w:val="clear" w:color="auto" w:fill="FFFF00"/>
          </w:tcPr>
          <w:p w14:paraId="3E6D64F7" w14:textId="530AFF5B" w:rsidR="00731C16" w:rsidRPr="000E2267" w:rsidRDefault="00731C16" w:rsidP="00731C16">
            <w:pPr>
              <w:keepNext/>
              <w:spacing w:line="240" w:lineRule="auto"/>
              <w:jc w:val="center"/>
              <w:rPr>
                <w:rFonts w:ascii="Times New Roman" w:hAnsi="Times New Roman"/>
                <w:b/>
                <w:sz w:val="18"/>
                <w:szCs w:val="18"/>
              </w:rPr>
            </w:pPr>
            <w:r w:rsidRPr="000E2267">
              <w:rPr>
                <w:rFonts w:ascii="Times New Roman" w:hAnsi="Times New Roman"/>
                <w:bCs/>
                <w:sz w:val="18"/>
                <w:szCs w:val="18"/>
              </w:rPr>
              <w:t>Day 42 (±1)</w:t>
            </w:r>
          </w:p>
        </w:tc>
        <w:tc>
          <w:tcPr>
            <w:tcW w:w="219" w:type="pct"/>
            <w:shd w:val="clear" w:color="auto" w:fill="E0E0E0"/>
          </w:tcPr>
          <w:p w14:paraId="139B44DB" w14:textId="77777777" w:rsidR="00731C16" w:rsidRPr="000E2267" w:rsidRDefault="00731C16" w:rsidP="00F04064">
            <w:pPr>
              <w:keepNext/>
              <w:spacing w:line="240" w:lineRule="auto"/>
              <w:jc w:val="center"/>
              <w:rPr>
                <w:rFonts w:ascii="Times New Roman" w:hAnsi="Times New Roman"/>
                <w:b/>
                <w:sz w:val="18"/>
                <w:szCs w:val="18"/>
              </w:rPr>
            </w:pPr>
            <w:r w:rsidRPr="000E2267">
              <w:rPr>
                <w:rFonts w:ascii="Times New Roman" w:hAnsi="Times New Roman"/>
                <w:b/>
                <w:sz w:val="18"/>
                <w:szCs w:val="18"/>
              </w:rPr>
              <w:t xml:space="preserve">Day </w:t>
            </w:r>
          </w:p>
          <w:p w14:paraId="01435F7C" w14:textId="77777777" w:rsidR="00731C16" w:rsidRPr="000E2267" w:rsidRDefault="00731C16" w:rsidP="00F04064">
            <w:pPr>
              <w:keepNext/>
              <w:spacing w:line="240" w:lineRule="auto"/>
              <w:jc w:val="center"/>
              <w:rPr>
                <w:rFonts w:ascii="Times New Roman" w:hAnsi="Times New Roman"/>
                <w:b/>
                <w:sz w:val="18"/>
                <w:szCs w:val="18"/>
              </w:rPr>
            </w:pPr>
            <w:r w:rsidRPr="000E2267">
              <w:rPr>
                <w:rFonts w:ascii="Times New Roman" w:hAnsi="Times New Roman"/>
                <w:b/>
                <w:sz w:val="18"/>
                <w:szCs w:val="18"/>
              </w:rPr>
              <w:t xml:space="preserve">56 </w:t>
            </w:r>
          </w:p>
          <w:p w14:paraId="05C72583" w14:textId="10B2CC80" w:rsidR="00731C16" w:rsidRPr="000E2267" w:rsidRDefault="00731C16" w:rsidP="00F04064">
            <w:pPr>
              <w:keepNext/>
              <w:spacing w:line="240" w:lineRule="auto"/>
              <w:jc w:val="center"/>
              <w:rPr>
                <w:rFonts w:ascii="Times New Roman" w:hAnsi="Times New Roman"/>
                <w:bCs/>
                <w:sz w:val="18"/>
                <w:szCs w:val="18"/>
              </w:rPr>
            </w:pPr>
            <w:r w:rsidRPr="000E2267">
              <w:rPr>
                <w:rFonts w:ascii="Times New Roman" w:hAnsi="Times New Roman"/>
                <w:b/>
                <w:sz w:val="18"/>
                <w:szCs w:val="18"/>
              </w:rPr>
              <w:t>(±3)</w:t>
            </w:r>
          </w:p>
        </w:tc>
        <w:tc>
          <w:tcPr>
            <w:tcW w:w="187" w:type="pct"/>
            <w:shd w:val="clear" w:color="auto" w:fill="E0E0E0"/>
          </w:tcPr>
          <w:p w14:paraId="1A0390E9" w14:textId="77777777" w:rsidR="00731C16" w:rsidRPr="000E2267" w:rsidRDefault="00731C16" w:rsidP="00F04064">
            <w:pPr>
              <w:keepNext/>
              <w:spacing w:line="240" w:lineRule="auto"/>
              <w:jc w:val="center"/>
              <w:rPr>
                <w:rFonts w:ascii="Times New Roman" w:hAnsi="Times New Roman"/>
                <w:bCs/>
                <w:sz w:val="18"/>
                <w:szCs w:val="18"/>
              </w:rPr>
            </w:pPr>
            <w:r w:rsidRPr="000E2267">
              <w:rPr>
                <w:rFonts w:ascii="Times New Roman" w:hAnsi="Times New Roman"/>
                <w:bCs/>
                <w:sz w:val="18"/>
                <w:szCs w:val="18"/>
              </w:rPr>
              <w:t xml:space="preserve">Day </w:t>
            </w:r>
          </w:p>
          <w:p w14:paraId="43F6B488" w14:textId="15DAF1DF" w:rsidR="00731C16" w:rsidRPr="000E2267" w:rsidRDefault="00731C16" w:rsidP="00F04064">
            <w:pPr>
              <w:keepNext/>
              <w:spacing w:line="240" w:lineRule="auto"/>
              <w:jc w:val="center"/>
              <w:rPr>
                <w:rFonts w:ascii="Times New Roman" w:hAnsi="Times New Roman"/>
                <w:bCs/>
                <w:sz w:val="18"/>
                <w:szCs w:val="18"/>
              </w:rPr>
            </w:pPr>
            <w:r w:rsidRPr="000E2267">
              <w:rPr>
                <w:rFonts w:ascii="Times New Roman" w:hAnsi="Times New Roman"/>
                <w:bCs/>
                <w:sz w:val="18"/>
                <w:szCs w:val="18"/>
              </w:rPr>
              <w:t xml:space="preserve">59 </w:t>
            </w:r>
          </w:p>
        </w:tc>
        <w:tc>
          <w:tcPr>
            <w:tcW w:w="156" w:type="pct"/>
            <w:shd w:val="clear" w:color="auto" w:fill="E0E0E0"/>
          </w:tcPr>
          <w:p w14:paraId="0B7DA679" w14:textId="77777777" w:rsidR="00731C16" w:rsidRPr="000E2267" w:rsidRDefault="00731C16" w:rsidP="00F04064">
            <w:pPr>
              <w:keepNext/>
              <w:spacing w:line="240" w:lineRule="auto"/>
              <w:jc w:val="center"/>
              <w:rPr>
                <w:rFonts w:ascii="Times New Roman" w:hAnsi="Times New Roman"/>
                <w:bCs/>
                <w:sz w:val="18"/>
                <w:szCs w:val="18"/>
              </w:rPr>
            </w:pPr>
            <w:r w:rsidRPr="000E2267">
              <w:rPr>
                <w:rFonts w:ascii="Times New Roman" w:hAnsi="Times New Roman"/>
                <w:bCs/>
                <w:sz w:val="18"/>
                <w:szCs w:val="18"/>
              </w:rPr>
              <w:t xml:space="preserve">Day </w:t>
            </w:r>
          </w:p>
          <w:p w14:paraId="29F0C458" w14:textId="77777777" w:rsidR="00731C16" w:rsidRPr="000E2267" w:rsidRDefault="00731C16" w:rsidP="00F04064">
            <w:pPr>
              <w:keepNext/>
              <w:spacing w:line="240" w:lineRule="auto"/>
              <w:jc w:val="center"/>
              <w:rPr>
                <w:rFonts w:ascii="Times New Roman" w:hAnsi="Times New Roman"/>
                <w:bCs/>
                <w:sz w:val="18"/>
                <w:szCs w:val="18"/>
              </w:rPr>
            </w:pPr>
            <w:r w:rsidRPr="000E2267">
              <w:rPr>
                <w:rFonts w:ascii="Times New Roman" w:hAnsi="Times New Roman"/>
                <w:bCs/>
                <w:sz w:val="18"/>
                <w:szCs w:val="18"/>
              </w:rPr>
              <w:t xml:space="preserve">63 </w:t>
            </w:r>
          </w:p>
          <w:p w14:paraId="6A78AA1C" w14:textId="14A93F76" w:rsidR="00731C16" w:rsidRPr="000E2267" w:rsidRDefault="00731C16" w:rsidP="00F04064">
            <w:pPr>
              <w:keepNext/>
              <w:spacing w:line="240" w:lineRule="auto"/>
              <w:jc w:val="center"/>
              <w:rPr>
                <w:rFonts w:ascii="Times New Roman" w:hAnsi="Times New Roman"/>
                <w:bCs/>
                <w:sz w:val="18"/>
                <w:szCs w:val="18"/>
              </w:rPr>
            </w:pPr>
            <w:r w:rsidRPr="000E2267">
              <w:rPr>
                <w:rFonts w:ascii="Times New Roman" w:hAnsi="Times New Roman"/>
                <w:bCs/>
                <w:sz w:val="18"/>
                <w:szCs w:val="18"/>
              </w:rPr>
              <w:t>(±1)</w:t>
            </w:r>
          </w:p>
        </w:tc>
        <w:tc>
          <w:tcPr>
            <w:tcW w:w="187" w:type="pct"/>
            <w:shd w:val="clear" w:color="auto" w:fill="E0E0E0"/>
          </w:tcPr>
          <w:p w14:paraId="3BF43D07" w14:textId="77777777" w:rsidR="00731C16" w:rsidRPr="000E2267" w:rsidRDefault="00731C16" w:rsidP="00F04064">
            <w:pPr>
              <w:keepNext/>
              <w:spacing w:line="240" w:lineRule="auto"/>
              <w:jc w:val="center"/>
              <w:rPr>
                <w:rFonts w:ascii="Times New Roman" w:hAnsi="Times New Roman"/>
                <w:bCs/>
                <w:sz w:val="18"/>
                <w:szCs w:val="18"/>
              </w:rPr>
            </w:pPr>
            <w:r w:rsidRPr="000E2267">
              <w:rPr>
                <w:rFonts w:ascii="Times New Roman" w:hAnsi="Times New Roman"/>
                <w:bCs/>
                <w:sz w:val="18"/>
                <w:szCs w:val="18"/>
              </w:rPr>
              <w:t xml:space="preserve">Day </w:t>
            </w:r>
          </w:p>
          <w:p w14:paraId="7CFE127B" w14:textId="23D600FF" w:rsidR="00731C16" w:rsidRPr="000E2267" w:rsidRDefault="00731C16" w:rsidP="00F04064">
            <w:pPr>
              <w:keepNext/>
              <w:spacing w:line="240" w:lineRule="auto"/>
              <w:jc w:val="center"/>
              <w:rPr>
                <w:rFonts w:ascii="Times New Roman" w:hAnsi="Times New Roman"/>
                <w:bCs/>
                <w:sz w:val="18"/>
                <w:szCs w:val="18"/>
              </w:rPr>
            </w:pPr>
            <w:r w:rsidRPr="000E2267">
              <w:rPr>
                <w:rFonts w:ascii="Times New Roman" w:hAnsi="Times New Roman"/>
                <w:bCs/>
                <w:sz w:val="18"/>
                <w:szCs w:val="18"/>
              </w:rPr>
              <w:t xml:space="preserve">70 </w:t>
            </w:r>
          </w:p>
          <w:p w14:paraId="3A17FD3C" w14:textId="77777777" w:rsidR="00731C16" w:rsidRPr="000E2267" w:rsidRDefault="00731C16" w:rsidP="00F04064">
            <w:pPr>
              <w:keepNext/>
              <w:spacing w:line="240" w:lineRule="auto"/>
              <w:jc w:val="center"/>
              <w:rPr>
                <w:rFonts w:ascii="Times New Roman" w:hAnsi="Times New Roman"/>
                <w:b/>
                <w:sz w:val="18"/>
                <w:szCs w:val="18"/>
              </w:rPr>
            </w:pPr>
            <w:r w:rsidRPr="000E2267">
              <w:rPr>
                <w:rFonts w:ascii="Times New Roman" w:hAnsi="Times New Roman"/>
                <w:bCs/>
                <w:sz w:val="18"/>
                <w:szCs w:val="18"/>
              </w:rPr>
              <w:t>(±1)</w:t>
            </w:r>
          </w:p>
        </w:tc>
        <w:tc>
          <w:tcPr>
            <w:tcW w:w="218" w:type="pct"/>
            <w:tcBorders>
              <w:right w:val="double" w:sz="4" w:space="0" w:color="auto"/>
            </w:tcBorders>
            <w:shd w:val="clear" w:color="auto" w:fill="E0E0E0"/>
          </w:tcPr>
          <w:p w14:paraId="63F10D1A" w14:textId="77777777" w:rsidR="00731C16" w:rsidRPr="000E2267" w:rsidRDefault="00731C16" w:rsidP="00F04064">
            <w:pPr>
              <w:keepNext/>
              <w:spacing w:line="240" w:lineRule="auto"/>
              <w:jc w:val="center"/>
              <w:rPr>
                <w:rFonts w:ascii="Times New Roman" w:hAnsi="Times New Roman"/>
                <w:b/>
                <w:sz w:val="18"/>
                <w:szCs w:val="18"/>
              </w:rPr>
            </w:pPr>
            <w:r w:rsidRPr="000E2267">
              <w:rPr>
                <w:rFonts w:ascii="Times New Roman" w:hAnsi="Times New Roman"/>
                <w:b/>
                <w:sz w:val="18"/>
                <w:szCs w:val="18"/>
              </w:rPr>
              <w:t xml:space="preserve">Day </w:t>
            </w:r>
          </w:p>
          <w:p w14:paraId="11E9F196" w14:textId="77777777" w:rsidR="00731C16" w:rsidRPr="000E2267" w:rsidRDefault="00731C16" w:rsidP="00F04064">
            <w:pPr>
              <w:keepNext/>
              <w:spacing w:line="240" w:lineRule="auto"/>
              <w:jc w:val="center"/>
              <w:rPr>
                <w:rFonts w:ascii="Times New Roman" w:hAnsi="Times New Roman"/>
                <w:b/>
                <w:sz w:val="18"/>
                <w:szCs w:val="18"/>
              </w:rPr>
            </w:pPr>
            <w:r w:rsidRPr="000E2267">
              <w:rPr>
                <w:rFonts w:ascii="Times New Roman" w:hAnsi="Times New Roman"/>
                <w:b/>
                <w:sz w:val="18"/>
                <w:szCs w:val="18"/>
              </w:rPr>
              <w:t xml:space="preserve">84 </w:t>
            </w:r>
          </w:p>
          <w:p w14:paraId="455AA6B6" w14:textId="56E5C4DB" w:rsidR="00731C16" w:rsidRPr="000E2267" w:rsidRDefault="00731C16" w:rsidP="00F04064">
            <w:pPr>
              <w:keepNext/>
              <w:spacing w:line="240" w:lineRule="auto"/>
              <w:jc w:val="center"/>
              <w:rPr>
                <w:rFonts w:ascii="Times New Roman" w:hAnsi="Times New Roman"/>
                <w:bCs/>
                <w:sz w:val="18"/>
                <w:szCs w:val="18"/>
              </w:rPr>
            </w:pPr>
            <w:r w:rsidRPr="000E2267">
              <w:rPr>
                <w:rFonts w:ascii="Times New Roman" w:hAnsi="Times New Roman"/>
                <w:b/>
                <w:sz w:val="18"/>
                <w:szCs w:val="18"/>
              </w:rPr>
              <w:t>(±3)</w:t>
            </w:r>
          </w:p>
        </w:tc>
        <w:tc>
          <w:tcPr>
            <w:tcW w:w="249" w:type="pct"/>
            <w:tcBorders>
              <w:left w:val="double" w:sz="4" w:space="0" w:color="auto"/>
            </w:tcBorders>
            <w:shd w:val="clear" w:color="auto" w:fill="F3F3F3"/>
          </w:tcPr>
          <w:p w14:paraId="47BDFCB2" w14:textId="77777777" w:rsidR="00731C16" w:rsidRPr="000E2267" w:rsidRDefault="00731C16" w:rsidP="00F04064">
            <w:pPr>
              <w:keepNext/>
              <w:spacing w:line="240" w:lineRule="auto"/>
              <w:jc w:val="center"/>
              <w:rPr>
                <w:rFonts w:ascii="Times New Roman" w:hAnsi="Times New Roman"/>
                <w:b/>
                <w:sz w:val="18"/>
                <w:szCs w:val="18"/>
              </w:rPr>
            </w:pPr>
            <w:r w:rsidRPr="000E2267">
              <w:rPr>
                <w:rFonts w:ascii="Times New Roman" w:hAnsi="Times New Roman"/>
                <w:b/>
                <w:sz w:val="18"/>
                <w:szCs w:val="18"/>
              </w:rPr>
              <w:t xml:space="preserve">Day </w:t>
            </w:r>
          </w:p>
          <w:p w14:paraId="707CFD35" w14:textId="77777777" w:rsidR="00731C16" w:rsidRPr="000E2267" w:rsidRDefault="00731C16" w:rsidP="00F04064">
            <w:pPr>
              <w:keepNext/>
              <w:spacing w:line="240" w:lineRule="auto"/>
              <w:jc w:val="center"/>
              <w:rPr>
                <w:rFonts w:ascii="Times New Roman" w:hAnsi="Times New Roman"/>
                <w:b/>
                <w:sz w:val="18"/>
                <w:szCs w:val="18"/>
              </w:rPr>
            </w:pPr>
            <w:r w:rsidRPr="000E2267">
              <w:rPr>
                <w:rFonts w:ascii="Times New Roman" w:hAnsi="Times New Roman"/>
                <w:b/>
                <w:sz w:val="18"/>
                <w:szCs w:val="18"/>
              </w:rPr>
              <w:t>112</w:t>
            </w:r>
            <w:r w:rsidRPr="000E2267">
              <w:rPr>
                <w:rFonts w:ascii="Times New Roman" w:hAnsi="Times New Roman"/>
                <w:sz w:val="18"/>
                <w:szCs w:val="18"/>
                <w:vertAlign w:val="superscript"/>
              </w:rPr>
              <w:t>7</w:t>
            </w:r>
            <w:r w:rsidRPr="000E2267">
              <w:rPr>
                <w:rFonts w:ascii="Times New Roman" w:hAnsi="Times New Roman"/>
                <w:b/>
                <w:sz w:val="18"/>
                <w:szCs w:val="18"/>
              </w:rPr>
              <w:t xml:space="preserve"> </w:t>
            </w:r>
          </w:p>
          <w:p w14:paraId="41BA6BA2" w14:textId="060AC7E1" w:rsidR="00731C16" w:rsidRPr="000E2267" w:rsidRDefault="00731C16" w:rsidP="00F04064">
            <w:pPr>
              <w:keepNext/>
              <w:spacing w:line="240" w:lineRule="auto"/>
              <w:jc w:val="center"/>
              <w:rPr>
                <w:rFonts w:ascii="Times New Roman" w:hAnsi="Times New Roman"/>
                <w:b/>
                <w:sz w:val="18"/>
                <w:szCs w:val="18"/>
              </w:rPr>
            </w:pPr>
            <w:r w:rsidRPr="000E2267">
              <w:rPr>
                <w:rFonts w:ascii="Times New Roman" w:hAnsi="Times New Roman"/>
                <w:b/>
                <w:sz w:val="18"/>
                <w:szCs w:val="18"/>
              </w:rPr>
              <w:t>(±5)</w:t>
            </w:r>
          </w:p>
        </w:tc>
        <w:tc>
          <w:tcPr>
            <w:tcW w:w="250" w:type="pct"/>
            <w:shd w:val="clear" w:color="auto" w:fill="F3F3F3"/>
          </w:tcPr>
          <w:p w14:paraId="66A2AC52" w14:textId="77777777" w:rsidR="00731C16" w:rsidRPr="000E2267" w:rsidRDefault="00731C16" w:rsidP="00F04064">
            <w:pPr>
              <w:keepNext/>
              <w:spacing w:line="240" w:lineRule="auto"/>
              <w:jc w:val="center"/>
              <w:rPr>
                <w:rFonts w:ascii="Times New Roman" w:hAnsi="Times New Roman"/>
                <w:b/>
                <w:sz w:val="18"/>
                <w:szCs w:val="18"/>
              </w:rPr>
            </w:pPr>
            <w:r w:rsidRPr="000E2267">
              <w:rPr>
                <w:rFonts w:ascii="Times New Roman" w:hAnsi="Times New Roman"/>
                <w:b/>
                <w:sz w:val="18"/>
                <w:szCs w:val="18"/>
              </w:rPr>
              <w:t xml:space="preserve">Day </w:t>
            </w:r>
          </w:p>
          <w:p w14:paraId="7701767E" w14:textId="09B9BEBA" w:rsidR="00731C16" w:rsidRPr="000E2267" w:rsidRDefault="00731C16" w:rsidP="00F04064">
            <w:pPr>
              <w:keepNext/>
              <w:spacing w:line="240" w:lineRule="auto"/>
              <w:jc w:val="center"/>
              <w:rPr>
                <w:rFonts w:ascii="Times New Roman" w:hAnsi="Times New Roman"/>
                <w:b/>
                <w:sz w:val="18"/>
                <w:szCs w:val="18"/>
              </w:rPr>
            </w:pPr>
            <w:r w:rsidRPr="000E2267">
              <w:rPr>
                <w:rFonts w:ascii="Times New Roman" w:hAnsi="Times New Roman"/>
                <w:b/>
                <w:sz w:val="18"/>
                <w:szCs w:val="18"/>
              </w:rPr>
              <w:t>168</w:t>
            </w:r>
            <w:r w:rsidRPr="000E2267">
              <w:rPr>
                <w:rFonts w:ascii="Times New Roman" w:hAnsi="Times New Roman"/>
                <w:sz w:val="18"/>
                <w:szCs w:val="18"/>
                <w:vertAlign w:val="superscript"/>
              </w:rPr>
              <w:t>7</w:t>
            </w:r>
            <w:r w:rsidRPr="000E2267">
              <w:rPr>
                <w:rFonts w:ascii="Times New Roman" w:hAnsi="Times New Roman"/>
                <w:b/>
                <w:sz w:val="18"/>
                <w:szCs w:val="18"/>
              </w:rPr>
              <w:t xml:space="preserve"> </w:t>
            </w:r>
          </w:p>
          <w:p w14:paraId="27C005B0" w14:textId="0E2BB1E5" w:rsidR="00731C16" w:rsidRPr="000E2267" w:rsidRDefault="00731C16" w:rsidP="00F04064">
            <w:pPr>
              <w:keepNext/>
              <w:spacing w:line="240" w:lineRule="auto"/>
              <w:jc w:val="center"/>
              <w:rPr>
                <w:rFonts w:ascii="Times New Roman" w:hAnsi="Times New Roman"/>
                <w:b/>
                <w:sz w:val="18"/>
                <w:szCs w:val="18"/>
              </w:rPr>
            </w:pPr>
            <w:r w:rsidRPr="000E2267">
              <w:rPr>
                <w:rFonts w:ascii="Times New Roman" w:hAnsi="Times New Roman"/>
                <w:b/>
                <w:sz w:val="18"/>
                <w:szCs w:val="18"/>
              </w:rPr>
              <w:t>(±10)</w:t>
            </w:r>
          </w:p>
        </w:tc>
        <w:tc>
          <w:tcPr>
            <w:tcW w:w="223" w:type="pct"/>
            <w:tcBorders>
              <w:right w:val="double" w:sz="4" w:space="0" w:color="auto"/>
            </w:tcBorders>
            <w:shd w:val="clear" w:color="auto" w:fill="F3F3F3"/>
          </w:tcPr>
          <w:p w14:paraId="35D69F7E" w14:textId="77777777" w:rsidR="00731C16" w:rsidRPr="000E2267" w:rsidRDefault="00731C16" w:rsidP="00F04064">
            <w:pPr>
              <w:keepNext/>
              <w:spacing w:line="240" w:lineRule="auto"/>
              <w:jc w:val="center"/>
              <w:rPr>
                <w:rFonts w:ascii="Times New Roman" w:hAnsi="Times New Roman"/>
                <w:b/>
                <w:sz w:val="18"/>
                <w:szCs w:val="18"/>
              </w:rPr>
            </w:pPr>
            <w:r w:rsidRPr="000E2267">
              <w:rPr>
                <w:rFonts w:ascii="Times New Roman" w:hAnsi="Times New Roman"/>
                <w:b/>
                <w:sz w:val="18"/>
                <w:szCs w:val="18"/>
              </w:rPr>
              <w:t xml:space="preserve">Day </w:t>
            </w:r>
          </w:p>
          <w:p w14:paraId="2F6B9248" w14:textId="05B167EA" w:rsidR="00731C16" w:rsidRPr="000E2267" w:rsidRDefault="00731C16" w:rsidP="00F04064">
            <w:pPr>
              <w:keepNext/>
              <w:spacing w:line="240" w:lineRule="auto"/>
              <w:jc w:val="center"/>
              <w:rPr>
                <w:rFonts w:ascii="Times New Roman" w:hAnsi="Times New Roman"/>
                <w:b/>
                <w:bCs/>
                <w:sz w:val="18"/>
                <w:szCs w:val="18"/>
              </w:rPr>
            </w:pPr>
            <w:r w:rsidRPr="000E2267">
              <w:rPr>
                <w:rFonts w:ascii="Times New Roman" w:hAnsi="Times New Roman"/>
                <w:b/>
                <w:sz w:val="18"/>
                <w:szCs w:val="18"/>
              </w:rPr>
              <w:t xml:space="preserve">224 </w:t>
            </w:r>
            <w:r w:rsidRPr="000E2267">
              <w:rPr>
                <w:rFonts w:ascii="Times New Roman" w:hAnsi="Times New Roman"/>
                <w:b/>
                <w:sz w:val="18"/>
                <w:szCs w:val="18"/>
              </w:rPr>
              <w:br/>
              <w:t>(±10)</w:t>
            </w:r>
          </w:p>
        </w:tc>
      </w:tr>
      <w:tr w:rsidR="00731C16" w:rsidRPr="000E2267" w14:paraId="06C41339" w14:textId="77777777" w:rsidTr="008A3264">
        <w:trPr>
          <w:trHeight w:val="288"/>
        </w:trPr>
        <w:tc>
          <w:tcPr>
            <w:tcW w:w="720" w:type="pct"/>
            <w:tcBorders>
              <w:left w:val="double" w:sz="4" w:space="0" w:color="auto"/>
              <w:right w:val="double" w:sz="4" w:space="0" w:color="auto"/>
            </w:tcBorders>
            <w:vAlign w:val="center"/>
          </w:tcPr>
          <w:p w14:paraId="05249063" w14:textId="688E39A5"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Informed Consent(s)</w:t>
            </w:r>
          </w:p>
        </w:tc>
        <w:tc>
          <w:tcPr>
            <w:tcW w:w="310" w:type="pct"/>
            <w:tcBorders>
              <w:left w:val="double" w:sz="4" w:space="0" w:color="auto"/>
            </w:tcBorders>
            <w:shd w:val="clear" w:color="auto" w:fill="FFFFFF"/>
            <w:vAlign w:val="center"/>
          </w:tcPr>
          <w:p w14:paraId="66C3DCE3"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2" w:type="pct"/>
            <w:tcBorders>
              <w:left w:val="single" w:sz="4" w:space="0" w:color="auto"/>
              <w:right w:val="single" w:sz="4" w:space="0" w:color="auto"/>
            </w:tcBorders>
            <w:vAlign w:val="center"/>
          </w:tcPr>
          <w:p w14:paraId="4FC67248" w14:textId="77777777" w:rsidR="00731C16" w:rsidRPr="000E2267" w:rsidRDefault="00731C16" w:rsidP="00A441DA">
            <w:pPr>
              <w:keepNext/>
              <w:spacing w:line="240" w:lineRule="auto"/>
              <w:jc w:val="center"/>
              <w:rPr>
                <w:rFonts w:ascii="Times New Roman" w:hAnsi="Times New Roman"/>
                <w:sz w:val="18"/>
                <w:szCs w:val="18"/>
              </w:rPr>
            </w:pPr>
          </w:p>
        </w:tc>
        <w:tc>
          <w:tcPr>
            <w:tcW w:w="373" w:type="pct"/>
            <w:tcBorders>
              <w:left w:val="single" w:sz="4" w:space="0" w:color="auto"/>
              <w:right w:val="double" w:sz="4" w:space="0" w:color="auto"/>
            </w:tcBorders>
            <w:vAlign w:val="center"/>
          </w:tcPr>
          <w:p w14:paraId="02FDCFC7" w14:textId="2D9F3524" w:rsidR="00731C16" w:rsidRPr="000E2267" w:rsidRDefault="00731C16" w:rsidP="00A441DA">
            <w:pPr>
              <w:keepNext/>
              <w:spacing w:line="240" w:lineRule="auto"/>
              <w:jc w:val="center"/>
              <w:rPr>
                <w:rFonts w:ascii="Times New Roman" w:hAnsi="Times New Roman"/>
                <w:sz w:val="18"/>
                <w:szCs w:val="18"/>
              </w:rPr>
            </w:pPr>
          </w:p>
        </w:tc>
        <w:tc>
          <w:tcPr>
            <w:tcW w:w="185" w:type="pct"/>
            <w:tcBorders>
              <w:left w:val="double" w:sz="4" w:space="0" w:color="auto"/>
            </w:tcBorders>
            <w:vAlign w:val="center"/>
          </w:tcPr>
          <w:p w14:paraId="5E18BA91" w14:textId="77777777" w:rsidR="00731C16" w:rsidRPr="000E2267" w:rsidRDefault="00731C16" w:rsidP="00A441DA">
            <w:pPr>
              <w:keepNext/>
              <w:spacing w:line="240" w:lineRule="auto"/>
              <w:jc w:val="center"/>
              <w:rPr>
                <w:rFonts w:ascii="Times New Roman" w:hAnsi="Times New Roman"/>
                <w:sz w:val="18"/>
                <w:szCs w:val="18"/>
              </w:rPr>
            </w:pPr>
          </w:p>
        </w:tc>
        <w:tc>
          <w:tcPr>
            <w:tcW w:w="198" w:type="pct"/>
            <w:vAlign w:val="center"/>
          </w:tcPr>
          <w:p w14:paraId="75BA2C22"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023C14EF"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55FBBC9C" w14:textId="77777777" w:rsidR="00731C16" w:rsidRPr="000E2267" w:rsidRDefault="00731C16" w:rsidP="00A441DA">
            <w:pPr>
              <w:keepNext/>
              <w:spacing w:line="240" w:lineRule="auto"/>
              <w:jc w:val="center"/>
              <w:rPr>
                <w:rFonts w:ascii="Times New Roman" w:hAnsi="Times New Roman"/>
                <w:sz w:val="18"/>
                <w:szCs w:val="18"/>
              </w:rPr>
            </w:pPr>
          </w:p>
        </w:tc>
        <w:tc>
          <w:tcPr>
            <w:tcW w:w="218" w:type="pct"/>
            <w:vAlign w:val="center"/>
          </w:tcPr>
          <w:p w14:paraId="0BB881C6"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405741F3"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6E89E9E1" w14:textId="77777777" w:rsidR="00731C16" w:rsidRPr="000E2267" w:rsidRDefault="00731C16" w:rsidP="00A441DA">
            <w:pPr>
              <w:keepNext/>
              <w:spacing w:line="240" w:lineRule="auto"/>
              <w:jc w:val="center"/>
              <w:rPr>
                <w:rFonts w:ascii="Times New Roman" w:hAnsi="Times New Roman"/>
                <w:sz w:val="18"/>
                <w:szCs w:val="18"/>
              </w:rPr>
            </w:pPr>
          </w:p>
        </w:tc>
        <w:tc>
          <w:tcPr>
            <w:tcW w:w="187" w:type="pct"/>
            <w:shd w:val="clear" w:color="auto" w:fill="FFFF00"/>
            <w:vAlign w:val="center"/>
          </w:tcPr>
          <w:p w14:paraId="357F97D3" w14:textId="6969679B" w:rsidR="00731C16" w:rsidRPr="000E2267" w:rsidRDefault="00731C16" w:rsidP="00A441DA">
            <w:pPr>
              <w:keepNext/>
              <w:spacing w:line="240" w:lineRule="auto"/>
              <w:jc w:val="center"/>
              <w:rPr>
                <w:rFonts w:ascii="Times New Roman" w:hAnsi="Times New Roman"/>
                <w:sz w:val="18"/>
                <w:szCs w:val="18"/>
              </w:rPr>
            </w:pPr>
          </w:p>
        </w:tc>
        <w:tc>
          <w:tcPr>
            <w:tcW w:w="219" w:type="pct"/>
            <w:vAlign w:val="center"/>
          </w:tcPr>
          <w:p w14:paraId="7AF03A63" w14:textId="77777777" w:rsidR="00731C16" w:rsidRPr="000E2267" w:rsidRDefault="00731C16" w:rsidP="00A441DA">
            <w:pPr>
              <w:keepNext/>
              <w:spacing w:line="240" w:lineRule="auto"/>
              <w:jc w:val="center"/>
              <w:rPr>
                <w:rFonts w:ascii="Times New Roman" w:hAnsi="Times New Roman"/>
                <w:sz w:val="18"/>
                <w:szCs w:val="18"/>
              </w:rPr>
            </w:pPr>
          </w:p>
        </w:tc>
        <w:tc>
          <w:tcPr>
            <w:tcW w:w="187" w:type="pct"/>
            <w:vAlign w:val="center"/>
          </w:tcPr>
          <w:p w14:paraId="6CFCE5C4"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3D078F82" w14:textId="77777777" w:rsidR="00731C16" w:rsidRPr="000E2267" w:rsidRDefault="00731C16" w:rsidP="00A441DA">
            <w:pPr>
              <w:keepNext/>
              <w:spacing w:line="240" w:lineRule="auto"/>
              <w:jc w:val="center"/>
              <w:rPr>
                <w:rFonts w:ascii="Times New Roman" w:hAnsi="Times New Roman"/>
                <w:sz w:val="18"/>
                <w:szCs w:val="18"/>
              </w:rPr>
            </w:pPr>
          </w:p>
        </w:tc>
        <w:tc>
          <w:tcPr>
            <w:tcW w:w="187" w:type="pct"/>
            <w:vAlign w:val="center"/>
          </w:tcPr>
          <w:p w14:paraId="66193914" w14:textId="77777777" w:rsidR="00731C16" w:rsidRPr="000E2267" w:rsidRDefault="00731C16" w:rsidP="00A441DA">
            <w:pPr>
              <w:keepNext/>
              <w:spacing w:line="240" w:lineRule="auto"/>
              <w:jc w:val="center"/>
              <w:rPr>
                <w:rFonts w:ascii="Times New Roman" w:hAnsi="Times New Roman"/>
                <w:sz w:val="18"/>
                <w:szCs w:val="18"/>
              </w:rPr>
            </w:pPr>
          </w:p>
        </w:tc>
        <w:tc>
          <w:tcPr>
            <w:tcW w:w="218" w:type="pct"/>
            <w:tcBorders>
              <w:right w:val="double" w:sz="4" w:space="0" w:color="auto"/>
            </w:tcBorders>
            <w:vAlign w:val="center"/>
          </w:tcPr>
          <w:p w14:paraId="70AF9FB6" w14:textId="77777777" w:rsidR="00731C16" w:rsidRPr="000E2267" w:rsidRDefault="00731C16" w:rsidP="00A441DA">
            <w:pPr>
              <w:keepNext/>
              <w:spacing w:line="240" w:lineRule="auto"/>
              <w:jc w:val="center"/>
              <w:rPr>
                <w:rFonts w:ascii="Times New Roman" w:hAnsi="Times New Roman"/>
                <w:sz w:val="18"/>
                <w:szCs w:val="18"/>
              </w:rPr>
            </w:pPr>
          </w:p>
        </w:tc>
        <w:tc>
          <w:tcPr>
            <w:tcW w:w="249" w:type="pct"/>
            <w:tcBorders>
              <w:left w:val="double" w:sz="4" w:space="0" w:color="auto"/>
            </w:tcBorders>
            <w:vAlign w:val="center"/>
          </w:tcPr>
          <w:p w14:paraId="1C8EF517" w14:textId="77777777" w:rsidR="00731C16" w:rsidRPr="000E2267" w:rsidRDefault="00731C16" w:rsidP="00A441DA">
            <w:pPr>
              <w:keepNext/>
              <w:spacing w:line="240" w:lineRule="auto"/>
              <w:jc w:val="center"/>
              <w:rPr>
                <w:rFonts w:ascii="Times New Roman" w:hAnsi="Times New Roman"/>
                <w:sz w:val="18"/>
                <w:szCs w:val="18"/>
              </w:rPr>
            </w:pPr>
          </w:p>
        </w:tc>
        <w:tc>
          <w:tcPr>
            <w:tcW w:w="250" w:type="pct"/>
            <w:vAlign w:val="center"/>
          </w:tcPr>
          <w:p w14:paraId="335D4374" w14:textId="77777777" w:rsidR="00731C16" w:rsidRPr="000E2267" w:rsidRDefault="00731C16" w:rsidP="00A441DA">
            <w:pPr>
              <w:keepNext/>
              <w:spacing w:line="240" w:lineRule="auto"/>
              <w:jc w:val="center"/>
              <w:rPr>
                <w:rFonts w:ascii="Times New Roman" w:hAnsi="Times New Roman"/>
                <w:sz w:val="18"/>
                <w:szCs w:val="18"/>
              </w:rPr>
            </w:pPr>
          </w:p>
        </w:tc>
        <w:tc>
          <w:tcPr>
            <w:tcW w:w="223" w:type="pct"/>
            <w:tcBorders>
              <w:right w:val="double" w:sz="4" w:space="0" w:color="auto"/>
            </w:tcBorders>
            <w:vAlign w:val="center"/>
          </w:tcPr>
          <w:p w14:paraId="1EA04D59" w14:textId="77777777" w:rsidR="00731C16" w:rsidRPr="000E2267" w:rsidRDefault="00731C16" w:rsidP="00A441DA">
            <w:pPr>
              <w:keepNext/>
              <w:spacing w:line="240" w:lineRule="auto"/>
              <w:jc w:val="center"/>
              <w:rPr>
                <w:rFonts w:ascii="Times New Roman" w:hAnsi="Times New Roman"/>
                <w:sz w:val="18"/>
                <w:szCs w:val="18"/>
              </w:rPr>
            </w:pPr>
          </w:p>
        </w:tc>
      </w:tr>
      <w:tr w:rsidR="00731C16" w:rsidRPr="000E2267" w14:paraId="77FFD448" w14:textId="77777777" w:rsidTr="008A3264">
        <w:trPr>
          <w:trHeight w:val="288"/>
        </w:trPr>
        <w:tc>
          <w:tcPr>
            <w:tcW w:w="720" w:type="pct"/>
            <w:tcBorders>
              <w:left w:val="double" w:sz="4" w:space="0" w:color="auto"/>
              <w:right w:val="double" w:sz="4" w:space="0" w:color="auto"/>
            </w:tcBorders>
            <w:vAlign w:val="center"/>
          </w:tcPr>
          <w:p w14:paraId="2B22148D" w14:textId="77777777"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Inclusion/Exclusion Criteria</w:t>
            </w:r>
          </w:p>
        </w:tc>
        <w:tc>
          <w:tcPr>
            <w:tcW w:w="310" w:type="pct"/>
            <w:tcBorders>
              <w:left w:val="double" w:sz="4" w:space="0" w:color="auto"/>
            </w:tcBorders>
            <w:shd w:val="clear" w:color="auto" w:fill="FFFFFF"/>
            <w:vAlign w:val="center"/>
          </w:tcPr>
          <w:p w14:paraId="557B2A75"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2" w:type="pct"/>
            <w:tcBorders>
              <w:left w:val="single" w:sz="4" w:space="0" w:color="auto"/>
              <w:right w:val="single" w:sz="4" w:space="0" w:color="auto"/>
            </w:tcBorders>
            <w:vAlign w:val="center"/>
          </w:tcPr>
          <w:p w14:paraId="4D9A258B" w14:textId="37F833B0"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3" w:type="pct"/>
            <w:tcBorders>
              <w:left w:val="single" w:sz="4" w:space="0" w:color="auto"/>
              <w:right w:val="double" w:sz="4" w:space="0" w:color="auto"/>
            </w:tcBorders>
            <w:vAlign w:val="center"/>
          </w:tcPr>
          <w:p w14:paraId="71189E0C" w14:textId="767ADA15"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5" w:type="pct"/>
            <w:tcBorders>
              <w:left w:val="double" w:sz="4" w:space="0" w:color="auto"/>
            </w:tcBorders>
            <w:vAlign w:val="center"/>
          </w:tcPr>
          <w:p w14:paraId="58742081"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98" w:type="pct"/>
            <w:vAlign w:val="center"/>
          </w:tcPr>
          <w:p w14:paraId="7A0FCF26"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4B8AE049"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29CB378C" w14:textId="77777777" w:rsidR="00731C16" w:rsidRPr="000E2267" w:rsidRDefault="00731C16" w:rsidP="00A441DA">
            <w:pPr>
              <w:keepNext/>
              <w:spacing w:line="240" w:lineRule="auto"/>
              <w:jc w:val="center"/>
              <w:rPr>
                <w:rFonts w:ascii="Times New Roman" w:hAnsi="Times New Roman"/>
                <w:sz w:val="18"/>
                <w:szCs w:val="18"/>
              </w:rPr>
            </w:pPr>
          </w:p>
        </w:tc>
        <w:tc>
          <w:tcPr>
            <w:tcW w:w="218" w:type="pct"/>
            <w:vAlign w:val="center"/>
          </w:tcPr>
          <w:p w14:paraId="338FA604"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28E0C424"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51D16701" w14:textId="77777777" w:rsidR="00731C16" w:rsidRPr="000E2267" w:rsidRDefault="00731C16" w:rsidP="00A441DA">
            <w:pPr>
              <w:keepNext/>
              <w:spacing w:line="240" w:lineRule="auto"/>
              <w:jc w:val="center"/>
              <w:rPr>
                <w:rFonts w:ascii="Times New Roman" w:hAnsi="Times New Roman"/>
                <w:sz w:val="18"/>
                <w:szCs w:val="18"/>
              </w:rPr>
            </w:pPr>
          </w:p>
        </w:tc>
        <w:tc>
          <w:tcPr>
            <w:tcW w:w="187" w:type="pct"/>
            <w:shd w:val="clear" w:color="auto" w:fill="FFFF00"/>
            <w:vAlign w:val="center"/>
          </w:tcPr>
          <w:p w14:paraId="741EC654" w14:textId="1B12994C" w:rsidR="00731C16" w:rsidRPr="000E2267" w:rsidRDefault="00731C16" w:rsidP="00A441DA">
            <w:pPr>
              <w:keepNext/>
              <w:spacing w:line="240" w:lineRule="auto"/>
              <w:jc w:val="center"/>
              <w:rPr>
                <w:rFonts w:ascii="Times New Roman" w:hAnsi="Times New Roman"/>
                <w:sz w:val="18"/>
                <w:szCs w:val="18"/>
              </w:rPr>
            </w:pPr>
          </w:p>
        </w:tc>
        <w:tc>
          <w:tcPr>
            <w:tcW w:w="219" w:type="pct"/>
            <w:vAlign w:val="center"/>
          </w:tcPr>
          <w:p w14:paraId="5BAB87DD" w14:textId="2A35A7CB"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5E881328"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2553D8A0" w14:textId="77777777" w:rsidR="00731C16" w:rsidRPr="000E2267" w:rsidRDefault="00731C16" w:rsidP="00A441DA">
            <w:pPr>
              <w:keepNext/>
              <w:spacing w:line="240" w:lineRule="auto"/>
              <w:jc w:val="center"/>
              <w:rPr>
                <w:rFonts w:ascii="Times New Roman" w:hAnsi="Times New Roman"/>
                <w:sz w:val="18"/>
                <w:szCs w:val="18"/>
              </w:rPr>
            </w:pPr>
          </w:p>
        </w:tc>
        <w:tc>
          <w:tcPr>
            <w:tcW w:w="187" w:type="pct"/>
            <w:vAlign w:val="center"/>
          </w:tcPr>
          <w:p w14:paraId="1CAA259A" w14:textId="77777777" w:rsidR="00731C16" w:rsidRPr="000E2267" w:rsidRDefault="00731C16" w:rsidP="00A441DA">
            <w:pPr>
              <w:keepNext/>
              <w:spacing w:line="240" w:lineRule="auto"/>
              <w:jc w:val="center"/>
              <w:rPr>
                <w:rFonts w:ascii="Times New Roman" w:hAnsi="Times New Roman"/>
                <w:sz w:val="18"/>
                <w:szCs w:val="18"/>
              </w:rPr>
            </w:pPr>
          </w:p>
        </w:tc>
        <w:tc>
          <w:tcPr>
            <w:tcW w:w="218" w:type="pct"/>
            <w:tcBorders>
              <w:right w:val="double" w:sz="4" w:space="0" w:color="auto"/>
            </w:tcBorders>
            <w:vAlign w:val="center"/>
          </w:tcPr>
          <w:p w14:paraId="4671569E" w14:textId="77777777" w:rsidR="00731C16" w:rsidRPr="000E2267" w:rsidRDefault="00731C16" w:rsidP="00A441DA">
            <w:pPr>
              <w:keepNext/>
              <w:spacing w:line="240" w:lineRule="auto"/>
              <w:jc w:val="center"/>
              <w:rPr>
                <w:rFonts w:ascii="Times New Roman" w:hAnsi="Times New Roman"/>
                <w:sz w:val="18"/>
                <w:szCs w:val="18"/>
              </w:rPr>
            </w:pPr>
          </w:p>
        </w:tc>
        <w:tc>
          <w:tcPr>
            <w:tcW w:w="249" w:type="pct"/>
            <w:tcBorders>
              <w:left w:val="double" w:sz="4" w:space="0" w:color="auto"/>
            </w:tcBorders>
            <w:vAlign w:val="center"/>
          </w:tcPr>
          <w:p w14:paraId="0514C4CB" w14:textId="77777777" w:rsidR="00731C16" w:rsidRPr="000E2267" w:rsidRDefault="00731C16" w:rsidP="00A441DA">
            <w:pPr>
              <w:keepNext/>
              <w:spacing w:line="240" w:lineRule="auto"/>
              <w:jc w:val="center"/>
              <w:rPr>
                <w:rFonts w:ascii="Times New Roman" w:hAnsi="Times New Roman"/>
                <w:sz w:val="18"/>
                <w:szCs w:val="18"/>
              </w:rPr>
            </w:pPr>
          </w:p>
        </w:tc>
        <w:tc>
          <w:tcPr>
            <w:tcW w:w="250" w:type="pct"/>
            <w:vAlign w:val="center"/>
          </w:tcPr>
          <w:p w14:paraId="08CE479D" w14:textId="77777777" w:rsidR="00731C16" w:rsidRPr="000E2267" w:rsidRDefault="00731C16" w:rsidP="00A441DA">
            <w:pPr>
              <w:keepNext/>
              <w:spacing w:line="240" w:lineRule="auto"/>
              <w:jc w:val="center"/>
              <w:rPr>
                <w:rFonts w:ascii="Times New Roman" w:hAnsi="Times New Roman"/>
                <w:sz w:val="18"/>
                <w:szCs w:val="18"/>
              </w:rPr>
            </w:pPr>
          </w:p>
        </w:tc>
        <w:tc>
          <w:tcPr>
            <w:tcW w:w="223" w:type="pct"/>
            <w:tcBorders>
              <w:right w:val="double" w:sz="4" w:space="0" w:color="auto"/>
            </w:tcBorders>
            <w:vAlign w:val="center"/>
          </w:tcPr>
          <w:p w14:paraId="0329DC94" w14:textId="77777777" w:rsidR="00731C16" w:rsidRPr="000E2267" w:rsidRDefault="00731C16" w:rsidP="00A441DA">
            <w:pPr>
              <w:keepNext/>
              <w:spacing w:line="240" w:lineRule="auto"/>
              <w:jc w:val="center"/>
              <w:rPr>
                <w:rFonts w:ascii="Times New Roman" w:hAnsi="Times New Roman"/>
                <w:sz w:val="18"/>
                <w:szCs w:val="18"/>
              </w:rPr>
            </w:pPr>
          </w:p>
        </w:tc>
      </w:tr>
      <w:tr w:rsidR="00731C16" w:rsidRPr="000E2267" w14:paraId="4C23F0AA" w14:textId="77777777" w:rsidTr="008A3264">
        <w:trPr>
          <w:trHeight w:val="288"/>
        </w:trPr>
        <w:tc>
          <w:tcPr>
            <w:tcW w:w="720" w:type="pct"/>
            <w:tcBorders>
              <w:left w:val="double" w:sz="4" w:space="0" w:color="auto"/>
              <w:right w:val="double" w:sz="4" w:space="0" w:color="auto"/>
            </w:tcBorders>
            <w:vAlign w:val="center"/>
          </w:tcPr>
          <w:p w14:paraId="2C7FC90B" w14:textId="77777777"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Medical History</w:t>
            </w:r>
          </w:p>
        </w:tc>
        <w:tc>
          <w:tcPr>
            <w:tcW w:w="310" w:type="pct"/>
            <w:tcBorders>
              <w:left w:val="double" w:sz="4" w:space="0" w:color="auto"/>
            </w:tcBorders>
            <w:shd w:val="clear" w:color="auto" w:fill="FFFFFF"/>
            <w:vAlign w:val="center"/>
          </w:tcPr>
          <w:p w14:paraId="3D507134" w14:textId="6A354E7E"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2" w:type="pct"/>
            <w:tcBorders>
              <w:left w:val="single" w:sz="4" w:space="0" w:color="auto"/>
              <w:right w:val="single" w:sz="4" w:space="0" w:color="auto"/>
            </w:tcBorders>
            <w:vAlign w:val="center"/>
          </w:tcPr>
          <w:p w14:paraId="30F140D1" w14:textId="21F93F5B"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3" w:type="pct"/>
            <w:tcBorders>
              <w:left w:val="single" w:sz="4" w:space="0" w:color="auto"/>
              <w:right w:val="double" w:sz="4" w:space="0" w:color="auto"/>
            </w:tcBorders>
            <w:vAlign w:val="center"/>
          </w:tcPr>
          <w:p w14:paraId="5213B94C" w14:textId="10D6A9FA"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5" w:type="pct"/>
            <w:tcBorders>
              <w:left w:val="double" w:sz="4" w:space="0" w:color="auto"/>
            </w:tcBorders>
            <w:vAlign w:val="center"/>
          </w:tcPr>
          <w:p w14:paraId="59B8778B" w14:textId="262A230F"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98" w:type="pct"/>
            <w:vAlign w:val="center"/>
          </w:tcPr>
          <w:p w14:paraId="14CEEEA8"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61A670BB"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493F9DA2" w14:textId="77777777" w:rsidR="00731C16" w:rsidRPr="000E2267" w:rsidRDefault="00731C16" w:rsidP="00A441DA">
            <w:pPr>
              <w:keepNext/>
              <w:spacing w:line="240" w:lineRule="auto"/>
              <w:jc w:val="center"/>
              <w:rPr>
                <w:rFonts w:ascii="Times New Roman" w:hAnsi="Times New Roman"/>
                <w:sz w:val="18"/>
                <w:szCs w:val="18"/>
              </w:rPr>
            </w:pPr>
          </w:p>
        </w:tc>
        <w:tc>
          <w:tcPr>
            <w:tcW w:w="218" w:type="pct"/>
            <w:vAlign w:val="center"/>
          </w:tcPr>
          <w:p w14:paraId="4FE0495D"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6A6B66C0"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3551B828" w14:textId="77777777" w:rsidR="00731C16" w:rsidRPr="000E2267" w:rsidRDefault="00731C16" w:rsidP="00A441DA">
            <w:pPr>
              <w:keepNext/>
              <w:spacing w:line="240" w:lineRule="auto"/>
              <w:jc w:val="center"/>
              <w:rPr>
                <w:rFonts w:ascii="Times New Roman" w:hAnsi="Times New Roman"/>
                <w:sz w:val="18"/>
                <w:szCs w:val="18"/>
              </w:rPr>
            </w:pPr>
          </w:p>
        </w:tc>
        <w:tc>
          <w:tcPr>
            <w:tcW w:w="187" w:type="pct"/>
            <w:shd w:val="clear" w:color="auto" w:fill="FFFF00"/>
            <w:vAlign w:val="center"/>
          </w:tcPr>
          <w:p w14:paraId="288F38AE" w14:textId="40030B96" w:rsidR="00731C16" w:rsidRPr="000E2267" w:rsidRDefault="00731C16" w:rsidP="00A441DA">
            <w:pPr>
              <w:keepNext/>
              <w:spacing w:line="240" w:lineRule="auto"/>
              <w:jc w:val="center"/>
              <w:rPr>
                <w:rFonts w:ascii="Times New Roman" w:hAnsi="Times New Roman"/>
                <w:sz w:val="18"/>
                <w:szCs w:val="18"/>
              </w:rPr>
            </w:pPr>
          </w:p>
        </w:tc>
        <w:tc>
          <w:tcPr>
            <w:tcW w:w="219" w:type="pct"/>
            <w:vAlign w:val="center"/>
          </w:tcPr>
          <w:p w14:paraId="197E231C" w14:textId="77777777" w:rsidR="00731C16" w:rsidRPr="000E2267" w:rsidRDefault="00731C16" w:rsidP="00A441DA">
            <w:pPr>
              <w:keepNext/>
              <w:spacing w:line="240" w:lineRule="auto"/>
              <w:jc w:val="center"/>
              <w:rPr>
                <w:rFonts w:ascii="Times New Roman" w:hAnsi="Times New Roman"/>
                <w:sz w:val="18"/>
                <w:szCs w:val="18"/>
              </w:rPr>
            </w:pPr>
          </w:p>
        </w:tc>
        <w:tc>
          <w:tcPr>
            <w:tcW w:w="187" w:type="pct"/>
            <w:vAlign w:val="center"/>
          </w:tcPr>
          <w:p w14:paraId="1715AFFB"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360CFC9D" w14:textId="77777777" w:rsidR="00731C16" w:rsidRPr="000E2267" w:rsidRDefault="00731C16" w:rsidP="00A441DA">
            <w:pPr>
              <w:keepNext/>
              <w:spacing w:line="240" w:lineRule="auto"/>
              <w:jc w:val="center"/>
              <w:rPr>
                <w:rFonts w:ascii="Times New Roman" w:hAnsi="Times New Roman"/>
                <w:sz w:val="18"/>
                <w:szCs w:val="18"/>
              </w:rPr>
            </w:pPr>
          </w:p>
        </w:tc>
        <w:tc>
          <w:tcPr>
            <w:tcW w:w="187" w:type="pct"/>
            <w:vAlign w:val="center"/>
          </w:tcPr>
          <w:p w14:paraId="2B43D101" w14:textId="77777777" w:rsidR="00731C16" w:rsidRPr="000E2267" w:rsidRDefault="00731C16" w:rsidP="00A441DA">
            <w:pPr>
              <w:keepNext/>
              <w:spacing w:line="240" w:lineRule="auto"/>
              <w:jc w:val="center"/>
              <w:rPr>
                <w:rFonts w:ascii="Times New Roman" w:hAnsi="Times New Roman"/>
                <w:sz w:val="18"/>
                <w:szCs w:val="18"/>
              </w:rPr>
            </w:pPr>
          </w:p>
        </w:tc>
        <w:tc>
          <w:tcPr>
            <w:tcW w:w="218" w:type="pct"/>
            <w:tcBorders>
              <w:right w:val="double" w:sz="4" w:space="0" w:color="auto"/>
            </w:tcBorders>
            <w:vAlign w:val="center"/>
          </w:tcPr>
          <w:p w14:paraId="63B5CF27" w14:textId="77777777" w:rsidR="00731C16" w:rsidRPr="000E2267" w:rsidRDefault="00731C16" w:rsidP="00A441DA">
            <w:pPr>
              <w:keepNext/>
              <w:spacing w:line="240" w:lineRule="auto"/>
              <w:jc w:val="center"/>
              <w:rPr>
                <w:rFonts w:ascii="Times New Roman" w:hAnsi="Times New Roman"/>
                <w:sz w:val="18"/>
                <w:szCs w:val="18"/>
              </w:rPr>
            </w:pPr>
          </w:p>
        </w:tc>
        <w:tc>
          <w:tcPr>
            <w:tcW w:w="249" w:type="pct"/>
            <w:tcBorders>
              <w:left w:val="double" w:sz="4" w:space="0" w:color="auto"/>
            </w:tcBorders>
            <w:vAlign w:val="center"/>
          </w:tcPr>
          <w:p w14:paraId="50D9096C" w14:textId="77777777" w:rsidR="00731C16" w:rsidRPr="000E2267" w:rsidRDefault="00731C16" w:rsidP="00A441DA">
            <w:pPr>
              <w:keepNext/>
              <w:spacing w:line="240" w:lineRule="auto"/>
              <w:jc w:val="center"/>
              <w:rPr>
                <w:rFonts w:ascii="Times New Roman" w:hAnsi="Times New Roman"/>
                <w:sz w:val="18"/>
                <w:szCs w:val="18"/>
              </w:rPr>
            </w:pPr>
          </w:p>
        </w:tc>
        <w:tc>
          <w:tcPr>
            <w:tcW w:w="250" w:type="pct"/>
            <w:vAlign w:val="center"/>
          </w:tcPr>
          <w:p w14:paraId="314B508C" w14:textId="77777777" w:rsidR="00731C16" w:rsidRPr="000E2267" w:rsidRDefault="00731C16" w:rsidP="00A441DA">
            <w:pPr>
              <w:keepNext/>
              <w:spacing w:line="240" w:lineRule="auto"/>
              <w:jc w:val="center"/>
              <w:rPr>
                <w:rFonts w:ascii="Times New Roman" w:hAnsi="Times New Roman"/>
                <w:sz w:val="18"/>
                <w:szCs w:val="18"/>
              </w:rPr>
            </w:pPr>
          </w:p>
        </w:tc>
        <w:tc>
          <w:tcPr>
            <w:tcW w:w="223" w:type="pct"/>
            <w:tcBorders>
              <w:right w:val="double" w:sz="4" w:space="0" w:color="auto"/>
            </w:tcBorders>
            <w:vAlign w:val="center"/>
          </w:tcPr>
          <w:p w14:paraId="78D9872E" w14:textId="77777777" w:rsidR="00731C16" w:rsidRPr="000E2267" w:rsidRDefault="00731C16" w:rsidP="00A441DA">
            <w:pPr>
              <w:keepNext/>
              <w:spacing w:line="240" w:lineRule="auto"/>
              <w:jc w:val="center"/>
              <w:rPr>
                <w:rFonts w:ascii="Times New Roman" w:hAnsi="Times New Roman"/>
                <w:sz w:val="18"/>
                <w:szCs w:val="18"/>
              </w:rPr>
            </w:pPr>
          </w:p>
        </w:tc>
      </w:tr>
      <w:tr w:rsidR="00731C16" w:rsidRPr="000E2267" w14:paraId="6293F6D2" w14:textId="77777777" w:rsidTr="008A3264">
        <w:trPr>
          <w:trHeight w:val="288"/>
        </w:trPr>
        <w:tc>
          <w:tcPr>
            <w:tcW w:w="720" w:type="pct"/>
            <w:tcBorders>
              <w:left w:val="double" w:sz="4" w:space="0" w:color="auto"/>
              <w:right w:val="double" w:sz="4" w:space="0" w:color="auto"/>
            </w:tcBorders>
            <w:vAlign w:val="center"/>
          </w:tcPr>
          <w:p w14:paraId="19D47477" w14:textId="273EBF25" w:rsidR="00731C16" w:rsidRPr="000E2267" w:rsidRDefault="00731C16" w:rsidP="00DD31EF">
            <w:pPr>
              <w:keepNext/>
              <w:spacing w:line="240" w:lineRule="auto"/>
              <w:ind w:left="-11" w:firstLine="11"/>
              <w:rPr>
                <w:rFonts w:ascii="Times New Roman" w:hAnsi="Times New Roman"/>
                <w:sz w:val="18"/>
                <w:szCs w:val="18"/>
              </w:rPr>
            </w:pPr>
            <w:r w:rsidRPr="000E2267">
              <w:rPr>
                <w:rFonts w:ascii="Times New Roman" w:hAnsi="Times New Roman"/>
                <w:sz w:val="18"/>
                <w:szCs w:val="18"/>
              </w:rPr>
              <w:t>TB Symptom screen</w:t>
            </w:r>
          </w:p>
        </w:tc>
        <w:tc>
          <w:tcPr>
            <w:tcW w:w="310" w:type="pct"/>
            <w:tcBorders>
              <w:left w:val="double" w:sz="4" w:space="0" w:color="auto"/>
            </w:tcBorders>
            <w:shd w:val="clear" w:color="auto" w:fill="FFFFFF"/>
            <w:vAlign w:val="center"/>
          </w:tcPr>
          <w:p w14:paraId="0684B062"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2" w:type="pct"/>
            <w:tcBorders>
              <w:left w:val="single" w:sz="4" w:space="0" w:color="auto"/>
              <w:right w:val="single" w:sz="4" w:space="0" w:color="auto"/>
            </w:tcBorders>
            <w:vAlign w:val="center"/>
          </w:tcPr>
          <w:p w14:paraId="5ED18CD3" w14:textId="0BA564AA"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3" w:type="pct"/>
            <w:tcBorders>
              <w:left w:val="single" w:sz="4" w:space="0" w:color="auto"/>
              <w:right w:val="double" w:sz="4" w:space="0" w:color="auto"/>
            </w:tcBorders>
            <w:vAlign w:val="center"/>
          </w:tcPr>
          <w:p w14:paraId="2B6F4717" w14:textId="494FA46B"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5" w:type="pct"/>
            <w:tcBorders>
              <w:left w:val="double" w:sz="4" w:space="0" w:color="auto"/>
            </w:tcBorders>
            <w:vAlign w:val="center"/>
          </w:tcPr>
          <w:p w14:paraId="67070CA1"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98" w:type="pct"/>
            <w:vAlign w:val="center"/>
          </w:tcPr>
          <w:p w14:paraId="147C5D13"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020B5A8D" w14:textId="5C208588"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089D92FE" w14:textId="66AF93E3"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vAlign w:val="center"/>
          </w:tcPr>
          <w:p w14:paraId="60998D6F" w14:textId="4357BF2A"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shd w:val="clear" w:color="auto" w:fill="FFFF00"/>
            <w:vAlign w:val="center"/>
          </w:tcPr>
          <w:p w14:paraId="7DD3D42E" w14:textId="58ADD882" w:rsidR="00731C16" w:rsidRPr="000E2267" w:rsidRDefault="008A3264" w:rsidP="00A441DA">
            <w:pPr>
              <w:keepNext/>
              <w:spacing w:line="240" w:lineRule="auto"/>
              <w:jc w:val="center"/>
              <w:rPr>
                <w:rFonts w:ascii="Times New Roman" w:hAnsi="Times New Roman"/>
                <w:sz w:val="18"/>
                <w:szCs w:val="18"/>
              </w:rPr>
            </w:pPr>
            <w:r>
              <w:rPr>
                <w:rFonts w:ascii="Times New Roman" w:hAnsi="Times New Roman"/>
                <w:sz w:val="18"/>
                <w:szCs w:val="18"/>
              </w:rPr>
              <w:t>X</w:t>
            </w:r>
          </w:p>
        </w:tc>
        <w:tc>
          <w:tcPr>
            <w:tcW w:w="218" w:type="pct"/>
            <w:shd w:val="clear" w:color="auto" w:fill="FFFF00"/>
            <w:vAlign w:val="center"/>
          </w:tcPr>
          <w:p w14:paraId="427FE864" w14:textId="27ECA505"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shd w:val="clear" w:color="auto" w:fill="FFFF00"/>
            <w:vAlign w:val="center"/>
          </w:tcPr>
          <w:p w14:paraId="201CBD7F" w14:textId="3C837F1E"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9" w:type="pct"/>
            <w:vAlign w:val="center"/>
          </w:tcPr>
          <w:p w14:paraId="099E637C"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1C5B32AD" w14:textId="77777777" w:rsidR="00731C16" w:rsidRPr="000E2267" w:rsidRDefault="00731C16" w:rsidP="00A441DA">
            <w:pPr>
              <w:keepNext/>
              <w:spacing w:line="240" w:lineRule="auto"/>
              <w:jc w:val="center"/>
              <w:rPr>
                <w:rFonts w:ascii="Times New Roman" w:hAnsi="Times New Roman"/>
                <w:sz w:val="18"/>
                <w:szCs w:val="18"/>
                <w:vertAlign w:val="superscript"/>
              </w:rPr>
            </w:pPr>
            <w:r w:rsidRPr="000E2267">
              <w:rPr>
                <w:rFonts w:ascii="Times New Roman" w:hAnsi="Times New Roman"/>
                <w:sz w:val="18"/>
                <w:szCs w:val="18"/>
              </w:rPr>
              <w:t>X</w:t>
            </w:r>
          </w:p>
        </w:tc>
        <w:tc>
          <w:tcPr>
            <w:tcW w:w="156" w:type="pct"/>
            <w:vAlign w:val="center"/>
          </w:tcPr>
          <w:p w14:paraId="71B3CF87"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1A2D6AD7" w14:textId="5E435E2F"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tcBorders>
              <w:right w:val="double" w:sz="4" w:space="0" w:color="auto"/>
            </w:tcBorders>
            <w:vAlign w:val="center"/>
          </w:tcPr>
          <w:p w14:paraId="5B686E7B"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49" w:type="pct"/>
            <w:tcBorders>
              <w:left w:val="double" w:sz="4" w:space="0" w:color="auto"/>
            </w:tcBorders>
            <w:vAlign w:val="center"/>
          </w:tcPr>
          <w:p w14:paraId="50633D40"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50" w:type="pct"/>
            <w:vAlign w:val="center"/>
          </w:tcPr>
          <w:p w14:paraId="0A318E8E"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23" w:type="pct"/>
            <w:tcBorders>
              <w:right w:val="double" w:sz="4" w:space="0" w:color="auto"/>
            </w:tcBorders>
            <w:vAlign w:val="center"/>
          </w:tcPr>
          <w:p w14:paraId="0956D0C6" w14:textId="47A8531F"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r>
      <w:tr w:rsidR="00731C16" w:rsidRPr="000E2267" w14:paraId="01845EE3" w14:textId="77777777" w:rsidTr="008A3264">
        <w:trPr>
          <w:trHeight w:val="288"/>
        </w:trPr>
        <w:tc>
          <w:tcPr>
            <w:tcW w:w="720" w:type="pct"/>
            <w:tcBorders>
              <w:left w:val="double" w:sz="4" w:space="0" w:color="auto"/>
              <w:right w:val="double" w:sz="4" w:space="0" w:color="auto"/>
            </w:tcBorders>
            <w:vAlign w:val="center"/>
          </w:tcPr>
          <w:p w14:paraId="6170CDA6" w14:textId="77777777"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Concomitant Medications</w:t>
            </w:r>
          </w:p>
        </w:tc>
        <w:tc>
          <w:tcPr>
            <w:tcW w:w="310" w:type="pct"/>
            <w:tcBorders>
              <w:left w:val="double" w:sz="4" w:space="0" w:color="auto"/>
            </w:tcBorders>
            <w:shd w:val="clear" w:color="auto" w:fill="FFFFFF"/>
            <w:vAlign w:val="center"/>
          </w:tcPr>
          <w:p w14:paraId="3F8E40B5"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2" w:type="pct"/>
            <w:tcBorders>
              <w:left w:val="single" w:sz="4" w:space="0" w:color="auto"/>
              <w:right w:val="single" w:sz="4" w:space="0" w:color="auto"/>
            </w:tcBorders>
            <w:vAlign w:val="center"/>
          </w:tcPr>
          <w:p w14:paraId="4F8B5845" w14:textId="63139670"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3" w:type="pct"/>
            <w:tcBorders>
              <w:left w:val="single" w:sz="4" w:space="0" w:color="auto"/>
              <w:right w:val="double" w:sz="4" w:space="0" w:color="auto"/>
            </w:tcBorders>
            <w:vAlign w:val="center"/>
          </w:tcPr>
          <w:p w14:paraId="4F552CB4" w14:textId="0F6382DA"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5" w:type="pct"/>
            <w:tcBorders>
              <w:left w:val="double" w:sz="4" w:space="0" w:color="auto"/>
            </w:tcBorders>
            <w:vAlign w:val="center"/>
          </w:tcPr>
          <w:p w14:paraId="11A0E423"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98" w:type="pct"/>
            <w:vAlign w:val="center"/>
          </w:tcPr>
          <w:p w14:paraId="645CD806"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58D838B1"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7A03C852" w14:textId="1D592252"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vAlign w:val="center"/>
          </w:tcPr>
          <w:p w14:paraId="0EFDDF79" w14:textId="184D8840"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shd w:val="clear" w:color="auto" w:fill="FFFF00"/>
            <w:vAlign w:val="center"/>
          </w:tcPr>
          <w:p w14:paraId="3C72EFF6" w14:textId="1BB0749F"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shd w:val="clear" w:color="auto" w:fill="FFFF00"/>
            <w:vAlign w:val="center"/>
          </w:tcPr>
          <w:p w14:paraId="206C8364" w14:textId="5B76BF9E"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shd w:val="clear" w:color="auto" w:fill="FFFF00"/>
            <w:vAlign w:val="center"/>
          </w:tcPr>
          <w:p w14:paraId="7E28F2D0" w14:textId="75A1F1A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9" w:type="pct"/>
            <w:vAlign w:val="center"/>
          </w:tcPr>
          <w:p w14:paraId="03F80D87"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5E2BA02D" w14:textId="604757F1"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4AACB7A9"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5F0EBC03" w14:textId="2C05A4AD"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tcBorders>
              <w:right w:val="double" w:sz="4" w:space="0" w:color="auto"/>
            </w:tcBorders>
            <w:vAlign w:val="center"/>
          </w:tcPr>
          <w:p w14:paraId="534FB553"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49" w:type="pct"/>
            <w:tcBorders>
              <w:left w:val="double" w:sz="4" w:space="0" w:color="auto"/>
            </w:tcBorders>
            <w:vAlign w:val="center"/>
          </w:tcPr>
          <w:p w14:paraId="33EC231F" w14:textId="77777777" w:rsidR="00731C16" w:rsidRPr="000E2267" w:rsidRDefault="00731C16" w:rsidP="00A441DA">
            <w:pPr>
              <w:keepNext/>
              <w:spacing w:line="240" w:lineRule="auto"/>
              <w:jc w:val="center"/>
              <w:rPr>
                <w:rFonts w:ascii="Times New Roman" w:hAnsi="Times New Roman"/>
                <w:sz w:val="18"/>
                <w:szCs w:val="18"/>
              </w:rPr>
            </w:pPr>
          </w:p>
        </w:tc>
        <w:tc>
          <w:tcPr>
            <w:tcW w:w="250" w:type="pct"/>
            <w:vAlign w:val="center"/>
          </w:tcPr>
          <w:p w14:paraId="050C1A4E" w14:textId="77777777" w:rsidR="00731C16" w:rsidRPr="000E2267" w:rsidRDefault="00731C16" w:rsidP="00A441DA">
            <w:pPr>
              <w:keepNext/>
              <w:spacing w:line="240" w:lineRule="auto"/>
              <w:jc w:val="center"/>
              <w:rPr>
                <w:rFonts w:ascii="Times New Roman" w:hAnsi="Times New Roman"/>
                <w:sz w:val="18"/>
                <w:szCs w:val="18"/>
              </w:rPr>
            </w:pPr>
          </w:p>
        </w:tc>
        <w:tc>
          <w:tcPr>
            <w:tcW w:w="223" w:type="pct"/>
            <w:tcBorders>
              <w:right w:val="double" w:sz="4" w:space="0" w:color="auto"/>
            </w:tcBorders>
            <w:vAlign w:val="center"/>
          </w:tcPr>
          <w:p w14:paraId="5FB6C3DA" w14:textId="77777777" w:rsidR="00731C16" w:rsidRPr="000E2267" w:rsidRDefault="00731C16" w:rsidP="00A441DA">
            <w:pPr>
              <w:keepNext/>
              <w:spacing w:line="240" w:lineRule="auto"/>
              <w:jc w:val="center"/>
              <w:rPr>
                <w:rFonts w:ascii="Times New Roman" w:hAnsi="Times New Roman"/>
                <w:sz w:val="18"/>
                <w:szCs w:val="18"/>
              </w:rPr>
            </w:pPr>
          </w:p>
        </w:tc>
      </w:tr>
      <w:tr w:rsidR="00731C16" w:rsidRPr="000E2267" w14:paraId="725D38EE" w14:textId="77777777" w:rsidTr="008A3264">
        <w:trPr>
          <w:trHeight w:val="288"/>
        </w:trPr>
        <w:tc>
          <w:tcPr>
            <w:tcW w:w="720" w:type="pct"/>
            <w:tcBorders>
              <w:left w:val="double" w:sz="4" w:space="0" w:color="auto"/>
              <w:right w:val="double" w:sz="4" w:space="0" w:color="auto"/>
            </w:tcBorders>
            <w:vAlign w:val="center"/>
          </w:tcPr>
          <w:p w14:paraId="4E38D207" w14:textId="1653DC43"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 xml:space="preserve">Full Physical Exam </w:t>
            </w:r>
          </w:p>
        </w:tc>
        <w:tc>
          <w:tcPr>
            <w:tcW w:w="310" w:type="pct"/>
            <w:tcBorders>
              <w:left w:val="double" w:sz="4" w:space="0" w:color="auto"/>
            </w:tcBorders>
            <w:shd w:val="clear" w:color="auto" w:fill="FFFFFF"/>
            <w:vAlign w:val="center"/>
          </w:tcPr>
          <w:p w14:paraId="74DE2CC9" w14:textId="5A8D3734" w:rsidR="00731C16" w:rsidRPr="000E2267" w:rsidRDefault="00731C16" w:rsidP="00A441DA">
            <w:pPr>
              <w:keepNext/>
              <w:spacing w:line="240" w:lineRule="auto"/>
              <w:jc w:val="center"/>
              <w:rPr>
                <w:rFonts w:ascii="Times New Roman" w:hAnsi="Times New Roman"/>
                <w:sz w:val="18"/>
                <w:szCs w:val="18"/>
              </w:rPr>
            </w:pPr>
          </w:p>
        </w:tc>
        <w:tc>
          <w:tcPr>
            <w:tcW w:w="372" w:type="pct"/>
            <w:tcBorders>
              <w:left w:val="single" w:sz="4" w:space="0" w:color="auto"/>
              <w:right w:val="single" w:sz="4" w:space="0" w:color="auto"/>
            </w:tcBorders>
            <w:vAlign w:val="center"/>
          </w:tcPr>
          <w:p w14:paraId="05B75937" w14:textId="23D37000" w:rsidR="00731C16" w:rsidRPr="000E2267" w:rsidRDefault="00731C16" w:rsidP="00A441DA">
            <w:pPr>
              <w:keepNext/>
              <w:spacing w:line="240" w:lineRule="auto"/>
              <w:jc w:val="center"/>
              <w:rPr>
                <w:rFonts w:ascii="Times New Roman" w:hAnsi="Times New Roman"/>
                <w:sz w:val="18"/>
                <w:szCs w:val="18"/>
              </w:rPr>
            </w:pPr>
          </w:p>
        </w:tc>
        <w:tc>
          <w:tcPr>
            <w:tcW w:w="373" w:type="pct"/>
            <w:tcBorders>
              <w:left w:val="single" w:sz="4" w:space="0" w:color="auto"/>
              <w:right w:val="double" w:sz="4" w:space="0" w:color="auto"/>
            </w:tcBorders>
            <w:vAlign w:val="center"/>
          </w:tcPr>
          <w:p w14:paraId="0A6902F3" w14:textId="22882CCE" w:rsidR="00731C16" w:rsidRPr="000E2267" w:rsidRDefault="00731C16" w:rsidP="00A441DA">
            <w:pPr>
              <w:keepNext/>
              <w:spacing w:line="240" w:lineRule="auto"/>
              <w:jc w:val="center"/>
              <w:rPr>
                <w:rFonts w:ascii="Times New Roman" w:hAnsi="Times New Roman"/>
                <w:sz w:val="18"/>
                <w:szCs w:val="18"/>
              </w:rPr>
            </w:pPr>
          </w:p>
        </w:tc>
        <w:tc>
          <w:tcPr>
            <w:tcW w:w="185" w:type="pct"/>
            <w:tcBorders>
              <w:left w:val="double" w:sz="4" w:space="0" w:color="auto"/>
            </w:tcBorders>
            <w:vAlign w:val="center"/>
          </w:tcPr>
          <w:p w14:paraId="79A2D55A" w14:textId="398FBE88"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98" w:type="pct"/>
            <w:vAlign w:val="center"/>
          </w:tcPr>
          <w:p w14:paraId="76DFDCEC" w14:textId="77777777" w:rsidR="00731C16" w:rsidRPr="000E2267" w:rsidDel="007F2B69" w:rsidRDefault="00731C16" w:rsidP="00A441DA">
            <w:pPr>
              <w:keepNext/>
              <w:spacing w:line="240" w:lineRule="auto"/>
              <w:jc w:val="center"/>
              <w:rPr>
                <w:rFonts w:ascii="Times New Roman" w:hAnsi="Times New Roman"/>
                <w:sz w:val="18"/>
                <w:szCs w:val="18"/>
              </w:rPr>
            </w:pPr>
          </w:p>
        </w:tc>
        <w:tc>
          <w:tcPr>
            <w:tcW w:w="156" w:type="pct"/>
            <w:vAlign w:val="center"/>
          </w:tcPr>
          <w:p w14:paraId="052B33E9"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657333F4" w14:textId="77777777" w:rsidR="00731C16" w:rsidRPr="000E2267" w:rsidRDefault="00731C16" w:rsidP="00A441DA">
            <w:pPr>
              <w:keepNext/>
              <w:spacing w:line="240" w:lineRule="auto"/>
              <w:jc w:val="center"/>
              <w:rPr>
                <w:rFonts w:ascii="Times New Roman" w:hAnsi="Times New Roman"/>
                <w:sz w:val="18"/>
                <w:szCs w:val="18"/>
              </w:rPr>
            </w:pPr>
          </w:p>
        </w:tc>
        <w:tc>
          <w:tcPr>
            <w:tcW w:w="218" w:type="pct"/>
            <w:vAlign w:val="center"/>
          </w:tcPr>
          <w:p w14:paraId="4B0EC656"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10DBACBC"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567E5374" w14:textId="77777777" w:rsidR="00731C16" w:rsidRPr="000E2267" w:rsidRDefault="00731C16" w:rsidP="00A441DA">
            <w:pPr>
              <w:keepNext/>
              <w:spacing w:line="240" w:lineRule="auto"/>
              <w:jc w:val="center"/>
              <w:rPr>
                <w:rFonts w:ascii="Times New Roman" w:hAnsi="Times New Roman"/>
                <w:sz w:val="18"/>
                <w:szCs w:val="18"/>
              </w:rPr>
            </w:pPr>
          </w:p>
        </w:tc>
        <w:tc>
          <w:tcPr>
            <w:tcW w:w="187" w:type="pct"/>
            <w:shd w:val="clear" w:color="auto" w:fill="FFFF00"/>
            <w:vAlign w:val="center"/>
          </w:tcPr>
          <w:p w14:paraId="0F9D0E55" w14:textId="7EEC51E5" w:rsidR="00731C16" w:rsidRPr="000E2267" w:rsidRDefault="00731C16" w:rsidP="00A441DA">
            <w:pPr>
              <w:keepNext/>
              <w:spacing w:line="240" w:lineRule="auto"/>
              <w:jc w:val="center"/>
              <w:rPr>
                <w:rFonts w:ascii="Times New Roman" w:hAnsi="Times New Roman"/>
                <w:sz w:val="18"/>
                <w:szCs w:val="18"/>
              </w:rPr>
            </w:pPr>
          </w:p>
        </w:tc>
        <w:tc>
          <w:tcPr>
            <w:tcW w:w="219" w:type="pct"/>
            <w:vAlign w:val="center"/>
          </w:tcPr>
          <w:p w14:paraId="173B7B91" w14:textId="487414EB" w:rsidR="00731C16" w:rsidRPr="000E2267" w:rsidRDefault="00731C16" w:rsidP="00A441DA">
            <w:pPr>
              <w:keepNext/>
              <w:spacing w:line="240" w:lineRule="auto"/>
              <w:jc w:val="center"/>
              <w:rPr>
                <w:rFonts w:ascii="Times New Roman" w:hAnsi="Times New Roman"/>
                <w:sz w:val="18"/>
                <w:szCs w:val="18"/>
              </w:rPr>
            </w:pPr>
          </w:p>
        </w:tc>
        <w:tc>
          <w:tcPr>
            <w:tcW w:w="187" w:type="pct"/>
            <w:vAlign w:val="center"/>
          </w:tcPr>
          <w:p w14:paraId="6000355A"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030BA912" w14:textId="77777777" w:rsidR="00731C16" w:rsidRPr="000E2267" w:rsidRDefault="00731C16" w:rsidP="00A441DA">
            <w:pPr>
              <w:keepNext/>
              <w:spacing w:line="240" w:lineRule="auto"/>
              <w:jc w:val="center"/>
              <w:rPr>
                <w:rFonts w:ascii="Times New Roman" w:hAnsi="Times New Roman"/>
                <w:sz w:val="18"/>
                <w:szCs w:val="18"/>
              </w:rPr>
            </w:pPr>
          </w:p>
        </w:tc>
        <w:tc>
          <w:tcPr>
            <w:tcW w:w="187" w:type="pct"/>
            <w:vAlign w:val="center"/>
          </w:tcPr>
          <w:p w14:paraId="7161D62D" w14:textId="77777777" w:rsidR="00731C16" w:rsidRPr="000E2267" w:rsidRDefault="00731C16" w:rsidP="00A441DA">
            <w:pPr>
              <w:keepNext/>
              <w:spacing w:line="240" w:lineRule="auto"/>
              <w:jc w:val="center"/>
              <w:rPr>
                <w:rFonts w:ascii="Times New Roman" w:hAnsi="Times New Roman"/>
                <w:sz w:val="18"/>
                <w:szCs w:val="18"/>
              </w:rPr>
            </w:pPr>
          </w:p>
        </w:tc>
        <w:tc>
          <w:tcPr>
            <w:tcW w:w="218" w:type="pct"/>
            <w:tcBorders>
              <w:right w:val="double" w:sz="4" w:space="0" w:color="auto"/>
            </w:tcBorders>
            <w:vAlign w:val="center"/>
          </w:tcPr>
          <w:p w14:paraId="516276DB" w14:textId="4495F8BC" w:rsidR="00731C16" w:rsidRPr="000E2267" w:rsidRDefault="00731C16" w:rsidP="00A441DA">
            <w:pPr>
              <w:keepNext/>
              <w:spacing w:line="240" w:lineRule="auto"/>
              <w:jc w:val="center"/>
              <w:rPr>
                <w:rFonts w:ascii="Times New Roman" w:hAnsi="Times New Roman"/>
                <w:sz w:val="18"/>
                <w:szCs w:val="18"/>
              </w:rPr>
            </w:pPr>
          </w:p>
        </w:tc>
        <w:tc>
          <w:tcPr>
            <w:tcW w:w="249" w:type="pct"/>
            <w:tcBorders>
              <w:left w:val="double" w:sz="4" w:space="0" w:color="auto"/>
            </w:tcBorders>
            <w:vAlign w:val="center"/>
          </w:tcPr>
          <w:p w14:paraId="49769FBA" w14:textId="19E01518" w:rsidR="00731C16" w:rsidRPr="000E2267" w:rsidRDefault="00731C16" w:rsidP="00A441DA">
            <w:pPr>
              <w:keepNext/>
              <w:spacing w:line="240" w:lineRule="auto"/>
              <w:jc w:val="center"/>
              <w:rPr>
                <w:rFonts w:ascii="Times New Roman" w:hAnsi="Times New Roman"/>
                <w:sz w:val="18"/>
                <w:szCs w:val="18"/>
              </w:rPr>
            </w:pPr>
          </w:p>
        </w:tc>
        <w:tc>
          <w:tcPr>
            <w:tcW w:w="250" w:type="pct"/>
            <w:vAlign w:val="center"/>
          </w:tcPr>
          <w:p w14:paraId="66DA792F" w14:textId="2DA479C4" w:rsidR="00731C16" w:rsidRPr="000E2267" w:rsidRDefault="00731C16" w:rsidP="00A441DA">
            <w:pPr>
              <w:keepNext/>
              <w:spacing w:line="240" w:lineRule="auto"/>
              <w:jc w:val="center"/>
              <w:rPr>
                <w:rFonts w:ascii="Times New Roman" w:hAnsi="Times New Roman"/>
                <w:sz w:val="18"/>
                <w:szCs w:val="18"/>
              </w:rPr>
            </w:pPr>
          </w:p>
        </w:tc>
        <w:tc>
          <w:tcPr>
            <w:tcW w:w="223" w:type="pct"/>
            <w:tcBorders>
              <w:right w:val="double" w:sz="4" w:space="0" w:color="auto"/>
            </w:tcBorders>
            <w:vAlign w:val="center"/>
          </w:tcPr>
          <w:p w14:paraId="3EBCF704" w14:textId="51C5D5B6" w:rsidR="00731C16" w:rsidRPr="000E2267" w:rsidRDefault="00731C16" w:rsidP="00A441DA">
            <w:pPr>
              <w:keepNext/>
              <w:spacing w:line="240" w:lineRule="auto"/>
              <w:jc w:val="center"/>
              <w:rPr>
                <w:rFonts w:ascii="Times New Roman" w:hAnsi="Times New Roman"/>
                <w:sz w:val="18"/>
                <w:szCs w:val="18"/>
              </w:rPr>
            </w:pPr>
          </w:p>
        </w:tc>
      </w:tr>
      <w:tr w:rsidR="00731C16" w:rsidRPr="000E2267" w14:paraId="470086C1" w14:textId="77777777" w:rsidTr="00EE1857">
        <w:trPr>
          <w:trHeight w:val="288"/>
        </w:trPr>
        <w:tc>
          <w:tcPr>
            <w:tcW w:w="720" w:type="pct"/>
            <w:tcBorders>
              <w:left w:val="double" w:sz="4" w:space="0" w:color="auto"/>
              <w:right w:val="double" w:sz="4" w:space="0" w:color="auto"/>
            </w:tcBorders>
            <w:vAlign w:val="center"/>
          </w:tcPr>
          <w:p w14:paraId="7DFCF847" w14:textId="4AB67B37"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Directed Physical Exam</w:t>
            </w:r>
          </w:p>
        </w:tc>
        <w:tc>
          <w:tcPr>
            <w:tcW w:w="310" w:type="pct"/>
            <w:tcBorders>
              <w:left w:val="double" w:sz="4" w:space="0" w:color="auto"/>
            </w:tcBorders>
            <w:shd w:val="clear" w:color="auto" w:fill="FFFFFF"/>
            <w:vAlign w:val="center"/>
          </w:tcPr>
          <w:p w14:paraId="6CCDB28D" w14:textId="1643839C" w:rsidR="00731C16" w:rsidRPr="000E2267" w:rsidRDefault="00731C16" w:rsidP="00DF348F">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2" w:type="pct"/>
            <w:tcBorders>
              <w:left w:val="single" w:sz="4" w:space="0" w:color="auto"/>
              <w:right w:val="single" w:sz="4" w:space="0" w:color="auto"/>
            </w:tcBorders>
            <w:vAlign w:val="center"/>
          </w:tcPr>
          <w:p w14:paraId="2A47C7AE" w14:textId="371CBC75" w:rsidR="00731C16" w:rsidRPr="000E2267" w:rsidRDefault="00731C16" w:rsidP="00DF348F">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3" w:type="pct"/>
            <w:tcBorders>
              <w:left w:val="single" w:sz="4" w:space="0" w:color="auto"/>
              <w:right w:val="double" w:sz="4" w:space="0" w:color="auto"/>
            </w:tcBorders>
            <w:vAlign w:val="center"/>
          </w:tcPr>
          <w:p w14:paraId="1EC42CD0" w14:textId="6476A49A" w:rsidR="00731C16" w:rsidRPr="000E2267" w:rsidRDefault="00731C16" w:rsidP="00DF348F">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5" w:type="pct"/>
            <w:tcBorders>
              <w:left w:val="double" w:sz="4" w:space="0" w:color="auto"/>
            </w:tcBorders>
            <w:vAlign w:val="center"/>
          </w:tcPr>
          <w:p w14:paraId="66F7EFCB" w14:textId="49C1B4FC" w:rsidR="00731C16" w:rsidRPr="000E2267" w:rsidRDefault="00731C16" w:rsidP="00A441DA">
            <w:pPr>
              <w:keepNext/>
              <w:spacing w:line="240" w:lineRule="auto"/>
              <w:jc w:val="center"/>
              <w:rPr>
                <w:rFonts w:ascii="Times New Roman" w:hAnsi="Times New Roman"/>
                <w:sz w:val="18"/>
                <w:szCs w:val="18"/>
              </w:rPr>
            </w:pPr>
          </w:p>
        </w:tc>
        <w:tc>
          <w:tcPr>
            <w:tcW w:w="198" w:type="pct"/>
            <w:vAlign w:val="center"/>
          </w:tcPr>
          <w:p w14:paraId="50B71C7B" w14:textId="77777777" w:rsidR="00731C16" w:rsidRPr="000E2267" w:rsidDel="007F2B69" w:rsidRDefault="00731C16" w:rsidP="00A441DA">
            <w:pPr>
              <w:keepNext/>
              <w:spacing w:line="240" w:lineRule="auto"/>
              <w:jc w:val="center"/>
              <w:rPr>
                <w:rFonts w:ascii="Times New Roman" w:hAnsi="Times New Roman"/>
                <w:sz w:val="18"/>
                <w:szCs w:val="18"/>
              </w:rPr>
            </w:pPr>
          </w:p>
        </w:tc>
        <w:tc>
          <w:tcPr>
            <w:tcW w:w="156" w:type="pct"/>
            <w:vAlign w:val="center"/>
          </w:tcPr>
          <w:p w14:paraId="1BCC7D71"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0EF51AF7"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06DCCEDE" w14:textId="3C53ACD4" w:rsidR="00731C16" w:rsidRPr="000E2267" w:rsidRDefault="003A160E" w:rsidP="00A441DA">
            <w:pPr>
              <w:keepNext/>
              <w:spacing w:line="240" w:lineRule="auto"/>
              <w:jc w:val="center"/>
              <w:rPr>
                <w:rFonts w:ascii="Times New Roman" w:hAnsi="Times New Roman"/>
                <w:sz w:val="18"/>
                <w:szCs w:val="18"/>
              </w:rPr>
            </w:pPr>
            <w:r>
              <w:rPr>
                <w:rFonts w:ascii="Times New Roman" w:hAnsi="Times New Roman"/>
                <w:sz w:val="18"/>
                <w:szCs w:val="18"/>
              </w:rPr>
              <w:t>X</w:t>
            </w:r>
          </w:p>
        </w:tc>
        <w:tc>
          <w:tcPr>
            <w:tcW w:w="218" w:type="pct"/>
            <w:shd w:val="clear" w:color="auto" w:fill="FFFF00"/>
            <w:vAlign w:val="center"/>
          </w:tcPr>
          <w:p w14:paraId="5FF8E161"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69EB320F" w14:textId="77777777" w:rsidR="00731C16" w:rsidRPr="000E2267" w:rsidRDefault="00731C16" w:rsidP="00A441DA">
            <w:pPr>
              <w:keepNext/>
              <w:spacing w:line="240" w:lineRule="auto"/>
              <w:jc w:val="center"/>
              <w:rPr>
                <w:rFonts w:ascii="Times New Roman" w:hAnsi="Times New Roman"/>
                <w:sz w:val="18"/>
                <w:szCs w:val="18"/>
              </w:rPr>
            </w:pPr>
          </w:p>
        </w:tc>
        <w:tc>
          <w:tcPr>
            <w:tcW w:w="187" w:type="pct"/>
            <w:shd w:val="clear" w:color="auto" w:fill="FFFF00"/>
            <w:vAlign w:val="center"/>
          </w:tcPr>
          <w:p w14:paraId="6C183112" w14:textId="46C82268" w:rsidR="00731C16" w:rsidRPr="000E2267" w:rsidRDefault="00731C16" w:rsidP="00A441DA">
            <w:pPr>
              <w:keepNext/>
              <w:spacing w:line="240" w:lineRule="auto"/>
              <w:jc w:val="center"/>
              <w:rPr>
                <w:rFonts w:ascii="Times New Roman" w:hAnsi="Times New Roman"/>
                <w:sz w:val="18"/>
                <w:szCs w:val="18"/>
              </w:rPr>
            </w:pPr>
          </w:p>
        </w:tc>
        <w:tc>
          <w:tcPr>
            <w:tcW w:w="219" w:type="pct"/>
            <w:vAlign w:val="center"/>
          </w:tcPr>
          <w:p w14:paraId="771F7A58" w14:textId="36958874" w:rsidR="00731C16" w:rsidRPr="000E2267" w:rsidRDefault="00731C16" w:rsidP="00DF348F">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0DA57716"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1FD636E0" w14:textId="77777777" w:rsidR="00731C16" w:rsidRPr="000E2267" w:rsidRDefault="00731C16" w:rsidP="00A441DA">
            <w:pPr>
              <w:keepNext/>
              <w:spacing w:line="240" w:lineRule="auto"/>
              <w:jc w:val="center"/>
              <w:rPr>
                <w:rFonts w:ascii="Times New Roman" w:hAnsi="Times New Roman"/>
                <w:sz w:val="18"/>
                <w:szCs w:val="18"/>
              </w:rPr>
            </w:pPr>
          </w:p>
        </w:tc>
        <w:tc>
          <w:tcPr>
            <w:tcW w:w="187" w:type="pct"/>
            <w:vAlign w:val="center"/>
          </w:tcPr>
          <w:p w14:paraId="7803E578" w14:textId="77777777" w:rsidR="00731C16" w:rsidRPr="000E2267" w:rsidRDefault="00731C16" w:rsidP="00A441DA">
            <w:pPr>
              <w:keepNext/>
              <w:spacing w:line="240" w:lineRule="auto"/>
              <w:jc w:val="center"/>
              <w:rPr>
                <w:rFonts w:ascii="Times New Roman" w:hAnsi="Times New Roman"/>
                <w:sz w:val="18"/>
                <w:szCs w:val="18"/>
              </w:rPr>
            </w:pPr>
          </w:p>
        </w:tc>
        <w:tc>
          <w:tcPr>
            <w:tcW w:w="218" w:type="pct"/>
            <w:tcBorders>
              <w:right w:val="double" w:sz="4" w:space="0" w:color="auto"/>
            </w:tcBorders>
            <w:vAlign w:val="center"/>
          </w:tcPr>
          <w:p w14:paraId="48873257" w14:textId="21A0A22F" w:rsidR="00731C16" w:rsidRPr="000E2267" w:rsidRDefault="00731C16" w:rsidP="00DF348F">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49" w:type="pct"/>
            <w:tcBorders>
              <w:left w:val="double" w:sz="4" w:space="0" w:color="auto"/>
            </w:tcBorders>
            <w:vAlign w:val="center"/>
          </w:tcPr>
          <w:p w14:paraId="05A3164A" w14:textId="3A17E1AC"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2</w:t>
            </w:r>
          </w:p>
        </w:tc>
        <w:tc>
          <w:tcPr>
            <w:tcW w:w="250" w:type="pct"/>
            <w:vAlign w:val="center"/>
          </w:tcPr>
          <w:p w14:paraId="5C9AD0D3" w14:textId="41394D9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2</w:t>
            </w:r>
          </w:p>
        </w:tc>
        <w:tc>
          <w:tcPr>
            <w:tcW w:w="223" w:type="pct"/>
            <w:tcBorders>
              <w:right w:val="double" w:sz="4" w:space="0" w:color="auto"/>
            </w:tcBorders>
            <w:vAlign w:val="center"/>
          </w:tcPr>
          <w:p w14:paraId="3A4A147B" w14:textId="2A7AA8F6" w:rsidR="00731C16" w:rsidRPr="000E2267" w:rsidRDefault="00731C16" w:rsidP="00DF348F">
            <w:pPr>
              <w:keepNext/>
              <w:spacing w:line="240" w:lineRule="auto"/>
              <w:jc w:val="center"/>
              <w:rPr>
                <w:rFonts w:ascii="Times New Roman" w:hAnsi="Times New Roman"/>
                <w:sz w:val="18"/>
                <w:szCs w:val="18"/>
              </w:rPr>
            </w:pPr>
            <w:r w:rsidRPr="000E2267">
              <w:rPr>
                <w:rFonts w:ascii="Times New Roman" w:hAnsi="Times New Roman"/>
                <w:sz w:val="18"/>
                <w:szCs w:val="18"/>
              </w:rPr>
              <w:t>X</w:t>
            </w:r>
          </w:p>
        </w:tc>
      </w:tr>
      <w:tr w:rsidR="00731C16" w:rsidRPr="000E2267" w14:paraId="20FB73A5" w14:textId="77777777" w:rsidTr="008A3264">
        <w:trPr>
          <w:trHeight w:val="288"/>
        </w:trPr>
        <w:tc>
          <w:tcPr>
            <w:tcW w:w="720" w:type="pct"/>
            <w:tcBorders>
              <w:left w:val="double" w:sz="4" w:space="0" w:color="auto"/>
              <w:right w:val="double" w:sz="4" w:space="0" w:color="auto"/>
            </w:tcBorders>
            <w:vAlign w:val="center"/>
          </w:tcPr>
          <w:p w14:paraId="512FEB96" w14:textId="3D5CB620"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Weight</w:t>
            </w:r>
          </w:p>
        </w:tc>
        <w:tc>
          <w:tcPr>
            <w:tcW w:w="310" w:type="pct"/>
            <w:tcBorders>
              <w:left w:val="double" w:sz="4" w:space="0" w:color="auto"/>
            </w:tcBorders>
            <w:shd w:val="clear" w:color="auto" w:fill="FFFFFF"/>
            <w:vAlign w:val="center"/>
          </w:tcPr>
          <w:p w14:paraId="366DC17E" w14:textId="77777777" w:rsidR="00731C16" w:rsidRPr="000E2267" w:rsidRDefault="00731C16" w:rsidP="00A441DA">
            <w:pPr>
              <w:keepNext/>
              <w:spacing w:line="240" w:lineRule="auto"/>
              <w:jc w:val="center"/>
              <w:rPr>
                <w:rFonts w:ascii="Times New Roman" w:hAnsi="Times New Roman"/>
                <w:sz w:val="18"/>
                <w:szCs w:val="18"/>
              </w:rPr>
            </w:pPr>
          </w:p>
        </w:tc>
        <w:tc>
          <w:tcPr>
            <w:tcW w:w="372" w:type="pct"/>
            <w:tcBorders>
              <w:left w:val="single" w:sz="4" w:space="0" w:color="auto"/>
              <w:right w:val="single" w:sz="4" w:space="0" w:color="auto"/>
            </w:tcBorders>
            <w:vAlign w:val="center"/>
          </w:tcPr>
          <w:p w14:paraId="2BA4DD1C" w14:textId="77777777" w:rsidR="00731C16" w:rsidRPr="000E2267" w:rsidRDefault="00731C16" w:rsidP="00A441DA">
            <w:pPr>
              <w:keepNext/>
              <w:spacing w:line="240" w:lineRule="auto"/>
              <w:jc w:val="center"/>
              <w:rPr>
                <w:rFonts w:ascii="Times New Roman" w:hAnsi="Times New Roman"/>
                <w:sz w:val="18"/>
                <w:szCs w:val="18"/>
              </w:rPr>
            </w:pPr>
          </w:p>
        </w:tc>
        <w:tc>
          <w:tcPr>
            <w:tcW w:w="373" w:type="pct"/>
            <w:tcBorders>
              <w:left w:val="single" w:sz="4" w:space="0" w:color="auto"/>
              <w:right w:val="double" w:sz="4" w:space="0" w:color="auto"/>
            </w:tcBorders>
            <w:vAlign w:val="center"/>
          </w:tcPr>
          <w:p w14:paraId="6EC348F2" w14:textId="77777777" w:rsidR="00731C16" w:rsidRPr="000E2267" w:rsidRDefault="00731C16" w:rsidP="00A441DA">
            <w:pPr>
              <w:keepNext/>
              <w:spacing w:line="240" w:lineRule="auto"/>
              <w:jc w:val="center"/>
              <w:rPr>
                <w:rFonts w:ascii="Times New Roman" w:hAnsi="Times New Roman"/>
                <w:sz w:val="18"/>
                <w:szCs w:val="18"/>
              </w:rPr>
            </w:pPr>
          </w:p>
        </w:tc>
        <w:tc>
          <w:tcPr>
            <w:tcW w:w="185" w:type="pct"/>
            <w:tcBorders>
              <w:left w:val="double" w:sz="4" w:space="0" w:color="auto"/>
            </w:tcBorders>
            <w:vAlign w:val="center"/>
          </w:tcPr>
          <w:p w14:paraId="54D25A95" w14:textId="58FFEA2C"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98" w:type="pct"/>
            <w:vAlign w:val="center"/>
          </w:tcPr>
          <w:p w14:paraId="24E9EAE9" w14:textId="77777777" w:rsidR="00731C16" w:rsidRPr="000E2267" w:rsidDel="007F2B69" w:rsidRDefault="00731C16" w:rsidP="00A441DA">
            <w:pPr>
              <w:keepNext/>
              <w:spacing w:line="240" w:lineRule="auto"/>
              <w:jc w:val="center"/>
              <w:rPr>
                <w:rFonts w:ascii="Times New Roman" w:hAnsi="Times New Roman"/>
                <w:sz w:val="18"/>
                <w:szCs w:val="18"/>
              </w:rPr>
            </w:pPr>
          </w:p>
        </w:tc>
        <w:tc>
          <w:tcPr>
            <w:tcW w:w="156" w:type="pct"/>
            <w:vAlign w:val="center"/>
          </w:tcPr>
          <w:p w14:paraId="3CE5ABE2"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51FFE2A1" w14:textId="77777777" w:rsidR="00731C16" w:rsidRPr="000E2267" w:rsidRDefault="00731C16" w:rsidP="00A441DA">
            <w:pPr>
              <w:keepNext/>
              <w:spacing w:line="240" w:lineRule="auto"/>
              <w:jc w:val="center"/>
              <w:rPr>
                <w:rFonts w:ascii="Times New Roman" w:hAnsi="Times New Roman"/>
                <w:sz w:val="18"/>
                <w:szCs w:val="18"/>
              </w:rPr>
            </w:pPr>
          </w:p>
        </w:tc>
        <w:tc>
          <w:tcPr>
            <w:tcW w:w="218" w:type="pct"/>
            <w:vAlign w:val="center"/>
          </w:tcPr>
          <w:p w14:paraId="510BAF21"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484A6233"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68A616DE" w14:textId="77777777" w:rsidR="00731C16" w:rsidRPr="000E2267" w:rsidRDefault="00731C16" w:rsidP="00A441DA">
            <w:pPr>
              <w:keepNext/>
              <w:spacing w:line="240" w:lineRule="auto"/>
              <w:jc w:val="center"/>
              <w:rPr>
                <w:rFonts w:ascii="Times New Roman" w:hAnsi="Times New Roman"/>
                <w:sz w:val="18"/>
                <w:szCs w:val="18"/>
              </w:rPr>
            </w:pPr>
          </w:p>
        </w:tc>
        <w:tc>
          <w:tcPr>
            <w:tcW w:w="187" w:type="pct"/>
            <w:shd w:val="clear" w:color="auto" w:fill="FFFF00"/>
            <w:vAlign w:val="center"/>
          </w:tcPr>
          <w:p w14:paraId="60A6190C" w14:textId="4647F195" w:rsidR="00731C16" w:rsidRPr="000E2267" w:rsidRDefault="00731C16" w:rsidP="00A441DA">
            <w:pPr>
              <w:keepNext/>
              <w:spacing w:line="240" w:lineRule="auto"/>
              <w:jc w:val="center"/>
              <w:rPr>
                <w:rFonts w:ascii="Times New Roman" w:hAnsi="Times New Roman"/>
                <w:sz w:val="18"/>
                <w:szCs w:val="18"/>
              </w:rPr>
            </w:pPr>
          </w:p>
        </w:tc>
        <w:tc>
          <w:tcPr>
            <w:tcW w:w="219" w:type="pct"/>
            <w:vAlign w:val="center"/>
          </w:tcPr>
          <w:p w14:paraId="5F1BC40A" w14:textId="79ACF835"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473C95F0"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7A50FE03" w14:textId="77777777" w:rsidR="00731C16" w:rsidRPr="000E2267" w:rsidRDefault="00731C16" w:rsidP="00A441DA">
            <w:pPr>
              <w:keepNext/>
              <w:spacing w:line="240" w:lineRule="auto"/>
              <w:jc w:val="center"/>
              <w:rPr>
                <w:rFonts w:ascii="Times New Roman" w:hAnsi="Times New Roman"/>
                <w:sz w:val="18"/>
                <w:szCs w:val="18"/>
              </w:rPr>
            </w:pPr>
          </w:p>
        </w:tc>
        <w:tc>
          <w:tcPr>
            <w:tcW w:w="187" w:type="pct"/>
            <w:vAlign w:val="center"/>
          </w:tcPr>
          <w:p w14:paraId="102DB387" w14:textId="77777777" w:rsidR="00731C16" w:rsidRPr="000E2267" w:rsidRDefault="00731C16" w:rsidP="00A441DA">
            <w:pPr>
              <w:keepNext/>
              <w:spacing w:line="240" w:lineRule="auto"/>
              <w:jc w:val="center"/>
              <w:rPr>
                <w:rFonts w:ascii="Times New Roman" w:hAnsi="Times New Roman"/>
                <w:sz w:val="18"/>
                <w:szCs w:val="18"/>
              </w:rPr>
            </w:pPr>
          </w:p>
        </w:tc>
        <w:tc>
          <w:tcPr>
            <w:tcW w:w="218" w:type="pct"/>
            <w:tcBorders>
              <w:right w:val="double" w:sz="4" w:space="0" w:color="auto"/>
            </w:tcBorders>
            <w:vAlign w:val="center"/>
          </w:tcPr>
          <w:p w14:paraId="444CEDE0" w14:textId="7BBB137E"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49" w:type="pct"/>
            <w:tcBorders>
              <w:left w:val="double" w:sz="4" w:space="0" w:color="auto"/>
            </w:tcBorders>
            <w:vAlign w:val="center"/>
          </w:tcPr>
          <w:p w14:paraId="564E8E2E" w14:textId="52E7CDEC"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50" w:type="pct"/>
            <w:vAlign w:val="center"/>
          </w:tcPr>
          <w:p w14:paraId="1EB15274" w14:textId="21D3A809"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23" w:type="pct"/>
            <w:tcBorders>
              <w:right w:val="double" w:sz="4" w:space="0" w:color="auto"/>
            </w:tcBorders>
            <w:vAlign w:val="center"/>
          </w:tcPr>
          <w:p w14:paraId="13B4FA85" w14:textId="4FE217D1"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r>
      <w:tr w:rsidR="00731C16" w:rsidRPr="000E2267" w14:paraId="6FE6351F" w14:textId="77777777" w:rsidTr="008A3264">
        <w:trPr>
          <w:trHeight w:val="288"/>
        </w:trPr>
        <w:tc>
          <w:tcPr>
            <w:tcW w:w="720" w:type="pct"/>
            <w:tcBorders>
              <w:left w:val="double" w:sz="4" w:space="0" w:color="auto"/>
              <w:right w:val="double" w:sz="4" w:space="0" w:color="auto"/>
            </w:tcBorders>
            <w:vAlign w:val="center"/>
          </w:tcPr>
          <w:p w14:paraId="7D5DF28D" w14:textId="77777777"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BMI</w:t>
            </w:r>
          </w:p>
        </w:tc>
        <w:tc>
          <w:tcPr>
            <w:tcW w:w="310" w:type="pct"/>
            <w:tcBorders>
              <w:left w:val="double" w:sz="4" w:space="0" w:color="auto"/>
            </w:tcBorders>
            <w:shd w:val="clear" w:color="auto" w:fill="FFFFFF"/>
            <w:vAlign w:val="center"/>
          </w:tcPr>
          <w:p w14:paraId="182F013D" w14:textId="75AA65DA" w:rsidR="00731C16" w:rsidRPr="000E2267" w:rsidRDefault="00731C16" w:rsidP="00A441DA">
            <w:pPr>
              <w:keepNext/>
              <w:spacing w:line="240" w:lineRule="auto"/>
              <w:jc w:val="center"/>
              <w:rPr>
                <w:rFonts w:ascii="Times New Roman" w:hAnsi="Times New Roman"/>
                <w:sz w:val="18"/>
                <w:szCs w:val="18"/>
              </w:rPr>
            </w:pPr>
          </w:p>
        </w:tc>
        <w:tc>
          <w:tcPr>
            <w:tcW w:w="372" w:type="pct"/>
            <w:tcBorders>
              <w:left w:val="single" w:sz="4" w:space="0" w:color="auto"/>
              <w:right w:val="single" w:sz="4" w:space="0" w:color="auto"/>
            </w:tcBorders>
            <w:vAlign w:val="center"/>
          </w:tcPr>
          <w:p w14:paraId="4D697B0B" w14:textId="25125E63" w:rsidR="00731C16" w:rsidRPr="000E2267" w:rsidRDefault="00731C16" w:rsidP="00A441DA">
            <w:pPr>
              <w:keepNext/>
              <w:spacing w:line="240" w:lineRule="auto"/>
              <w:jc w:val="center"/>
              <w:rPr>
                <w:rFonts w:ascii="Times New Roman" w:hAnsi="Times New Roman"/>
                <w:sz w:val="18"/>
                <w:szCs w:val="18"/>
              </w:rPr>
            </w:pPr>
          </w:p>
        </w:tc>
        <w:tc>
          <w:tcPr>
            <w:tcW w:w="373" w:type="pct"/>
            <w:tcBorders>
              <w:left w:val="single" w:sz="4" w:space="0" w:color="auto"/>
              <w:right w:val="double" w:sz="4" w:space="0" w:color="auto"/>
            </w:tcBorders>
            <w:vAlign w:val="center"/>
          </w:tcPr>
          <w:p w14:paraId="5E4F37EE" w14:textId="4CBBB356" w:rsidR="00731C16" w:rsidRPr="000E2267" w:rsidRDefault="00731C16" w:rsidP="00A441DA">
            <w:pPr>
              <w:keepNext/>
              <w:spacing w:line="240" w:lineRule="auto"/>
              <w:jc w:val="center"/>
              <w:rPr>
                <w:rFonts w:ascii="Times New Roman" w:hAnsi="Times New Roman"/>
                <w:sz w:val="18"/>
                <w:szCs w:val="18"/>
              </w:rPr>
            </w:pPr>
          </w:p>
        </w:tc>
        <w:tc>
          <w:tcPr>
            <w:tcW w:w="185" w:type="pct"/>
            <w:tcBorders>
              <w:left w:val="double" w:sz="4" w:space="0" w:color="auto"/>
            </w:tcBorders>
            <w:vAlign w:val="center"/>
          </w:tcPr>
          <w:p w14:paraId="20219D33" w14:textId="259AC72A"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98" w:type="pct"/>
            <w:vAlign w:val="center"/>
          </w:tcPr>
          <w:p w14:paraId="44986B0B" w14:textId="77777777" w:rsidR="00731C16" w:rsidRPr="000E2267" w:rsidDel="007F2B69" w:rsidRDefault="00731C16" w:rsidP="00A441DA">
            <w:pPr>
              <w:keepNext/>
              <w:spacing w:line="240" w:lineRule="auto"/>
              <w:jc w:val="center"/>
              <w:rPr>
                <w:rFonts w:ascii="Times New Roman" w:hAnsi="Times New Roman"/>
                <w:sz w:val="18"/>
                <w:szCs w:val="18"/>
              </w:rPr>
            </w:pPr>
          </w:p>
        </w:tc>
        <w:tc>
          <w:tcPr>
            <w:tcW w:w="156" w:type="pct"/>
            <w:vAlign w:val="center"/>
          </w:tcPr>
          <w:p w14:paraId="264F63B5"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4EB0E102" w14:textId="77777777" w:rsidR="00731C16" w:rsidRPr="000E2267" w:rsidRDefault="00731C16" w:rsidP="00A441DA">
            <w:pPr>
              <w:keepNext/>
              <w:spacing w:line="240" w:lineRule="auto"/>
              <w:jc w:val="center"/>
              <w:rPr>
                <w:rFonts w:ascii="Times New Roman" w:hAnsi="Times New Roman"/>
                <w:sz w:val="18"/>
                <w:szCs w:val="18"/>
              </w:rPr>
            </w:pPr>
          </w:p>
        </w:tc>
        <w:tc>
          <w:tcPr>
            <w:tcW w:w="218" w:type="pct"/>
            <w:vAlign w:val="center"/>
          </w:tcPr>
          <w:p w14:paraId="656C9FA4"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13353FB5"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7CD9B028" w14:textId="77777777" w:rsidR="00731C16" w:rsidRPr="000E2267" w:rsidRDefault="00731C16" w:rsidP="00A441DA">
            <w:pPr>
              <w:keepNext/>
              <w:spacing w:line="240" w:lineRule="auto"/>
              <w:jc w:val="center"/>
              <w:rPr>
                <w:rFonts w:ascii="Times New Roman" w:hAnsi="Times New Roman"/>
                <w:sz w:val="18"/>
                <w:szCs w:val="18"/>
              </w:rPr>
            </w:pPr>
          </w:p>
        </w:tc>
        <w:tc>
          <w:tcPr>
            <w:tcW w:w="187" w:type="pct"/>
            <w:shd w:val="clear" w:color="auto" w:fill="FFFF00"/>
            <w:vAlign w:val="center"/>
          </w:tcPr>
          <w:p w14:paraId="72B4E3CA" w14:textId="29DEDA62" w:rsidR="00731C16" w:rsidRPr="000E2267" w:rsidRDefault="00731C16" w:rsidP="00A441DA">
            <w:pPr>
              <w:keepNext/>
              <w:spacing w:line="240" w:lineRule="auto"/>
              <w:jc w:val="center"/>
              <w:rPr>
                <w:rFonts w:ascii="Times New Roman" w:hAnsi="Times New Roman"/>
                <w:sz w:val="18"/>
                <w:szCs w:val="18"/>
              </w:rPr>
            </w:pPr>
          </w:p>
        </w:tc>
        <w:tc>
          <w:tcPr>
            <w:tcW w:w="219" w:type="pct"/>
            <w:vAlign w:val="center"/>
          </w:tcPr>
          <w:p w14:paraId="2093A2F6" w14:textId="77777777" w:rsidR="00731C16" w:rsidRPr="000E2267" w:rsidRDefault="00731C16" w:rsidP="00A441DA">
            <w:pPr>
              <w:keepNext/>
              <w:spacing w:line="240" w:lineRule="auto"/>
              <w:jc w:val="center"/>
              <w:rPr>
                <w:rFonts w:ascii="Times New Roman" w:hAnsi="Times New Roman"/>
                <w:sz w:val="18"/>
                <w:szCs w:val="18"/>
              </w:rPr>
            </w:pPr>
          </w:p>
        </w:tc>
        <w:tc>
          <w:tcPr>
            <w:tcW w:w="187" w:type="pct"/>
            <w:vAlign w:val="center"/>
          </w:tcPr>
          <w:p w14:paraId="5ADF8478"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4BE9C5E9" w14:textId="77777777" w:rsidR="00731C16" w:rsidRPr="000E2267" w:rsidRDefault="00731C16" w:rsidP="00A441DA">
            <w:pPr>
              <w:keepNext/>
              <w:spacing w:line="240" w:lineRule="auto"/>
              <w:jc w:val="center"/>
              <w:rPr>
                <w:rFonts w:ascii="Times New Roman" w:hAnsi="Times New Roman"/>
                <w:sz w:val="18"/>
                <w:szCs w:val="18"/>
              </w:rPr>
            </w:pPr>
          </w:p>
        </w:tc>
        <w:tc>
          <w:tcPr>
            <w:tcW w:w="187" w:type="pct"/>
            <w:vAlign w:val="center"/>
          </w:tcPr>
          <w:p w14:paraId="625A5F13" w14:textId="77777777" w:rsidR="00731C16" w:rsidRPr="000E2267" w:rsidRDefault="00731C16" w:rsidP="00A441DA">
            <w:pPr>
              <w:keepNext/>
              <w:spacing w:line="240" w:lineRule="auto"/>
              <w:jc w:val="center"/>
              <w:rPr>
                <w:rFonts w:ascii="Times New Roman" w:hAnsi="Times New Roman"/>
                <w:sz w:val="18"/>
                <w:szCs w:val="18"/>
              </w:rPr>
            </w:pPr>
          </w:p>
        </w:tc>
        <w:tc>
          <w:tcPr>
            <w:tcW w:w="218" w:type="pct"/>
            <w:tcBorders>
              <w:right w:val="double" w:sz="4" w:space="0" w:color="auto"/>
            </w:tcBorders>
            <w:vAlign w:val="center"/>
          </w:tcPr>
          <w:p w14:paraId="3FFE372A" w14:textId="77777777" w:rsidR="00731C16" w:rsidRPr="000E2267" w:rsidRDefault="00731C16" w:rsidP="00A441DA">
            <w:pPr>
              <w:keepNext/>
              <w:spacing w:line="240" w:lineRule="auto"/>
              <w:jc w:val="center"/>
              <w:rPr>
                <w:rFonts w:ascii="Times New Roman" w:hAnsi="Times New Roman"/>
                <w:sz w:val="18"/>
                <w:szCs w:val="18"/>
              </w:rPr>
            </w:pPr>
          </w:p>
        </w:tc>
        <w:tc>
          <w:tcPr>
            <w:tcW w:w="249" w:type="pct"/>
            <w:tcBorders>
              <w:left w:val="double" w:sz="4" w:space="0" w:color="auto"/>
            </w:tcBorders>
            <w:vAlign w:val="center"/>
          </w:tcPr>
          <w:p w14:paraId="1697293E" w14:textId="77777777" w:rsidR="00731C16" w:rsidRPr="000E2267" w:rsidRDefault="00731C16" w:rsidP="00A441DA">
            <w:pPr>
              <w:keepNext/>
              <w:spacing w:line="240" w:lineRule="auto"/>
              <w:jc w:val="center"/>
              <w:rPr>
                <w:rFonts w:ascii="Times New Roman" w:hAnsi="Times New Roman"/>
                <w:sz w:val="18"/>
                <w:szCs w:val="18"/>
              </w:rPr>
            </w:pPr>
          </w:p>
        </w:tc>
        <w:tc>
          <w:tcPr>
            <w:tcW w:w="250" w:type="pct"/>
            <w:vAlign w:val="center"/>
          </w:tcPr>
          <w:p w14:paraId="4015E0FA" w14:textId="77777777" w:rsidR="00731C16" w:rsidRPr="000E2267" w:rsidRDefault="00731C16" w:rsidP="00A441DA">
            <w:pPr>
              <w:keepNext/>
              <w:spacing w:line="240" w:lineRule="auto"/>
              <w:jc w:val="center"/>
              <w:rPr>
                <w:rFonts w:ascii="Times New Roman" w:hAnsi="Times New Roman"/>
                <w:sz w:val="18"/>
                <w:szCs w:val="18"/>
              </w:rPr>
            </w:pPr>
          </w:p>
        </w:tc>
        <w:tc>
          <w:tcPr>
            <w:tcW w:w="223" w:type="pct"/>
            <w:tcBorders>
              <w:right w:val="double" w:sz="4" w:space="0" w:color="auto"/>
            </w:tcBorders>
            <w:vAlign w:val="center"/>
          </w:tcPr>
          <w:p w14:paraId="0B2D9CD4" w14:textId="77777777" w:rsidR="00731C16" w:rsidRPr="000E2267" w:rsidRDefault="00731C16" w:rsidP="00A441DA">
            <w:pPr>
              <w:keepNext/>
              <w:spacing w:line="240" w:lineRule="auto"/>
              <w:jc w:val="center"/>
              <w:rPr>
                <w:rFonts w:ascii="Times New Roman" w:hAnsi="Times New Roman"/>
                <w:sz w:val="18"/>
                <w:szCs w:val="18"/>
              </w:rPr>
            </w:pPr>
          </w:p>
        </w:tc>
      </w:tr>
      <w:tr w:rsidR="00731C16" w:rsidRPr="000E2267" w14:paraId="5A720D69" w14:textId="77777777" w:rsidTr="008A3264">
        <w:trPr>
          <w:trHeight w:val="288"/>
        </w:trPr>
        <w:tc>
          <w:tcPr>
            <w:tcW w:w="720" w:type="pct"/>
            <w:tcBorders>
              <w:left w:val="double" w:sz="4" w:space="0" w:color="auto"/>
              <w:right w:val="double" w:sz="4" w:space="0" w:color="auto"/>
            </w:tcBorders>
            <w:vAlign w:val="center"/>
          </w:tcPr>
          <w:p w14:paraId="6D90EABC" w14:textId="77777777"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 xml:space="preserve">Chest X-ray </w:t>
            </w:r>
          </w:p>
        </w:tc>
        <w:tc>
          <w:tcPr>
            <w:tcW w:w="310" w:type="pct"/>
            <w:tcBorders>
              <w:left w:val="double" w:sz="4" w:space="0" w:color="auto"/>
            </w:tcBorders>
            <w:shd w:val="clear" w:color="auto" w:fill="FFFFFF"/>
            <w:vAlign w:val="center"/>
          </w:tcPr>
          <w:p w14:paraId="6B8A0D87" w14:textId="099027D0" w:rsidR="00731C16" w:rsidRPr="000E2267" w:rsidRDefault="00731C16" w:rsidP="00A441DA">
            <w:pPr>
              <w:keepNext/>
              <w:spacing w:line="240" w:lineRule="auto"/>
              <w:jc w:val="center"/>
              <w:rPr>
                <w:rFonts w:ascii="Times New Roman" w:hAnsi="Times New Roman"/>
                <w:sz w:val="18"/>
                <w:szCs w:val="18"/>
              </w:rPr>
            </w:pPr>
          </w:p>
        </w:tc>
        <w:tc>
          <w:tcPr>
            <w:tcW w:w="372" w:type="pct"/>
            <w:tcBorders>
              <w:left w:val="single" w:sz="4" w:space="0" w:color="auto"/>
              <w:right w:val="single" w:sz="4" w:space="0" w:color="auto"/>
            </w:tcBorders>
            <w:vAlign w:val="center"/>
          </w:tcPr>
          <w:p w14:paraId="6B6D74EA" w14:textId="57DBCCFF" w:rsidR="00731C16" w:rsidRPr="000E2267" w:rsidRDefault="00731C16" w:rsidP="00A441DA">
            <w:pPr>
              <w:keepNext/>
              <w:spacing w:line="240" w:lineRule="auto"/>
              <w:jc w:val="center"/>
              <w:rPr>
                <w:rFonts w:ascii="Times New Roman" w:hAnsi="Times New Roman"/>
                <w:sz w:val="18"/>
                <w:szCs w:val="18"/>
              </w:rPr>
            </w:pPr>
          </w:p>
        </w:tc>
        <w:tc>
          <w:tcPr>
            <w:tcW w:w="373" w:type="pct"/>
            <w:tcBorders>
              <w:left w:val="single" w:sz="4" w:space="0" w:color="auto"/>
              <w:right w:val="double" w:sz="4" w:space="0" w:color="auto"/>
            </w:tcBorders>
            <w:vAlign w:val="center"/>
          </w:tcPr>
          <w:p w14:paraId="2A35EF27" w14:textId="3DD75978"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5" w:type="pct"/>
            <w:tcBorders>
              <w:left w:val="double" w:sz="4" w:space="0" w:color="auto"/>
            </w:tcBorders>
            <w:vAlign w:val="center"/>
          </w:tcPr>
          <w:p w14:paraId="72246F6D" w14:textId="77777777" w:rsidR="00731C16" w:rsidRPr="000E2267" w:rsidRDefault="00731C16" w:rsidP="00A441DA">
            <w:pPr>
              <w:keepNext/>
              <w:spacing w:line="240" w:lineRule="auto"/>
              <w:jc w:val="center"/>
              <w:rPr>
                <w:rFonts w:ascii="Times New Roman" w:hAnsi="Times New Roman"/>
                <w:sz w:val="18"/>
                <w:szCs w:val="18"/>
              </w:rPr>
            </w:pPr>
          </w:p>
        </w:tc>
        <w:tc>
          <w:tcPr>
            <w:tcW w:w="198" w:type="pct"/>
            <w:vAlign w:val="center"/>
          </w:tcPr>
          <w:p w14:paraId="7AD394A4" w14:textId="77777777" w:rsidR="00731C16" w:rsidRPr="000E2267" w:rsidDel="007F2B69" w:rsidRDefault="00731C16" w:rsidP="00A441DA">
            <w:pPr>
              <w:keepNext/>
              <w:spacing w:line="240" w:lineRule="auto"/>
              <w:jc w:val="center"/>
              <w:rPr>
                <w:rFonts w:ascii="Times New Roman" w:hAnsi="Times New Roman"/>
                <w:sz w:val="18"/>
                <w:szCs w:val="18"/>
              </w:rPr>
            </w:pPr>
          </w:p>
        </w:tc>
        <w:tc>
          <w:tcPr>
            <w:tcW w:w="156" w:type="pct"/>
            <w:vAlign w:val="center"/>
          </w:tcPr>
          <w:p w14:paraId="21FA54EF"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1B992A52" w14:textId="77777777" w:rsidR="00731C16" w:rsidRPr="000E2267" w:rsidRDefault="00731C16" w:rsidP="00A441DA">
            <w:pPr>
              <w:keepNext/>
              <w:spacing w:line="240" w:lineRule="auto"/>
              <w:jc w:val="center"/>
              <w:rPr>
                <w:rFonts w:ascii="Times New Roman" w:hAnsi="Times New Roman"/>
                <w:sz w:val="18"/>
                <w:szCs w:val="18"/>
              </w:rPr>
            </w:pPr>
          </w:p>
        </w:tc>
        <w:tc>
          <w:tcPr>
            <w:tcW w:w="218" w:type="pct"/>
            <w:vAlign w:val="center"/>
          </w:tcPr>
          <w:p w14:paraId="72CE45EB"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6E5D2DBF"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07B0EF74" w14:textId="77777777" w:rsidR="00731C16" w:rsidRPr="000E2267" w:rsidRDefault="00731C16" w:rsidP="00A441DA">
            <w:pPr>
              <w:keepNext/>
              <w:spacing w:line="240" w:lineRule="auto"/>
              <w:jc w:val="center"/>
              <w:rPr>
                <w:rFonts w:ascii="Times New Roman" w:hAnsi="Times New Roman"/>
                <w:sz w:val="18"/>
                <w:szCs w:val="18"/>
              </w:rPr>
            </w:pPr>
          </w:p>
        </w:tc>
        <w:tc>
          <w:tcPr>
            <w:tcW w:w="187" w:type="pct"/>
            <w:shd w:val="clear" w:color="auto" w:fill="FFFF00"/>
            <w:vAlign w:val="center"/>
          </w:tcPr>
          <w:p w14:paraId="5DF948EE" w14:textId="6CEA47B8" w:rsidR="00731C16" w:rsidRPr="000E2267" w:rsidRDefault="00731C16" w:rsidP="00A441DA">
            <w:pPr>
              <w:keepNext/>
              <w:spacing w:line="240" w:lineRule="auto"/>
              <w:jc w:val="center"/>
              <w:rPr>
                <w:rFonts w:ascii="Times New Roman" w:hAnsi="Times New Roman"/>
                <w:sz w:val="18"/>
                <w:szCs w:val="18"/>
              </w:rPr>
            </w:pPr>
          </w:p>
        </w:tc>
        <w:tc>
          <w:tcPr>
            <w:tcW w:w="219" w:type="pct"/>
            <w:vAlign w:val="center"/>
          </w:tcPr>
          <w:p w14:paraId="3F6FB4B1" w14:textId="77777777" w:rsidR="00731C16" w:rsidRPr="000E2267" w:rsidRDefault="00731C16" w:rsidP="00A441DA">
            <w:pPr>
              <w:keepNext/>
              <w:spacing w:line="240" w:lineRule="auto"/>
              <w:jc w:val="center"/>
              <w:rPr>
                <w:rFonts w:ascii="Times New Roman" w:hAnsi="Times New Roman"/>
                <w:sz w:val="18"/>
                <w:szCs w:val="18"/>
              </w:rPr>
            </w:pPr>
          </w:p>
        </w:tc>
        <w:tc>
          <w:tcPr>
            <w:tcW w:w="187" w:type="pct"/>
            <w:vAlign w:val="center"/>
          </w:tcPr>
          <w:p w14:paraId="3B73C929"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63F90215" w14:textId="77777777" w:rsidR="00731C16" w:rsidRPr="000E2267" w:rsidRDefault="00731C16" w:rsidP="00A441DA">
            <w:pPr>
              <w:keepNext/>
              <w:spacing w:line="240" w:lineRule="auto"/>
              <w:jc w:val="center"/>
              <w:rPr>
                <w:rFonts w:ascii="Times New Roman" w:hAnsi="Times New Roman"/>
                <w:sz w:val="18"/>
                <w:szCs w:val="18"/>
              </w:rPr>
            </w:pPr>
          </w:p>
        </w:tc>
        <w:tc>
          <w:tcPr>
            <w:tcW w:w="187" w:type="pct"/>
            <w:vAlign w:val="center"/>
          </w:tcPr>
          <w:p w14:paraId="62D1D7D0" w14:textId="77777777" w:rsidR="00731C16" w:rsidRPr="000E2267" w:rsidRDefault="00731C16" w:rsidP="00A441DA">
            <w:pPr>
              <w:keepNext/>
              <w:spacing w:line="240" w:lineRule="auto"/>
              <w:jc w:val="center"/>
              <w:rPr>
                <w:rFonts w:ascii="Times New Roman" w:hAnsi="Times New Roman"/>
                <w:sz w:val="18"/>
                <w:szCs w:val="18"/>
              </w:rPr>
            </w:pPr>
          </w:p>
        </w:tc>
        <w:tc>
          <w:tcPr>
            <w:tcW w:w="218" w:type="pct"/>
            <w:tcBorders>
              <w:right w:val="double" w:sz="4" w:space="0" w:color="auto"/>
            </w:tcBorders>
            <w:vAlign w:val="center"/>
          </w:tcPr>
          <w:p w14:paraId="27512DE4" w14:textId="77777777" w:rsidR="00731C16" w:rsidRPr="000E2267" w:rsidRDefault="00731C16" w:rsidP="00A441DA">
            <w:pPr>
              <w:keepNext/>
              <w:spacing w:line="240" w:lineRule="auto"/>
              <w:jc w:val="center"/>
              <w:rPr>
                <w:rFonts w:ascii="Times New Roman" w:hAnsi="Times New Roman"/>
                <w:sz w:val="18"/>
                <w:szCs w:val="18"/>
              </w:rPr>
            </w:pPr>
          </w:p>
        </w:tc>
        <w:tc>
          <w:tcPr>
            <w:tcW w:w="249" w:type="pct"/>
            <w:tcBorders>
              <w:left w:val="double" w:sz="4" w:space="0" w:color="auto"/>
            </w:tcBorders>
            <w:vAlign w:val="center"/>
          </w:tcPr>
          <w:p w14:paraId="705A49CF" w14:textId="77777777" w:rsidR="00731C16" w:rsidRPr="000E2267" w:rsidRDefault="00731C16" w:rsidP="00A441DA">
            <w:pPr>
              <w:keepNext/>
              <w:spacing w:line="240" w:lineRule="auto"/>
              <w:jc w:val="center"/>
              <w:rPr>
                <w:rFonts w:ascii="Times New Roman" w:hAnsi="Times New Roman"/>
                <w:sz w:val="18"/>
                <w:szCs w:val="18"/>
              </w:rPr>
            </w:pPr>
          </w:p>
        </w:tc>
        <w:tc>
          <w:tcPr>
            <w:tcW w:w="250" w:type="pct"/>
            <w:vAlign w:val="center"/>
          </w:tcPr>
          <w:p w14:paraId="52CE7D10" w14:textId="77777777" w:rsidR="00731C16" w:rsidRPr="000E2267" w:rsidRDefault="00731C16" w:rsidP="00A441DA">
            <w:pPr>
              <w:keepNext/>
              <w:spacing w:line="240" w:lineRule="auto"/>
              <w:jc w:val="center"/>
              <w:rPr>
                <w:rFonts w:ascii="Times New Roman" w:hAnsi="Times New Roman"/>
                <w:sz w:val="18"/>
                <w:szCs w:val="18"/>
              </w:rPr>
            </w:pPr>
          </w:p>
        </w:tc>
        <w:tc>
          <w:tcPr>
            <w:tcW w:w="223" w:type="pct"/>
            <w:tcBorders>
              <w:right w:val="double" w:sz="4" w:space="0" w:color="auto"/>
            </w:tcBorders>
            <w:vAlign w:val="center"/>
          </w:tcPr>
          <w:p w14:paraId="6F138213" w14:textId="77777777" w:rsidR="00731C16" w:rsidRPr="000E2267" w:rsidRDefault="00731C16" w:rsidP="00A441DA">
            <w:pPr>
              <w:keepNext/>
              <w:spacing w:line="240" w:lineRule="auto"/>
              <w:jc w:val="center"/>
              <w:rPr>
                <w:rFonts w:ascii="Times New Roman" w:hAnsi="Times New Roman"/>
                <w:sz w:val="18"/>
                <w:szCs w:val="18"/>
              </w:rPr>
            </w:pPr>
          </w:p>
        </w:tc>
      </w:tr>
      <w:tr w:rsidR="00731C16" w:rsidRPr="000E2267" w14:paraId="65D6A588" w14:textId="77777777" w:rsidTr="008A3264">
        <w:trPr>
          <w:trHeight w:val="288"/>
        </w:trPr>
        <w:tc>
          <w:tcPr>
            <w:tcW w:w="720" w:type="pct"/>
            <w:tcBorders>
              <w:left w:val="double" w:sz="4" w:space="0" w:color="auto"/>
              <w:right w:val="double" w:sz="4" w:space="0" w:color="auto"/>
            </w:tcBorders>
            <w:vAlign w:val="center"/>
          </w:tcPr>
          <w:p w14:paraId="64794E62" w14:textId="729F7824" w:rsidR="00731C16" w:rsidRPr="000E2267" w:rsidRDefault="00731C16" w:rsidP="00675FD1">
            <w:pPr>
              <w:keepNext/>
              <w:spacing w:line="240" w:lineRule="auto"/>
              <w:ind w:left="-11" w:firstLine="11"/>
              <w:rPr>
                <w:rFonts w:ascii="Times New Roman" w:hAnsi="Times New Roman"/>
                <w:sz w:val="18"/>
                <w:szCs w:val="18"/>
                <w:vertAlign w:val="superscript"/>
              </w:rPr>
            </w:pPr>
            <w:r w:rsidRPr="000E2267">
              <w:rPr>
                <w:rFonts w:ascii="Times New Roman" w:hAnsi="Times New Roman"/>
                <w:sz w:val="18"/>
                <w:szCs w:val="18"/>
              </w:rPr>
              <w:t>Sputum Samples (x2)</w:t>
            </w:r>
          </w:p>
        </w:tc>
        <w:tc>
          <w:tcPr>
            <w:tcW w:w="310" w:type="pct"/>
            <w:tcBorders>
              <w:left w:val="double" w:sz="4" w:space="0" w:color="auto"/>
            </w:tcBorders>
            <w:shd w:val="clear" w:color="auto" w:fill="FFFFFF"/>
            <w:vAlign w:val="center"/>
          </w:tcPr>
          <w:p w14:paraId="1CC0EC41"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2" w:type="pct"/>
            <w:tcBorders>
              <w:left w:val="single" w:sz="4" w:space="0" w:color="auto"/>
              <w:right w:val="single" w:sz="4" w:space="0" w:color="auto"/>
            </w:tcBorders>
            <w:vAlign w:val="center"/>
          </w:tcPr>
          <w:p w14:paraId="22F924AB" w14:textId="7C564B2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3" w:type="pct"/>
            <w:tcBorders>
              <w:left w:val="single" w:sz="4" w:space="0" w:color="auto"/>
              <w:right w:val="double" w:sz="4" w:space="0" w:color="auto"/>
            </w:tcBorders>
            <w:vAlign w:val="center"/>
          </w:tcPr>
          <w:p w14:paraId="30344D9C" w14:textId="29E818BC"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5" w:type="pct"/>
            <w:tcBorders>
              <w:left w:val="double" w:sz="4" w:space="0" w:color="auto"/>
            </w:tcBorders>
            <w:vAlign w:val="center"/>
          </w:tcPr>
          <w:p w14:paraId="619224E6" w14:textId="3E4BEA8F"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98" w:type="pct"/>
            <w:vAlign w:val="center"/>
          </w:tcPr>
          <w:p w14:paraId="3E9E737B"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5FC10D0C" w14:textId="4D543C94"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3</w:t>
            </w:r>
          </w:p>
        </w:tc>
        <w:tc>
          <w:tcPr>
            <w:tcW w:w="156" w:type="pct"/>
            <w:vAlign w:val="center"/>
          </w:tcPr>
          <w:p w14:paraId="0C1E7D9F" w14:textId="33A4E25E"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3</w:t>
            </w:r>
          </w:p>
        </w:tc>
        <w:tc>
          <w:tcPr>
            <w:tcW w:w="218" w:type="pct"/>
            <w:vAlign w:val="center"/>
          </w:tcPr>
          <w:p w14:paraId="029374A5" w14:textId="7170B87E"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3</w:t>
            </w:r>
          </w:p>
        </w:tc>
        <w:tc>
          <w:tcPr>
            <w:tcW w:w="218" w:type="pct"/>
            <w:shd w:val="clear" w:color="auto" w:fill="FFFF00"/>
            <w:vAlign w:val="center"/>
          </w:tcPr>
          <w:p w14:paraId="6DEE9862" w14:textId="14C1A32B" w:rsidR="00731C16" w:rsidRPr="000E2267" w:rsidRDefault="008A3264"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3</w:t>
            </w:r>
          </w:p>
        </w:tc>
        <w:tc>
          <w:tcPr>
            <w:tcW w:w="218" w:type="pct"/>
            <w:shd w:val="clear" w:color="auto" w:fill="FFFF00"/>
            <w:vAlign w:val="center"/>
          </w:tcPr>
          <w:p w14:paraId="7558DB84" w14:textId="60C08B0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3</w:t>
            </w:r>
          </w:p>
        </w:tc>
        <w:tc>
          <w:tcPr>
            <w:tcW w:w="187" w:type="pct"/>
            <w:shd w:val="clear" w:color="auto" w:fill="FFFF00"/>
            <w:vAlign w:val="center"/>
          </w:tcPr>
          <w:p w14:paraId="08C604B2" w14:textId="55A27305"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3</w:t>
            </w:r>
          </w:p>
        </w:tc>
        <w:tc>
          <w:tcPr>
            <w:tcW w:w="219" w:type="pct"/>
            <w:vAlign w:val="center"/>
          </w:tcPr>
          <w:p w14:paraId="2FAEE287" w14:textId="564C9D08"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3</w:t>
            </w:r>
          </w:p>
        </w:tc>
        <w:tc>
          <w:tcPr>
            <w:tcW w:w="187" w:type="pct"/>
            <w:vAlign w:val="center"/>
          </w:tcPr>
          <w:p w14:paraId="633521EB" w14:textId="54312D92"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3</w:t>
            </w:r>
          </w:p>
        </w:tc>
        <w:tc>
          <w:tcPr>
            <w:tcW w:w="156" w:type="pct"/>
            <w:vAlign w:val="center"/>
          </w:tcPr>
          <w:p w14:paraId="08631C27" w14:textId="7DAE28EE"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3</w:t>
            </w:r>
          </w:p>
        </w:tc>
        <w:tc>
          <w:tcPr>
            <w:tcW w:w="187" w:type="pct"/>
            <w:vAlign w:val="center"/>
          </w:tcPr>
          <w:p w14:paraId="5D3BA73C" w14:textId="1D652C12"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3</w:t>
            </w:r>
          </w:p>
        </w:tc>
        <w:tc>
          <w:tcPr>
            <w:tcW w:w="218" w:type="pct"/>
            <w:tcBorders>
              <w:right w:val="double" w:sz="4" w:space="0" w:color="auto"/>
            </w:tcBorders>
            <w:vAlign w:val="center"/>
          </w:tcPr>
          <w:p w14:paraId="548B82EF" w14:textId="4D5880E3"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3</w:t>
            </w:r>
          </w:p>
        </w:tc>
        <w:tc>
          <w:tcPr>
            <w:tcW w:w="249" w:type="pct"/>
            <w:tcBorders>
              <w:left w:val="double" w:sz="4" w:space="0" w:color="auto"/>
            </w:tcBorders>
            <w:vAlign w:val="center"/>
          </w:tcPr>
          <w:p w14:paraId="072AF860" w14:textId="57554FD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3</w:t>
            </w:r>
          </w:p>
        </w:tc>
        <w:tc>
          <w:tcPr>
            <w:tcW w:w="250" w:type="pct"/>
            <w:vAlign w:val="center"/>
          </w:tcPr>
          <w:p w14:paraId="16871D6B" w14:textId="7EE4E0F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3</w:t>
            </w:r>
          </w:p>
        </w:tc>
        <w:tc>
          <w:tcPr>
            <w:tcW w:w="223" w:type="pct"/>
            <w:tcBorders>
              <w:right w:val="double" w:sz="4" w:space="0" w:color="auto"/>
            </w:tcBorders>
            <w:vAlign w:val="center"/>
          </w:tcPr>
          <w:p w14:paraId="502CE83F" w14:textId="2D975938"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3</w:t>
            </w:r>
          </w:p>
        </w:tc>
      </w:tr>
      <w:tr w:rsidR="00731C16" w:rsidRPr="000E2267" w14:paraId="69D58AC5" w14:textId="77777777" w:rsidTr="00EE1857">
        <w:trPr>
          <w:trHeight w:val="288"/>
        </w:trPr>
        <w:tc>
          <w:tcPr>
            <w:tcW w:w="720" w:type="pct"/>
            <w:tcBorders>
              <w:left w:val="double" w:sz="4" w:space="0" w:color="auto"/>
              <w:right w:val="double" w:sz="4" w:space="0" w:color="auto"/>
            </w:tcBorders>
            <w:vAlign w:val="center"/>
          </w:tcPr>
          <w:p w14:paraId="76993AC7" w14:textId="77777777"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Vital Signs</w:t>
            </w:r>
          </w:p>
        </w:tc>
        <w:tc>
          <w:tcPr>
            <w:tcW w:w="310" w:type="pct"/>
            <w:tcBorders>
              <w:left w:val="double" w:sz="4" w:space="0" w:color="auto"/>
            </w:tcBorders>
            <w:shd w:val="clear" w:color="auto" w:fill="FFFFFF"/>
            <w:vAlign w:val="center"/>
          </w:tcPr>
          <w:p w14:paraId="6F70E577" w14:textId="1D87C8E1"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2" w:type="pct"/>
            <w:tcBorders>
              <w:left w:val="single" w:sz="4" w:space="0" w:color="auto"/>
              <w:right w:val="single" w:sz="4" w:space="0" w:color="auto"/>
            </w:tcBorders>
            <w:vAlign w:val="center"/>
          </w:tcPr>
          <w:p w14:paraId="1F2ECA46" w14:textId="7D322964"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3" w:type="pct"/>
            <w:tcBorders>
              <w:left w:val="single" w:sz="4" w:space="0" w:color="auto"/>
              <w:right w:val="double" w:sz="4" w:space="0" w:color="auto"/>
            </w:tcBorders>
            <w:vAlign w:val="center"/>
          </w:tcPr>
          <w:p w14:paraId="59200C20" w14:textId="086AD060"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5" w:type="pct"/>
            <w:tcBorders>
              <w:left w:val="double" w:sz="4" w:space="0" w:color="auto"/>
            </w:tcBorders>
            <w:vAlign w:val="center"/>
          </w:tcPr>
          <w:p w14:paraId="3D7E183E"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98" w:type="pct"/>
            <w:vAlign w:val="center"/>
          </w:tcPr>
          <w:p w14:paraId="2974DC97"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033F4D13"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2E7C7891"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7F775135" w14:textId="3DF0E583" w:rsidR="00731C16" w:rsidRPr="000E2267" w:rsidRDefault="00FC0395" w:rsidP="00A441DA">
            <w:pPr>
              <w:keepNext/>
              <w:spacing w:line="240" w:lineRule="auto"/>
              <w:jc w:val="center"/>
              <w:rPr>
                <w:rFonts w:ascii="Times New Roman" w:hAnsi="Times New Roman"/>
                <w:sz w:val="18"/>
                <w:szCs w:val="18"/>
              </w:rPr>
            </w:pPr>
            <w:r>
              <w:rPr>
                <w:rFonts w:ascii="Times New Roman" w:hAnsi="Times New Roman"/>
                <w:sz w:val="18"/>
                <w:szCs w:val="18"/>
              </w:rPr>
              <w:t>X</w:t>
            </w:r>
          </w:p>
        </w:tc>
        <w:tc>
          <w:tcPr>
            <w:tcW w:w="218" w:type="pct"/>
            <w:shd w:val="clear" w:color="auto" w:fill="FFFF00"/>
            <w:vAlign w:val="center"/>
          </w:tcPr>
          <w:p w14:paraId="1F736D85" w14:textId="54235ABC"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shd w:val="clear" w:color="auto" w:fill="FFFF00"/>
            <w:vAlign w:val="center"/>
          </w:tcPr>
          <w:p w14:paraId="2A3D462F" w14:textId="6B5CC8EB"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shd w:val="clear" w:color="auto" w:fill="FFFF00"/>
            <w:vAlign w:val="center"/>
          </w:tcPr>
          <w:p w14:paraId="782A2206" w14:textId="4F3A024E" w:rsidR="00731C16" w:rsidRPr="000E2267" w:rsidRDefault="00731C16" w:rsidP="00A441DA">
            <w:pPr>
              <w:keepNext/>
              <w:spacing w:line="240" w:lineRule="auto"/>
              <w:jc w:val="center"/>
              <w:rPr>
                <w:rFonts w:ascii="Times New Roman" w:hAnsi="Times New Roman"/>
                <w:sz w:val="18"/>
                <w:szCs w:val="18"/>
              </w:rPr>
            </w:pPr>
          </w:p>
        </w:tc>
        <w:tc>
          <w:tcPr>
            <w:tcW w:w="219" w:type="pct"/>
            <w:vAlign w:val="center"/>
          </w:tcPr>
          <w:p w14:paraId="03683EBD"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513B8431"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734B3A18"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280092F2" w14:textId="77777777" w:rsidR="00731C16" w:rsidRPr="000E2267" w:rsidRDefault="00731C16" w:rsidP="00A441DA">
            <w:pPr>
              <w:keepNext/>
              <w:spacing w:line="240" w:lineRule="auto"/>
              <w:jc w:val="center"/>
              <w:rPr>
                <w:rFonts w:ascii="Times New Roman" w:hAnsi="Times New Roman"/>
                <w:sz w:val="18"/>
                <w:szCs w:val="18"/>
              </w:rPr>
            </w:pPr>
          </w:p>
        </w:tc>
        <w:tc>
          <w:tcPr>
            <w:tcW w:w="218" w:type="pct"/>
            <w:tcBorders>
              <w:right w:val="double" w:sz="4" w:space="0" w:color="auto"/>
            </w:tcBorders>
            <w:vAlign w:val="center"/>
          </w:tcPr>
          <w:p w14:paraId="39121ADE" w14:textId="34D49A6A" w:rsidR="00731C16" w:rsidRPr="000E2267" w:rsidRDefault="00731C16" w:rsidP="004C18C6">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49" w:type="pct"/>
            <w:tcBorders>
              <w:left w:val="double" w:sz="4" w:space="0" w:color="auto"/>
            </w:tcBorders>
            <w:vAlign w:val="center"/>
          </w:tcPr>
          <w:p w14:paraId="069D7F08" w14:textId="77777777" w:rsidR="00731C16" w:rsidRPr="000E2267" w:rsidRDefault="00731C16" w:rsidP="00A441DA">
            <w:pPr>
              <w:keepNext/>
              <w:spacing w:line="240" w:lineRule="auto"/>
              <w:jc w:val="center"/>
              <w:rPr>
                <w:rFonts w:ascii="Times New Roman" w:hAnsi="Times New Roman"/>
                <w:sz w:val="18"/>
                <w:szCs w:val="18"/>
              </w:rPr>
            </w:pPr>
          </w:p>
        </w:tc>
        <w:tc>
          <w:tcPr>
            <w:tcW w:w="250" w:type="pct"/>
            <w:vAlign w:val="center"/>
          </w:tcPr>
          <w:p w14:paraId="631F1B37" w14:textId="77777777" w:rsidR="00731C16" w:rsidRPr="000E2267" w:rsidRDefault="00731C16" w:rsidP="00A441DA">
            <w:pPr>
              <w:keepNext/>
              <w:spacing w:line="240" w:lineRule="auto"/>
              <w:jc w:val="center"/>
              <w:rPr>
                <w:rFonts w:ascii="Times New Roman" w:hAnsi="Times New Roman"/>
                <w:sz w:val="18"/>
                <w:szCs w:val="18"/>
              </w:rPr>
            </w:pPr>
          </w:p>
        </w:tc>
        <w:tc>
          <w:tcPr>
            <w:tcW w:w="223" w:type="pct"/>
            <w:tcBorders>
              <w:right w:val="double" w:sz="4" w:space="0" w:color="auto"/>
            </w:tcBorders>
            <w:vAlign w:val="center"/>
          </w:tcPr>
          <w:p w14:paraId="02B4B6CD" w14:textId="77777777" w:rsidR="00731C16" w:rsidRPr="000E2267" w:rsidRDefault="00731C16" w:rsidP="00A441DA">
            <w:pPr>
              <w:keepNext/>
              <w:spacing w:line="240" w:lineRule="auto"/>
              <w:jc w:val="center"/>
              <w:rPr>
                <w:rFonts w:ascii="Times New Roman" w:hAnsi="Times New Roman"/>
                <w:sz w:val="18"/>
                <w:szCs w:val="18"/>
              </w:rPr>
            </w:pPr>
          </w:p>
        </w:tc>
      </w:tr>
      <w:tr w:rsidR="00731C16" w:rsidRPr="000E2267" w14:paraId="6A7B8C70" w14:textId="77777777" w:rsidTr="00330D07">
        <w:trPr>
          <w:trHeight w:val="288"/>
        </w:trPr>
        <w:tc>
          <w:tcPr>
            <w:tcW w:w="720" w:type="pct"/>
            <w:tcBorders>
              <w:left w:val="double" w:sz="4" w:space="0" w:color="auto"/>
              <w:right w:val="double" w:sz="4" w:space="0" w:color="auto"/>
            </w:tcBorders>
            <w:vAlign w:val="center"/>
          </w:tcPr>
          <w:p w14:paraId="40399F87" w14:textId="77777777"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Hematology/Chemistries</w:t>
            </w:r>
          </w:p>
        </w:tc>
        <w:tc>
          <w:tcPr>
            <w:tcW w:w="310" w:type="pct"/>
            <w:tcBorders>
              <w:left w:val="double" w:sz="4" w:space="0" w:color="auto"/>
            </w:tcBorders>
            <w:shd w:val="clear" w:color="auto" w:fill="FFFFFF"/>
            <w:vAlign w:val="center"/>
          </w:tcPr>
          <w:p w14:paraId="7DA9E777" w14:textId="77777777" w:rsidR="00731C16" w:rsidRPr="000E2267" w:rsidRDefault="00731C16" w:rsidP="00A441DA">
            <w:pPr>
              <w:keepNext/>
              <w:spacing w:line="240" w:lineRule="auto"/>
              <w:jc w:val="center"/>
              <w:rPr>
                <w:rFonts w:ascii="Times New Roman" w:hAnsi="Times New Roman"/>
                <w:sz w:val="18"/>
                <w:szCs w:val="18"/>
              </w:rPr>
            </w:pPr>
          </w:p>
        </w:tc>
        <w:tc>
          <w:tcPr>
            <w:tcW w:w="372" w:type="pct"/>
            <w:tcBorders>
              <w:left w:val="single" w:sz="4" w:space="0" w:color="auto"/>
              <w:right w:val="single" w:sz="4" w:space="0" w:color="auto"/>
            </w:tcBorders>
            <w:vAlign w:val="center"/>
          </w:tcPr>
          <w:p w14:paraId="79D65FC6" w14:textId="282A3ACB" w:rsidR="00731C16" w:rsidRPr="000E2267" w:rsidRDefault="00731C16" w:rsidP="00A441DA">
            <w:pPr>
              <w:keepNext/>
              <w:spacing w:line="240" w:lineRule="auto"/>
              <w:jc w:val="center"/>
              <w:rPr>
                <w:rFonts w:ascii="Times New Roman" w:hAnsi="Times New Roman"/>
                <w:sz w:val="18"/>
                <w:szCs w:val="18"/>
              </w:rPr>
            </w:pPr>
          </w:p>
        </w:tc>
        <w:tc>
          <w:tcPr>
            <w:tcW w:w="373" w:type="pct"/>
            <w:tcBorders>
              <w:left w:val="single" w:sz="4" w:space="0" w:color="auto"/>
              <w:right w:val="double" w:sz="4" w:space="0" w:color="auto"/>
            </w:tcBorders>
            <w:vAlign w:val="center"/>
          </w:tcPr>
          <w:p w14:paraId="7A21AFDF" w14:textId="771E4B12"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5" w:type="pct"/>
            <w:tcBorders>
              <w:left w:val="double" w:sz="4" w:space="0" w:color="auto"/>
            </w:tcBorders>
            <w:vAlign w:val="center"/>
          </w:tcPr>
          <w:p w14:paraId="7964F093" w14:textId="77777777" w:rsidR="00731C16" w:rsidRPr="000E2267" w:rsidRDefault="00731C16" w:rsidP="00A441DA">
            <w:pPr>
              <w:keepNext/>
              <w:spacing w:line="240" w:lineRule="auto"/>
              <w:jc w:val="center"/>
              <w:rPr>
                <w:rFonts w:ascii="Times New Roman" w:hAnsi="Times New Roman"/>
                <w:sz w:val="18"/>
                <w:szCs w:val="18"/>
              </w:rPr>
            </w:pPr>
          </w:p>
        </w:tc>
        <w:tc>
          <w:tcPr>
            <w:tcW w:w="198" w:type="pct"/>
            <w:vAlign w:val="center"/>
          </w:tcPr>
          <w:p w14:paraId="306E2D44"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0DCB58E8"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4D1E6F88"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6DCB6E48" w14:textId="70C367FD" w:rsidR="00731C16" w:rsidRPr="000E2267" w:rsidRDefault="00330D07" w:rsidP="00A441DA">
            <w:pPr>
              <w:keepNext/>
              <w:spacing w:line="240" w:lineRule="auto"/>
              <w:jc w:val="center"/>
              <w:rPr>
                <w:rFonts w:ascii="Times New Roman" w:hAnsi="Times New Roman"/>
                <w:sz w:val="18"/>
                <w:szCs w:val="18"/>
              </w:rPr>
            </w:pPr>
            <w:r>
              <w:rPr>
                <w:rFonts w:ascii="Times New Roman" w:hAnsi="Times New Roman"/>
                <w:sz w:val="18"/>
                <w:szCs w:val="18"/>
              </w:rPr>
              <w:t>X</w:t>
            </w:r>
          </w:p>
        </w:tc>
        <w:tc>
          <w:tcPr>
            <w:tcW w:w="218" w:type="pct"/>
            <w:shd w:val="clear" w:color="auto" w:fill="FFFF00"/>
            <w:vAlign w:val="center"/>
          </w:tcPr>
          <w:p w14:paraId="3052B5F2"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701ACD11" w14:textId="6194CB6A"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shd w:val="clear" w:color="auto" w:fill="FFFF00"/>
            <w:vAlign w:val="center"/>
          </w:tcPr>
          <w:p w14:paraId="23A9978A" w14:textId="05D23F1A" w:rsidR="00731C16" w:rsidRPr="000E2267" w:rsidRDefault="00731C16" w:rsidP="00A441DA">
            <w:pPr>
              <w:keepNext/>
              <w:spacing w:line="240" w:lineRule="auto"/>
              <w:jc w:val="center"/>
              <w:rPr>
                <w:rFonts w:ascii="Times New Roman" w:hAnsi="Times New Roman"/>
                <w:sz w:val="18"/>
                <w:szCs w:val="18"/>
              </w:rPr>
            </w:pPr>
          </w:p>
        </w:tc>
        <w:tc>
          <w:tcPr>
            <w:tcW w:w="219" w:type="pct"/>
            <w:vAlign w:val="center"/>
          </w:tcPr>
          <w:p w14:paraId="3C274886" w14:textId="0BC52EA2"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4A1609C8"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4A8213F9" w14:textId="77777777" w:rsidR="00731C16" w:rsidRPr="000E2267" w:rsidRDefault="00731C16" w:rsidP="00A441DA">
            <w:pPr>
              <w:keepNext/>
              <w:spacing w:line="240" w:lineRule="auto"/>
              <w:jc w:val="center"/>
              <w:rPr>
                <w:rFonts w:ascii="Times New Roman" w:hAnsi="Times New Roman"/>
                <w:sz w:val="18"/>
                <w:szCs w:val="18"/>
                <w:vertAlign w:val="superscript"/>
              </w:rPr>
            </w:pPr>
            <w:r w:rsidRPr="000E2267">
              <w:rPr>
                <w:rFonts w:ascii="Times New Roman" w:hAnsi="Times New Roman"/>
                <w:sz w:val="18"/>
                <w:szCs w:val="18"/>
              </w:rPr>
              <w:t>X</w:t>
            </w:r>
          </w:p>
        </w:tc>
        <w:tc>
          <w:tcPr>
            <w:tcW w:w="187" w:type="pct"/>
            <w:vAlign w:val="center"/>
          </w:tcPr>
          <w:p w14:paraId="7B451AE2" w14:textId="77777777" w:rsidR="00731C16" w:rsidRPr="000E2267" w:rsidRDefault="00731C16" w:rsidP="00A441DA">
            <w:pPr>
              <w:keepNext/>
              <w:spacing w:line="240" w:lineRule="auto"/>
              <w:jc w:val="center"/>
              <w:rPr>
                <w:rFonts w:ascii="Times New Roman" w:hAnsi="Times New Roman"/>
                <w:sz w:val="18"/>
                <w:szCs w:val="18"/>
              </w:rPr>
            </w:pPr>
          </w:p>
        </w:tc>
        <w:tc>
          <w:tcPr>
            <w:tcW w:w="218" w:type="pct"/>
            <w:tcBorders>
              <w:right w:val="double" w:sz="4" w:space="0" w:color="auto"/>
            </w:tcBorders>
            <w:vAlign w:val="center"/>
          </w:tcPr>
          <w:p w14:paraId="252551BB" w14:textId="6070C023" w:rsidR="00731C16" w:rsidRPr="000E2267" w:rsidRDefault="00731C16" w:rsidP="00A441DA">
            <w:pPr>
              <w:keepNext/>
              <w:spacing w:line="240" w:lineRule="auto"/>
              <w:jc w:val="center"/>
              <w:rPr>
                <w:rFonts w:ascii="Times New Roman" w:hAnsi="Times New Roman"/>
                <w:sz w:val="18"/>
                <w:szCs w:val="18"/>
              </w:rPr>
            </w:pPr>
          </w:p>
        </w:tc>
        <w:tc>
          <w:tcPr>
            <w:tcW w:w="249" w:type="pct"/>
            <w:tcBorders>
              <w:left w:val="double" w:sz="4" w:space="0" w:color="auto"/>
            </w:tcBorders>
            <w:vAlign w:val="center"/>
          </w:tcPr>
          <w:p w14:paraId="23BD2F8D" w14:textId="77777777" w:rsidR="00731C16" w:rsidRPr="000E2267" w:rsidRDefault="00731C16" w:rsidP="00A441DA">
            <w:pPr>
              <w:keepNext/>
              <w:spacing w:line="240" w:lineRule="auto"/>
              <w:jc w:val="center"/>
              <w:rPr>
                <w:rFonts w:ascii="Times New Roman" w:hAnsi="Times New Roman"/>
                <w:sz w:val="18"/>
                <w:szCs w:val="18"/>
              </w:rPr>
            </w:pPr>
          </w:p>
        </w:tc>
        <w:tc>
          <w:tcPr>
            <w:tcW w:w="250" w:type="pct"/>
            <w:vAlign w:val="center"/>
          </w:tcPr>
          <w:p w14:paraId="2BD60C0A" w14:textId="77777777" w:rsidR="00731C16" w:rsidRPr="000E2267" w:rsidRDefault="00731C16" w:rsidP="00A441DA">
            <w:pPr>
              <w:keepNext/>
              <w:spacing w:line="240" w:lineRule="auto"/>
              <w:jc w:val="center"/>
              <w:rPr>
                <w:rFonts w:ascii="Times New Roman" w:hAnsi="Times New Roman"/>
                <w:sz w:val="18"/>
                <w:szCs w:val="18"/>
              </w:rPr>
            </w:pPr>
          </w:p>
        </w:tc>
        <w:tc>
          <w:tcPr>
            <w:tcW w:w="223" w:type="pct"/>
            <w:tcBorders>
              <w:right w:val="double" w:sz="4" w:space="0" w:color="auto"/>
            </w:tcBorders>
            <w:vAlign w:val="center"/>
          </w:tcPr>
          <w:p w14:paraId="75CA3C63" w14:textId="77777777" w:rsidR="00731C16" w:rsidRPr="000E2267" w:rsidRDefault="00731C16" w:rsidP="00A441DA">
            <w:pPr>
              <w:keepNext/>
              <w:spacing w:line="240" w:lineRule="auto"/>
              <w:jc w:val="center"/>
              <w:rPr>
                <w:rFonts w:ascii="Times New Roman" w:hAnsi="Times New Roman"/>
                <w:sz w:val="18"/>
                <w:szCs w:val="18"/>
              </w:rPr>
            </w:pPr>
          </w:p>
        </w:tc>
      </w:tr>
      <w:tr w:rsidR="00731C16" w:rsidRPr="000E2267" w14:paraId="101C25E3" w14:textId="77777777" w:rsidTr="008A3264">
        <w:trPr>
          <w:trHeight w:val="288"/>
        </w:trPr>
        <w:tc>
          <w:tcPr>
            <w:tcW w:w="720" w:type="pct"/>
            <w:tcBorders>
              <w:left w:val="double" w:sz="4" w:space="0" w:color="auto"/>
              <w:right w:val="double" w:sz="4" w:space="0" w:color="auto"/>
            </w:tcBorders>
            <w:vAlign w:val="center"/>
          </w:tcPr>
          <w:p w14:paraId="20C782E0" w14:textId="7F9EFFC0" w:rsidR="00731C16" w:rsidRPr="000E2267" w:rsidRDefault="00731C16" w:rsidP="00EB03B3">
            <w:pPr>
              <w:keepNext/>
              <w:spacing w:line="240" w:lineRule="auto"/>
              <w:ind w:left="-11" w:firstLine="11"/>
              <w:rPr>
                <w:rFonts w:ascii="Times New Roman" w:hAnsi="Times New Roman"/>
                <w:sz w:val="18"/>
                <w:szCs w:val="18"/>
              </w:rPr>
            </w:pPr>
            <w:r w:rsidRPr="000E2267">
              <w:rPr>
                <w:rFonts w:ascii="Times New Roman" w:hAnsi="Times New Roman"/>
                <w:sz w:val="18"/>
                <w:szCs w:val="18"/>
              </w:rPr>
              <w:t xml:space="preserve">HIV Counselling and Serology </w:t>
            </w:r>
          </w:p>
        </w:tc>
        <w:tc>
          <w:tcPr>
            <w:tcW w:w="310" w:type="pct"/>
            <w:tcBorders>
              <w:left w:val="double" w:sz="4" w:space="0" w:color="auto"/>
            </w:tcBorders>
            <w:shd w:val="clear" w:color="auto" w:fill="FFFFFF"/>
            <w:vAlign w:val="center"/>
          </w:tcPr>
          <w:p w14:paraId="20F48B37"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2" w:type="pct"/>
            <w:tcBorders>
              <w:left w:val="single" w:sz="4" w:space="0" w:color="auto"/>
              <w:right w:val="single" w:sz="4" w:space="0" w:color="auto"/>
            </w:tcBorders>
            <w:vAlign w:val="center"/>
          </w:tcPr>
          <w:p w14:paraId="446969BE" w14:textId="6087F3C0" w:rsidR="00731C16" w:rsidRPr="000E2267" w:rsidRDefault="00731C16" w:rsidP="00A441DA">
            <w:pPr>
              <w:keepNext/>
              <w:spacing w:line="240" w:lineRule="auto"/>
              <w:jc w:val="center"/>
              <w:rPr>
                <w:rFonts w:ascii="Times New Roman" w:hAnsi="Times New Roman"/>
                <w:sz w:val="18"/>
                <w:szCs w:val="18"/>
              </w:rPr>
            </w:pPr>
          </w:p>
        </w:tc>
        <w:tc>
          <w:tcPr>
            <w:tcW w:w="373" w:type="pct"/>
            <w:tcBorders>
              <w:left w:val="single" w:sz="4" w:space="0" w:color="auto"/>
              <w:right w:val="double" w:sz="4" w:space="0" w:color="auto"/>
            </w:tcBorders>
            <w:vAlign w:val="center"/>
          </w:tcPr>
          <w:p w14:paraId="608D8D87" w14:textId="16F10A92"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5" w:type="pct"/>
            <w:tcBorders>
              <w:left w:val="double" w:sz="4" w:space="0" w:color="auto"/>
            </w:tcBorders>
            <w:vAlign w:val="center"/>
          </w:tcPr>
          <w:p w14:paraId="317B5800" w14:textId="77777777" w:rsidR="00731C16" w:rsidRPr="000E2267" w:rsidRDefault="00731C16" w:rsidP="00A441DA">
            <w:pPr>
              <w:keepNext/>
              <w:spacing w:line="240" w:lineRule="auto"/>
              <w:jc w:val="center"/>
              <w:rPr>
                <w:rFonts w:ascii="Times New Roman" w:hAnsi="Times New Roman"/>
                <w:sz w:val="18"/>
                <w:szCs w:val="18"/>
              </w:rPr>
            </w:pPr>
          </w:p>
        </w:tc>
        <w:tc>
          <w:tcPr>
            <w:tcW w:w="198" w:type="pct"/>
            <w:vAlign w:val="center"/>
          </w:tcPr>
          <w:p w14:paraId="63EBB750"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64E4648F"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28F29C64" w14:textId="77777777" w:rsidR="00731C16" w:rsidRPr="000E2267" w:rsidRDefault="00731C16" w:rsidP="00A441DA">
            <w:pPr>
              <w:keepNext/>
              <w:spacing w:line="240" w:lineRule="auto"/>
              <w:jc w:val="center"/>
              <w:rPr>
                <w:rFonts w:ascii="Times New Roman" w:hAnsi="Times New Roman"/>
                <w:sz w:val="18"/>
                <w:szCs w:val="18"/>
              </w:rPr>
            </w:pPr>
          </w:p>
        </w:tc>
        <w:tc>
          <w:tcPr>
            <w:tcW w:w="218" w:type="pct"/>
            <w:vAlign w:val="center"/>
          </w:tcPr>
          <w:p w14:paraId="78A4CE00"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657FDD78"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75602E04" w14:textId="77777777" w:rsidR="00731C16" w:rsidRPr="000E2267" w:rsidRDefault="00731C16" w:rsidP="00A441DA">
            <w:pPr>
              <w:keepNext/>
              <w:spacing w:line="240" w:lineRule="auto"/>
              <w:jc w:val="center"/>
              <w:rPr>
                <w:rFonts w:ascii="Times New Roman" w:hAnsi="Times New Roman"/>
                <w:sz w:val="18"/>
                <w:szCs w:val="18"/>
              </w:rPr>
            </w:pPr>
          </w:p>
        </w:tc>
        <w:tc>
          <w:tcPr>
            <w:tcW w:w="187" w:type="pct"/>
            <w:shd w:val="clear" w:color="auto" w:fill="FFFF00"/>
            <w:vAlign w:val="center"/>
          </w:tcPr>
          <w:p w14:paraId="7E666504" w14:textId="42DECE80" w:rsidR="00731C16" w:rsidRPr="000E2267" w:rsidRDefault="00731C16" w:rsidP="00A441DA">
            <w:pPr>
              <w:keepNext/>
              <w:spacing w:line="240" w:lineRule="auto"/>
              <w:jc w:val="center"/>
              <w:rPr>
                <w:rFonts w:ascii="Times New Roman" w:hAnsi="Times New Roman"/>
                <w:sz w:val="18"/>
                <w:szCs w:val="18"/>
              </w:rPr>
            </w:pPr>
          </w:p>
        </w:tc>
        <w:tc>
          <w:tcPr>
            <w:tcW w:w="219" w:type="pct"/>
            <w:vAlign w:val="center"/>
          </w:tcPr>
          <w:p w14:paraId="393E4F9A" w14:textId="2546D24C"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4</w:t>
            </w:r>
          </w:p>
        </w:tc>
        <w:tc>
          <w:tcPr>
            <w:tcW w:w="187" w:type="pct"/>
            <w:vAlign w:val="center"/>
          </w:tcPr>
          <w:p w14:paraId="2680983F"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2E5D5F70" w14:textId="28FE6C40"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4</w:t>
            </w:r>
          </w:p>
        </w:tc>
        <w:tc>
          <w:tcPr>
            <w:tcW w:w="187" w:type="pct"/>
            <w:vAlign w:val="center"/>
          </w:tcPr>
          <w:p w14:paraId="4F230827" w14:textId="77777777" w:rsidR="00731C16" w:rsidRPr="000E2267" w:rsidRDefault="00731C16" w:rsidP="00A441DA">
            <w:pPr>
              <w:keepNext/>
              <w:spacing w:line="240" w:lineRule="auto"/>
              <w:jc w:val="center"/>
              <w:rPr>
                <w:rFonts w:ascii="Times New Roman" w:hAnsi="Times New Roman"/>
                <w:sz w:val="18"/>
                <w:szCs w:val="18"/>
              </w:rPr>
            </w:pPr>
          </w:p>
        </w:tc>
        <w:tc>
          <w:tcPr>
            <w:tcW w:w="218" w:type="pct"/>
            <w:tcBorders>
              <w:right w:val="double" w:sz="4" w:space="0" w:color="auto"/>
            </w:tcBorders>
            <w:vAlign w:val="center"/>
          </w:tcPr>
          <w:p w14:paraId="0DFCB06A"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4</w:t>
            </w:r>
          </w:p>
        </w:tc>
        <w:tc>
          <w:tcPr>
            <w:tcW w:w="249" w:type="pct"/>
            <w:tcBorders>
              <w:left w:val="double" w:sz="4" w:space="0" w:color="auto"/>
            </w:tcBorders>
            <w:vAlign w:val="center"/>
          </w:tcPr>
          <w:p w14:paraId="320889BB"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4</w:t>
            </w:r>
          </w:p>
        </w:tc>
        <w:tc>
          <w:tcPr>
            <w:tcW w:w="250" w:type="pct"/>
            <w:vAlign w:val="center"/>
          </w:tcPr>
          <w:p w14:paraId="0C989FC2"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4</w:t>
            </w:r>
          </w:p>
        </w:tc>
        <w:tc>
          <w:tcPr>
            <w:tcW w:w="223" w:type="pct"/>
            <w:tcBorders>
              <w:right w:val="double" w:sz="4" w:space="0" w:color="auto"/>
            </w:tcBorders>
            <w:vAlign w:val="center"/>
          </w:tcPr>
          <w:p w14:paraId="5CA063A9" w14:textId="64985EC3"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4</w:t>
            </w:r>
          </w:p>
        </w:tc>
      </w:tr>
      <w:tr w:rsidR="00731C16" w:rsidRPr="000E2267" w14:paraId="1C6F720F" w14:textId="77777777" w:rsidTr="00EE1857">
        <w:trPr>
          <w:trHeight w:val="288"/>
        </w:trPr>
        <w:tc>
          <w:tcPr>
            <w:tcW w:w="720" w:type="pct"/>
            <w:tcBorders>
              <w:left w:val="double" w:sz="4" w:space="0" w:color="auto"/>
              <w:right w:val="double" w:sz="4" w:space="0" w:color="auto"/>
            </w:tcBorders>
            <w:vAlign w:val="center"/>
          </w:tcPr>
          <w:p w14:paraId="22E620A0" w14:textId="77777777"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Pregnancy Testing</w:t>
            </w:r>
            <w:r w:rsidRPr="000E2267">
              <w:rPr>
                <w:rFonts w:ascii="Times New Roman" w:hAnsi="Times New Roman"/>
                <w:sz w:val="18"/>
                <w:szCs w:val="18"/>
                <w:vertAlign w:val="superscript"/>
              </w:rPr>
              <w:t>5</w:t>
            </w:r>
          </w:p>
        </w:tc>
        <w:tc>
          <w:tcPr>
            <w:tcW w:w="310" w:type="pct"/>
            <w:tcBorders>
              <w:left w:val="double" w:sz="4" w:space="0" w:color="auto"/>
            </w:tcBorders>
            <w:shd w:val="clear" w:color="auto" w:fill="FFFFFF"/>
            <w:vAlign w:val="center"/>
          </w:tcPr>
          <w:p w14:paraId="717E6593"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2" w:type="pct"/>
            <w:tcBorders>
              <w:left w:val="single" w:sz="4" w:space="0" w:color="auto"/>
              <w:right w:val="single" w:sz="4" w:space="0" w:color="auto"/>
            </w:tcBorders>
            <w:vAlign w:val="center"/>
          </w:tcPr>
          <w:p w14:paraId="6E2FBC28" w14:textId="30C9663B"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373" w:type="pct"/>
            <w:tcBorders>
              <w:left w:val="single" w:sz="4" w:space="0" w:color="auto"/>
              <w:right w:val="double" w:sz="4" w:space="0" w:color="auto"/>
            </w:tcBorders>
            <w:vAlign w:val="center"/>
          </w:tcPr>
          <w:p w14:paraId="190BB53C" w14:textId="382F3C6F"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5" w:type="pct"/>
            <w:tcBorders>
              <w:left w:val="double" w:sz="4" w:space="0" w:color="auto"/>
            </w:tcBorders>
            <w:vAlign w:val="center"/>
          </w:tcPr>
          <w:p w14:paraId="713489CC"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98" w:type="pct"/>
            <w:vAlign w:val="center"/>
          </w:tcPr>
          <w:p w14:paraId="0797507F"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52F7D581"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08C686A4"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3128DFA6" w14:textId="4757E2E4" w:rsidR="00731C16" w:rsidRPr="000E2267" w:rsidRDefault="0054194D" w:rsidP="00A441DA">
            <w:pPr>
              <w:keepNext/>
              <w:spacing w:line="240" w:lineRule="auto"/>
              <w:jc w:val="center"/>
              <w:rPr>
                <w:rFonts w:ascii="Times New Roman" w:hAnsi="Times New Roman"/>
                <w:sz w:val="18"/>
                <w:szCs w:val="18"/>
              </w:rPr>
            </w:pPr>
            <w:r>
              <w:rPr>
                <w:rFonts w:ascii="Times New Roman" w:hAnsi="Times New Roman"/>
                <w:sz w:val="18"/>
                <w:szCs w:val="18"/>
              </w:rPr>
              <w:t>X</w:t>
            </w:r>
          </w:p>
        </w:tc>
        <w:tc>
          <w:tcPr>
            <w:tcW w:w="218" w:type="pct"/>
            <w:shd w:val="clear" w:color="auto" w:fill="FFFF00"/>
            <w:vAlign w:val="center"/>
          </w:tcPr>
          <w:p w14:paraId="0818B488" w14:textId="77777777" w:rsidR="00731C16" w:rsidRPr="000E2267" w:rsidRDefault="00731C16" w:rsidP="00A441DA">
            <w:pPr>
              <w:keepNext/>
              <w:spacing w:line="240" w:lineRule="auto"/>
              <w:jc w:val="center"/>
              <w:rPr>
                <w:rFonts w:ascii="Times New Roman" w:hAnsi="Times New Roman"/>
                <w:sz w:val="18"/>
                <w:szCs w:val="18"/>
              </w:rPr>
            </w:pPr>
          </w:p>
        </w:tc>
        <w:tc>
          <w:tcPr>
            <w:tcW w:w="218" w:type="pct"/>
            <w:shd w:val="clear" w:color="auto" w:fill="FFFF00"/>
            <w:vAlign w:val="center"/>
          </w:tcPr>
          <w:p w14:paraId="36D274FD" w14:textId="77777777" w:rsidR="00731C16" w:rsidRPr="000E2267" w:rsidRDefault="00731C16" w:rsidP="00A441DA">
            <w:pPr>
              <w:keepNext/>
              <w:spacing w:line="240" w:lineRule="auto"/>
              <w:jc w:val="center"/>
              <w:rPr>
                <w:rFonts w:ascii="Times New Roman" w:hAnsi="Times New Roman"/>
                <w:sz w:val="18"/>
                <w:szCs w:val="18"/>
              </w:rPr>
            </w:pPr>
          </w:p>
        </w:tc>
        <w:tc>
          <w:tcPr>
            <w:tcW w:w="187" w:type="pct"/>
            <w:shd w:val="clear" w:color="auto" w:fill="FFFF00"/>
            <w:vAlign w:val="center"/>
          </w:tcPr>
          <w:p w14:paraId="4327EDB6" w14:textId="3EC89C81" w:rsidR="00731C16" w:rsidRPr="000E2267" w:rsidRDefault="00731C16" w:rsidP="00A441DA">
            <w:pPr>
              <w:keepNext/>
              <w:spacing w:line="240" w:lineRule="auto"/>
              <w:jc w:val="center"/>
              <w:rPr>
                <w:rFonts w:ascii="Times New Roman" w:hAnsi="Times New Roman"/>
                <w:sz w:val="18"/>
                <w:szCs w:val="18"/>
              </w:rPr>
            </w:pPr>
          </w:p>
        </w:tc>
        <w:tc>
          <w:tcPr>
            <w:tcW w:w="219" w:type="pct"/>
            <w:vAlign w:val="center"/>
          </w:tcPr>
          <w:p w14:paraId="6DD7386E"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749CC194"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3CBB4114" w14:textId="77777777" w:rsidR="00731C16" w:rsidRPr="000E2267" w:rsidRDefault="00731C16" w:rsidP="00A441DA">
            <w:pPr>
              <w:keepNext/>
              <w:spacing w:line="240" w:lineRule="auto"/>
              <w:jc w:val="center"/>
              <w:rPr>
                <w:rFonts w:ascii="Times New Roman" w:hAnsi="Times New Roman"/>
                <w:sz w:val="18"/>
                <w:szCs w:val="18"/>
              </w:rPr>
            </w:pPr>
          </w:p>
        </w:tc>
        <w:tc>
          <w:tcPr>
            <w:tcW w:w="187" w:type="pct"/>
            <w:vAlign w:val="center"/>
          </w:tcPr>
          <w:p w14:paraId="76BC6EE9" w14:textId="77777777" w:rsidR="00731C16" w:rsidRPr="000E2267" w:rsidRDefault="00731C16" w:rsidP="00A441DA">
            <w:pPr>
              <w:keepNext/>
              <w:spacing w:line="240" w:lineRule="auto"/>
              <w:jc w:val="center"/>
              <w:rPr>
                <w:rFonts w:ascii="Times New Roman" w:hAnsi="Times New Roman"/>
                <w:sz w:val="18"/>
                <w:szCs w:val="18"/>
              </w:rPr>
            </w:pPr>
          </w:p>
        </w:tc>
        <w:tc>
          <w:tcPr>
            <w:tcW w:w="218" w:type="pct"/>
            <w:tcBorders>
              <w:right w:val="double" w:sz="4" w:space="0" w:color="auto"/>
            </w:tcBorders>
            <w:vAlign w:val="center"/>
          </w:tcPr>
          <w:p w14:paraId="35F7C7E6" w14:textId="77777777" w:rsidR="00731C16" w:rsidRPr="000E2267" w:rsidRDefault="00731C16" w:rsidP="00A441DA">
            <w:pPr>
              <w:keepNext/>
              <w:spacing w:line="240" w:lineRule="auto"/>
              <w:jc w:val="center"/>
              <w:rPr>
                <w:rFonts w:ascii="Times New Roman" w:hAnsi="Times New Roman"/>
                <w:sz w:val="18"/>
                <w:szCs w:val="18"/>
              </w:rPr>
            </w:pPr>
          </w:p>
        </w:tc>
        <w:tc>
          <w:tcPr>
            <w:tcW w:w="249" w:type="pct"/>
            <w:tcBorders>
              <w:left w:val="double" w:sz="4" w:space="0" w:color="auto"/>
            </w:tcBorders>
            <w:vAlign w:val="center"/>
          </w:tcPr>
          <w:p w14:paraId="7DBC8191" w14:textId="77777777" w:rsidR="00731C16" w:rsidRPr="000E2267" w:rsidRDefault="00731C16" w:rsidP="00A441DA">
            <w:pPr>
              <w:keepNext/>
              <w:spacing w:line="240" w:lineRule="auto"/>
              <w:jc w:val="center"/>
              <w:rPr>
                <w:rFonts w:ascii="Times New Roman" w:hAnsi="Times New Roman"/>
                <w:sz w:val="18"/>
                <w:szCs w:val="18"/>
              </w:rPr>
            </w:pPr>
          </w:p>
        </w:tc>
        <w:tc>
          <w:tcPr>
            <w:tcW w:w="250" w:type="pct"/>
            <w:vAlign w:val="center"/>
          </w:tcPr>
          <w:p w14:paraId="43C38EA9" w14:textId="77777777" w:rsidR="00731C16" w:rsidRPr="000E2267" w:rsidRDefault="00731C16" w:rsidP="00A441DA">
            <w:pPr>
              <w:keepNext/>
              <w:spacing w:line="240" w:lineRule="auto"/>
              <w:jc w:val="center"/>
              <w:rPr>
                <w:rFonts w:ascii="Times New Roman" w:hAnsi="Times New Roman"/>
                <w:sz w:val="18"/>
                <w:szCs w:val="18"/>
              </w:rPr>
            </w:pPr>
          </w:p>
        </w:tc>
        <w:tc>
          <w:tcPr>
            <w:tcW w:w="223" w:type="pct"/>
            <w:tcBorders>
              <w:right w:val="double" w:sz="4" w:space="0" w:color="auto"/>
            </w:tcBorders>
            <w:vAlign w:val="center"/>
          </w:tcPr>
          <w:p w14:paraId="2B9208FC" w14:textId="77777777" w:rsidR="00731C16" w:rsidRPr="000E2267" w:rsidRDefault="00731C16" w:rsidP="00A441DA">
            <w:pPr>
              <w:keepNext/>
              <w:spacing w:line="240" w:lineRule="auto"/>
              <w:jc w:val="center"/>
              <w:rPr>
                <w:rFonts w:ascii="Times New Roman" w:hAnsi="Times New Roman"/>
                <w:sz w:val="18"/>
                <w:szCs w:val="18"/>
              </w:rPr>
            </w:pPr>
          </w:p>
        </w:tc>
      </w:tr>
      <w:tr w:rsidR="00731C16" w:rsidRPr="000E2267" w14:paraId="36150FCC" w14:textId="77777777" w:rsidTr="008A3264">
        <w:trPr>
          <w:trHeight w:val="288"/>
        </w:trPr>
        <w:tc>
          <w:tcPr>
            <w:tcW w:w="720" w:type="pct"/>
            <w:tcBorders>
              <w:left w:val="double" w:sz="4" w:space="0" w:color="auto"/>
              <w:right w:val="double" w:sz="4" w:space="0" w:color="auto"/>
            </w:tcBorders>
            <w:vAlign w:val="center"/>
          </w:tcPr>
          <w:p w14:paraId="426ADF76" w14:textId="77777777"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Immunology Blood</w:t>
            </w:r>
            <w:r w:rsidRPr="000E2267">
              <w:rPr>
                <w:rFonts w:ascii="Times New Roman" w:hAnsi="Times New Roman"/>
                <w:sz w:val="18"/>
                <w:szCs w:val="18"/>
                <w:vertAlign w:val="superscript"/>
              </w:rPr>
              <w:t>6</w:t>
            </w:r>
          </w:p>
        </w:tc>
        <w:tc>
          <w:tcPr>
            <w:tcW w:w="310" w:type="pct"/>
            <w:tcBorders>
              <w:left w:val="double" w:sz="4" w:space="0" w:color="auto"/>
            </w:tcBorders>
            <w:shd w:val="clear" w:color="auto" w:fill="FFFFFF"/>
            <w:vAlign w:val="center"/>
          </w:tcPr>
          <w:p w14:paraId="190B7C47" w14:textId="77777777" w:rsidR="00731C16" w:rsidRPr="000E2267" w:rsidRDefault="00731C16" w:rsidP="00A441DA">
            <w:pPr>
              <w:keepNext/>
              <w:spacing w:line="240" w:lineRule="auto"/>
              <w:jc w:val="center"/>
              <w:rPr>
                <w:rFonts w:ascii="Times New Roman" w:hAnsi="Times New Roman"/>
                <w:sz w:val="18"/>
                <w:szCs w:val="18"/>
              </w:rPr>
            </w:pPr>
          </w:p>
        </w:tc>
        <w:tc>
          <w:tcPr>
            <w:tcW w:w="372" w:type="pct"/>
            <w:tcBorders>
              <w:left w:val="single" w:sz="4" w:space="0" w:color="auto"/>
              <w:right w:val="single" w:sz="4" w:space="0" w:color="auto"/>
            </w:tcBorders>
            <w:vAlign w:val="center"/>
          </w:tcPr>
          <w:p w14:paraId="15BE64B4" w14:textId="77777777" w:rsidR="00731C16" w:rsidRPr="000E2267" w:rsidRDefault="00731C16" w:rsidP="00A441DA">
            <w:pPr>
              <w:keepNext/>
              <w:spacing w:line="240" w:lineRule="auto"/>
              <w:jc w:val="center"/>
              <w:rPr>
                <w:rFonts w:ascii="Times New Roman" w:hAnsi="Times New Roman"/>
                <w:sz w:val="18"/>
                <w:szCs w:val="18"/>
              </w:rPr>
            </w:pPr>
          </w:p>
        </w:tc>
        <w:tc>
          <w:tcPr>
            <w:tcW w:w="373" w:type="pct"/>
            <w:tcBorders>
              <w:left w:val="single" w:sz="4" w:space="0" w:color="auto"/>
              <w:right w:val="double" w:sz="4" w:space="0" w:color="auto"/>
            </w:tcBorders>
            <w:vAlign w:val="center"/>
          </w:tcPr>
          <w:p w14:paraId="68AB6211" w14:textId="54A9EB8D" w:rsidR="00731C16" w:rsidRPr="000E2267" w:rsidRDefault="00731C16" w:rsidP="00A441DA">
            <w:pPr>
              <w:keepNext/>
              <w:spacing w:line="240" w:lineRule="auto"/>
              <w:jc w:val="center"/>
              <w:rPr>
                <w:rFonts w:ascii="Times New Roman" w:hAnsi="Times New Roman"/>
                <w:sz w:val="18"/>
                <w:szCs w:val="18"/>
              </w:rPr>
            </w:pPr>
          </w:p>
        </w:tc>
        <w:tc>
          <w:tcPr>
            <w:tcW w:w="185" w:type="pct"/>
            <w:tcBorders>
              <w:left w:val="double" w:sz="4" w:space="0" w:color="auto"/>
            </w:tcBorders>
            <w:vAlign w:val="center"/>
          </w:tcPr>
          <w:p w14:paraId="11DE21D0"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98" w:type="pct"/>
            <w:vAlign w:val="center"/>
          </w:tcPr>
          <w:p w14:paraId="11C3D0CD"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202E10B5"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2243A721"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vAlign w:val="center"/>
          </w:tcPr>
          <w:p w14:paraId="4B89159C" w14:textId="0C62B14A"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shd w:val="clear" w:color="auto" w:fill="FFFF00"/>
            <w:vAlign w:val="center"/>
          </w:tcPr>
          <w:p w14:paraId="650EEE2B" w14:textId="244C9EDD"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shd w:val="clear" w:color="auto" w:fill="FFFF00"/>
            <w:vAlign w:val="center"/>
          </w:tcPr>
          <w:p w14:paraId="08D3C210" w14:textId="2A7759B4"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shd w:val="clear" w:color="auto" w:fill="FFFF00"/>
            <w:vAlign w:val="center"/>
          </w:tcPr>
          <w:p w14:paraId="186F5962" w14:textId="3FB92AED"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9" w:type="pct"/>
            <w:vAlign w:val="center"/>
          </w:tcPr>
          <w:p w14:paraId="02C4C784"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5226CE4C"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35C50E0F"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63B914C3" w14:textId="7B8B630C"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tcBorders>
              <w:right w:val="double" w:sz="4" w:space="0" w:color="auto"/>
            </w:tcBorders>
            <w:vAlign w:val="center"/>
          </w:tcPr>
          <w:p w14:paraId="4E5E6956"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49" w:type="pct"/>
            <w:tcBorders>
              <w:left w:val="double" w:sz="4" w:space="0" w:color="auto"/>
            </w:tcBorders>
            <w:vAlign w:val="center"/>
          </w:tcPr>
          <w:p w14:paraId="16FBE2AF" w14:textId="687ED221"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7</w:t>
            </w:r>
          </w:p>
        </w:tc>
        <w:tc>
          <w:tcPr>
            <w:tcW w:w="250" w:type="pct"/>
            <w:vAlign w:val="center"/>
          </w:tcPr>
          <w:p w14:paraId="58341044" w14:textId="70706B8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r w:rsidRPr="000E2267">
              <w:rPr>
                <w:rFonts w:ascii="Times New Roman" w:hAnsi="Times New Roman"/>
                <w:sz w:val="18"/>
                <w:szCs w:val="18"/>
                <w:vertAlign w:val="superscript"/>
              </w:rPr>
              <w:t>7</w:t>
            </w:r>
          </w:p>
        </w:tc>
        <w:tc>
          <w:tcPr>
            <w:tcW w:w="223" w:type="pct"/>
            <w:tcBorders>
              <w:right w:val="double" w:sz="4" w:space="0" w:color="auto"/>
            </w:tcBorders>
            <w:vAlign w:val="center"/>
          </w:tcPr>
          <w:p w14:paraId="7F6A8FA1" w14:textId="447853E1"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r>
      <w:tr w:rsidR="00731C16" w:rsidRPr="000E2267" w14:paraId="75E16B50" w14:textId="77777777" w:rsidTr="00330D07">
        <w:trPr>
          <w:trHeight w:val="288"/>
        </w:trPr>
        <w:tc>
          <w:tcPr>
            <w:tcW w:w="720" w:type="pct"/>
            <w:tcBorders>
              <w:left w:val="double" w:sz="4" w:space="0" w:color="auto"/>
              <w:right w:val="double" w:sz="4" w:space="0" w:color="auto"/>
            </w:tcBorders>
            <w:vAlign w:val="center"/>
          </w:tcPr>
          <w:p w14:paraId="610BC5C5" w14:textId="77777777"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Study Injection</w:t>
            </w:r>
          </w:p>
        </w:tc>
        <w:tc>
          <w:tcPr>
            <w:tcW w:w="310" w:type="pct"/>
            <w:tcBorders>
              <w:left w:val="double" w:sz="4" w:space="0" w:color="auto"/>
            </w:tcBorders>
            <w:shd w:val="clear" w:color="auto" w:fill="FFFFFF"/>
            <w:vAlign w:val="center"/>
          </w:tcPr>
          <w:p w14:paraId="1BAF0D68" w14:textId="77777777" w:rsidR="00731C16" w:rsidRPr="000E2267" w:rsidRDefault="00731C16" w:rsidP="00A441DA">
            <w:pPr>
              <w:keepNext/>
              <w:spacing w:line="240" w:lineRule="auto"/>
              <w:jc w:val="center"/>
              <w:rPr>
                <w:rFonts w:ascii="Times New Roman" w:hAnsi="Times New Roman"/>
                <w:sz w:val="18"/>
                <w:szCs w:val="18"/>
              </w:rPr>
            </w:pPr>
          </w:p>
        </w:tc>
        <w:tc>
          <w:tcPr>
            <w:tcW w:w="372" w:type="pct"/>
            <w:tcBorders>
              <w:left w:val="single" w:sz="4" w:space="0" w:color="auto"/>
              <w:right w:val="single" w:sz="4" w:space="0" w:color="auto"/>
            </w:tcBorders>
            <w:vAlign w:val="center"/>
          </w:tcPr>
          <w:p w14:paraId="48B14B7E" w14:textId="77777777" w:rsidR="00731C16" w:rsidRPr="000E2267" w:rsidRDefault="00731C16" w:rsidP="00A441DA">
            <w:pPr>
              <w:keepNext/>
              <w:spacing w:line="240" w:lineRule="auto"/>
              <w:jc w:val="center"/>
              <w:rPr>
                <w:rFonts w:ascii="Times New Roman" w:hAnsi="Times New Roman"/>
                <w:sz w:val="18"/>
                <w:szCs w:val="18"/>
              </w:rPr>
            </w:pPr>
          </w:p>
        </w:tc>
        <w:tc>
          <w:tcPr>
            <w:tcW w:w="373" w:type="pct"/>
            <w:tcBorders>
              <w:left w:val="single" w:sz="4" w:space="0" w:color="auto"/>
              <w:right w:val="double" w:sz="4" w:space="0" w:color="auto"/>
            </w:tcBorders>
            <w:vAlign w:val="center"/>
          </w:tcPr>
          <w:p w14:paraId="25A20568" w14:textId="0A3259F2" w:rsidR="00731C16" w:rsidRPr="000E2267" w:rsidRDefault="00731C16" w:rsidP="00A441DA">
            <w:pPr>
              <w:keepNext/>
              <w:spacing w:line="240" w:lineRule="auto"/>
              <w:jc w:val="center"/>
              <w:rPr>
                <w:rFonts w:ascii="Times New Roman" w:hAnsi="Times New Roman"/>
                <w:sz w:val="18"/>
                <w:szCs w:val="18"/>
              </w:rPr>
            </w:pPr>
          </w:p>
        </w:tc>
        <w:tc>
          <w:tcPr>
            <w:tcW w:w="185" w:type="pct"/>
            <w:tcBorders>
              <w:left w:val="double" w:sz="4" w:space="0" w:color="auto"/>
            </w:tcBorders>
            <w:vAlign w:val="center"/>
          </w:tcPr>
          <w:p w14:paraId="53B62A37" w14:textId="77777777" w:rsidR="00731C16" w:rsidRPr="000E2267" w:rsidRDefault="00731C16" w:rsidP="00A441DA">
            <w:pPr>
              <w:keepNext/>
              <w:spacing w:line="240" w:lineRule="auto"/>
              <w:jc w:val="center"/>
              <w:rPr>
                <w:rFonts w:ascii="Times New Roman" w:hAnsi="Times New Roman"/>
                <w:b/>
                <w:bCs/>
                <w:sz w:val="18"/>
                <w:szCs w:val="18"/>
              </w:rPr>
            </w:pPr>
            <w:r w:rsidRPr="000E2267">
              <w:rPr>
                <w:rFonts w:ascii="Times New Roman" w:hAnsi="Times New Roman"/>
                <w:b/>
                <w:bCs/>
                <w:sz w:val="18"/>
                <w:szCs w:val="18"/>
              </w:rPr>
              <w:t>X</w:t>
            </w:r>
          </w:p>
        </w:tc>
        <w:tc>
          <w:tcPr>
            <w:tcW w:w="198" w:type="pct"/>
            <w:vAlign w:val="center"/>
          </w:tcPr>
          <w:p w14:paraId="0E7E6C1B"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2305FF68"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38240A14" w14:textId="77777777" w:rsidR="00731C16" w:rsidRPr="000E2267" w:rsidRDefault="00731C16" w:rsidP="00A441DA">
            <w:pPr>
              <w:keepNext/>
              <w:spacing w:line="240" w:lineRule="auto"/>
              <w:jc w:val="center"/>
              <w:rPr>
                <w:rFonts w:ascii="Times New Roman" w:hAnsi="Times New Roman"/>
                <w:b/>
                <w:bCs/>
                <w:sz w:val="18"/>
                <w:szCs w:val="18"/>
              </w:rPr>
            </w:pPr>
          </w:p>
        </w:tc>
        <w:tc>
          <w:tcPr>
            <w:tcW w:w="218" w:type="pct"/>
            <w:shd w:val="clear" w:color="auto" w:fill="FFFF00"/>
            <w:vAlign w:val="center"/>
          </w:tcPr>
          <w:p w14:paraId="27A09B6C" w14:textId="13794468" w:rsidR="00731C16" w:rsidRPr="00330D07" w:rsidRDefault="00731C16" w:rsidP="00330D07">
            <w:pPr>
              <w:keepNext/>
              <w:spacing w:line="240" w:lineRule="auto"/>
              <w:jc w:val="center"/>
              <w:rPr>
                <w:rFonts w:ascii="Times New Roman" w:hAnsi="Times New Roman"/>
                <w:b/>
                <w:bCs/>
                <w:sz w:val="18"/>
                <w:szCs w:val="18"/>
              </w:rPr>
            </w:pPr>
            <w:r w:rsidRPr="00330D07">
              <w:rPr>
                <w:rFonts w:ascii="Times New Roman" w:hAnsi="Times New Roman"/>
                <w:b/>
                <w:bCs/>
                <w:sz w:val="18"/>
                <w:szCs w:val="18"/>
              </w:rPr>
              <w:t>X</w:t>
            </w:r>
          </w:p>
        </w:tc>
        <w:tc>
          <w:tcPr>
            <w:tcW w:w="218" w:type="pct"/>
            <w:shd w:val="clear" w:color="auto" w:fill="FFFF00"/>
            <w:vAlign w:val="center"/>
          </w:tcPr>
          <w:p w14:paraId="57773E12" w14:textId="77777777" w:rsidR="00731C16" w:rsidRPr="000E2267" w:rsidRDefault="00731C16" w:rsidP="00A441DA">
            <w:pPr>
              <w:keepNext/>
              <w:spacing w:line="240" w:lineRule="auto"/>
              <w:jc w:val="center"/>
              <w:rPr>
                <w:rFonts w:ascii="Times New Roman" w:hAnsi="Times New Roman"/>
                <w:b/>
                <w:bCs/>
                <w:sz w:val="18"/>
                <w:szCs w:val="18"/>
              </w:rPr>
            </w:pPr>
          </w:p>
        </w:tc>
        <w:tc>
          <w:tcPr>
            <w:tcW w:w="218" w:type="pct"/>
            <w:shd w:val="clear" w:color="auto" w:fill="FFFF00"/>
            <w:vAlign w:val="center"/>
          </w:tcPr>
          <w:p w14:paraId="14952F74" w14:textId="77777777" w:rsidR="00731C16" w:rsidRPr="000E2267" w:rsidRDefault="00731C16" w:rsidP="00A441DA">
            <w:pPr>
              <w:keepNext/>
              <w:spacing w:line="240" w:lineRule="auto"/>
              <w:jc w:val="center"/>
              <w:rPr>
                <w:rFonts w:ascii="Times New Roman" w:hAnsi="Times New Roman"/>
                <w:b/>
                <w:bCs/>
                <w:sz w:val="18"/>
                <w:szCs w:val="18"/>
              </w:rPr>
            </w:pPr>
          </w:p>
        </w:tc>
        <w:tc>
          <w:tcPr>
            <w:tcW w:w="187" w:type="pct"/>
            <w:shd w:val="clear" w:color="auto" w:fill="FFFF00"/>
            <w:vAlign w:val="center"/>
          </w:tcPr>
          <w:p w14:paraId="59A37E2D" w14:textId="597CE66C" w:rsidR="00731C16" w:rsidRPr="000E2267" w:rsidRDefault="00731C16" w:rsidP="00A441DA">
            <w:pPr>
              <w:keepNext/>
              <w:spacing w:line="240" w:lineRule="auto"/>
              <w:jc w:val="center"/>
              <w:rPr>
                <w:rFonts w:ascii="Times New Roman" w:hAnsi="Times New Roman"/>
                <w:b/>
                <w:bCs/>
                <w:sz w:val="18"/>
                <w:szCs w:val="18"/>
              </w:rPr>
            </w:pPr>
          </w:p>
        </w:tc>
        <w:tc>
          <w:tcPr>
            <w:tcW w:w="219" w:type="pct"/>
            <w:vAlign w:val="center"/>
          </w:tcPr>
          <w:p w14:paraId="702C672D" w14:textId="77777777" w:rsidR="00731C16" w:rsidRPr="000E2267" w:rsidRDefault="00731C16" w:rsidP="00A441DA">
            <w:pPr>
              <w:keepNext/>
              <w:spacing w:line="240" w:lineRule="auto"/>
              <w:jc w:val="center"/>
              <w:rPr>
                <w:rFonts w:ascii="Times New Roman" w:hAnsi="Times New Roman"/>
                <w:b/>
                <w:bCs/>
                <w:sz w:val="18"/>
                <w:szCs w:val="18"/>
              </w:rPr>
            </w:pPr>
            <w:r w:rsidRPr="000E2267">
              <w:rPr>
                <w:rFonts w:ascii="Times New Roman" w:hAnsi="Times New Roman"/>
                <w:b/>
                <w:bCs/>
                <w:sz w:val="18"/>
                <w:szCs w:val="18"/>
              </w:rPr>
              <w:t>X</w:t>
            </w:r>
          </w:p>
        </w:tc>
        <w:tc>
          <w:tcPr>
            <w:tcW w:w="187" w:type="pct"/>
            <w:vAlign w:val="center"/>
          </w:tcPr>
          <w:p w14:paraId="727F1996" w14:textId="77777777" w:rsidR="00731C16" w:rsidRPr="000E2267" w:rsidRDefault="00731C16" w:rsidP="00A441DA">
            <w:pPr>
              <w:keepNext/>
              <w:spacing w:line="240" w:lineRule="auto"/>
              <w:jc w:val="center"/>
              <w:rPr>
                <w:rFonts w:ascii="Times New Roman" w:hAnsi="Times New Roman"/>
                <w:sz w:val="18"/>
                <w:szCs w:val="18"/>
              </w:rPr>
            </w:pPr>
          </w:p>
        </w:tc>
        <w:tc>
          <w:tcPr>
            <w:tcW w:w="156" w:type="pct"/>
            <w:vAlign w:val="center"/>
          </w:tcPr>
          <w:p w14:paraId="11059372" w14:textId="77777777" w:rsidR="00731C16" w:rsidRPr="000E2267" w:rsidRDefault="00731C16" w:rsidP="00A441DA">
            <w:pPr>
              <w:keepNext/>
              <w:spacing w:line="240" w:lineRule="auto"/>
              <w:jc w:val="center"/>
              <w:rPr>
                <w:rFonts w:ascii="Times New Roman" w:hAnsi="Times New Roman"/>
                <w:sz w:val="18"/>
                <w:szCs w:val="18"/>
              </w:rPr>
            </w:pPr>
          </w:p>
        </w:tc>
        <w:tc>
          <w:tcPr>
            <w:tcW w:w="187" w:type="pct"/>
            <w:vAlign w:val="center"/>
          </w:tcPr>
          <w:p w14:paraId="1DF62AF2" w14:textId="77777777" w:rsidR="00731C16" w:rsidRPr="000E2267" w:rsidRDefault="00731C16" w:rsidP="00A441DA">
            <w:pPr>
              <w:keepNext/>
              <w:spacing w:line="240" w:lineRule="auto"/>
              <w:jc w:val="center"/>
              <w:rPr>
                <w:rFonts w:ascii="Times New Roman" w:hAnsi="Times New Roman"/>
                <w:sz w:val="18"/>
                <w:szCs w:val="18"/>
              </w:rPr>
            </w:pPr>
          </w:p>
        </w:tc>
        <w:tc>
          <w:tcPr>
            <w:tcW w:w="218" w:type="pct"/>
            <w:tcBorders>
              <w:right w:val="double" w:sz="4" w:space="0" w:color="auto"/>
            </w:tcBorders>
            <w:vAlign w:val="center"/>
          </w:tcPr>
          <w:p w14:paraId="07DA580A" w14:textId="77777777" w:rsidR="00731C16" w:rsidRPr="000E2267" w:rsidRDefault="00731C16" w:rsidP="00A441DA">
            <w:pPr>
              <w:keepNext/>
              <w:spacing w:line="240" w:lineRule="auto"/>
              <w:jc w:val="center"/>
              <w:rPr>
                <w:rFonts w:ascii="Times New Roman" w:hAnsi="Times New Roman"/>
                <w:sz w:val="18"/>
                <w:szCs w:val="18"/>
              </w:rPr>
            </w:pPr>
          </w:p>
        </w:tc>
        <w:tc>
          <w:tcPr>
            <w:tcW w:w="249" w:type="pct"/>
            <w:tcBorders>
              <w:left w:val="double" w:sz="4" w:space="0" w:color="auto"/>
            </w:tcBorders>
            <w:vAlign w:val="center"/>
          </w:tcPr>
          <w:p w14:paraId="5E702E1B" w14:textId="77777777" w:rsidR="00731C16" w:rsidRPr="000E2267" w:rsidRDefault="00731C16" w:rsidP="00A441DA">
            <w:pPr>
              <w:keepNext/>
              <w:spacing w:line="240" w:lineRule="auto"/>
              <w:jc w:val="center"/>
              <w:rPr>
                <w:rFonts w:ascii="Times New Roman" w:hAnsi="Times New Roman"/>
                <w:sz w:val="18"/>
                <w:szCs w:val="18"/>
              </w:rPr>
            </w:pPr>
          </w:p>
        </w:tc>
        <w:tc>
          <w:tcPr>
            <w:tcW w:w="250" w:type="pct"/>
            <w:vAlign w:val="center"/>
          </w:tcPr>
          <w:p w14:paraId="10A59DAD" w14:textId="77777777" w:rsidR="00731C16" w:rsidRPr="000E2267" w:rsidRDefault="00731C16" w:rsidP="00A441DA">
            <w:pPr>
              <w:keepNext/>
              <w:spacing w:line="240" w:lineRule="auto"/>
              <w:jc w:val="center"/>
              <w:rPr>
                <w:rFonts w:ascii="Times New Roman" w:hAnsi="Times New Roman"/>
                <w:sz w:val="18"/>
                <w:szCs w:val="18"/>
              </w:rPr>
            </w:pPr>
          </w:p>
        </w:tc>
        <w:tc>
          <w:tcPr>
            <w:tcW w:w="223" w:type="pct"/>
            <w:tcBorders>
              <w:right w:val="double" w:sz="4" w:space="0" w:color="auto"/>
            </w:tcBorders>
            <w:vAlign w:val="center"/>
          </w:tcPr>
          <w:p w14:paraId="2C0C7B42" w14:textId="77777777" w:rsidR="00731C16" w:rsidRPr="000E2267" w:rsidRDefault="00731C16" w:rsidP="00A441DA">
            <w:pPr>
              <w:keepNext/>
              <w:spacing w:line="240" w:lineRule="auto"/>
              <w:jc w:val="center"/>
              <w:rPr>
                <w:rFonts w:ascii="Times New Roman" w:hAnsi="Times New Roman"/>
                <w:sz w:val="18"/>
                <w:szCs w:val="18"/>
              </w:rPr>
            </w:pPr>
          </w:p>
        </w:tc>
      </w:tr>
      <w:tr w:rsidR="00731C16" w:rsidRPr="000E2267" w14:paraId="4E48DE3B" w14:textId="77777777" w:rsidTr="00330D07">
        <w:trPr>
          <w:trHeight w:val="288"/>
        </w:trPr>
        <w:tc>
          <w:tcPr>
            <w:tcW w:w="720" w:type="pct"/>
            <w:tcBorders>
              <w:left w:val="double" w:sz="4" w:space="0" w:color="auto"/>
              <w:right w:val="double" w:sz="4" w:space="0" w:color="auto"/>
            </w:tcBorders>
            <w:vAlign w:val="center"/>
          </w:tcPr>
          <w:p w14:paraId="63DEE22F" w14:textId="77777777"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Injection Site Checks</w:t>
            </w:r>
          </w:p>
        </w:tc>
        <w:tc>
          <w:tcPr>
            <w:tcW w:w="310" w:type="pct"/>
            <w:tcBorders>
              <w:left w:val="double" w:sz="4" w:space="0" w:color="auto"/>
            </w:tcBorders>
            <w:shd w:val="clear" w:color="auto" w:fill="FFFFFF"/>
            <w:vAlign w:val="center"/>
          </w:tcPr>
          <w:p w14:paraId="78980428" w14:textId="77777777" w:rsidR="00731C16" w:rsidRPr="000E2267" w:rsidRDefault="00731C16" w:rsidP="00A441DA">
            <w:pPr>
              <w:keepNext/>
              <w:spacing w:line="240" w:lineRule="auto"/>
              <w:jc w:val="center"/>
              <w:rPr>
                <w:rFonts w:ascii="Times New Roman" w:hAnsi="Times New Roman"/>
                <w:sz w:val="18"/>
                <w:szCs w:val="18"/>
              </w:rPr>
            </w:pPr>
          </w:p>
        </w:tc>
        <w:tc>
          <w:tcPr>
            <w:tcW w:w="372" w:type="pct"/>
            <w:tcBorders>
              <w:left w:val="single" w:sz="4" w:space="0" w:color="auto"/>
              <w:right w:val="single" w:sz="4" w:space="0" w:color="auto"/>
            </w:tcBorders>
            <w:vAlign w:val="center"/>
          </w:tcPr>
          <w:p w14:paraId="16385570" w14:textId="77777777" w:rsidR="00731C16" w:rsidRPr="000E2267" w:rsidRDefault="00731C16" w:rsidP="00A441DA">
            <w:pPr>
              <w:keepNext/>
              <w:spacing w:line="240" w:lineRule="auto"/>
              <w:jc w:val="center"/>
              <w:rPr>
                <w:rFonts w:ascii="Times New Roman" w:hAnsi="Times New Roman"/>
                <w:sz w:val="18"/>
                <w:szCs w:val="18"/>
              </w:rPr>
            </w:pPr>
          </w:p>
        </w:tc>
        <w:tc>
          <w:tcPr>
            <w:tcW w:w="373" w:type="pct"/>
            <w:tcBorders>
              <w:left w:val="single" w:sz="4" w:space="0" w:color="auto"/>
              <w:right w:val="double" w:sz="4" w:space="0" w:color="auto"/>
            </w:tcBorders>
            <w:vAlign w:val="center"/>
          </w:tcPr>
          <w:p w14:paraId="7AE45FA0" w14:textId="63B79E14" w:rsidR="00731C16" w:rsidRPr="000E2267" w:rsidRDefault="00731C16" w:rsidP="00A441DA">
            <w:pPr>
              <w:keepNext/>
              <w:spacing w:line="240" w:lineRule="auto"/>
              <w:jc w:val="center"/>
              <w:rPr>
                <w:rFonts w:ascii="Times New Roman" w:hAnsi="Times New Roman"/>
                <w:sz w:val="18"/>
                <w:szCs w:val="18"/>
              </w:rPr>
            </w:pPr>
          </w:p>
        </w:tc>
        <w:tc>
          <w:tcPr>
            <w:tcW w:w="185" w:type="pct"/>
            <w:tcBorders>
              <w:left w:val="double" w:sz="4" w:space="0" w:color="auto"/>
            </w:tcBorders>
            <w:vAlign w:val="center"/>
          </w:tcPr>
          <w:p w14:paraId="263568F3" w14:textId="77777777" w:rsidR="00731C16" w:rsidRPr="000E2267" w:rsidRDefault="00731C16" w:rsidP="00A441DA">
            <w:pPr>
              <w:keepNext/>
              <w:spacing w:line="240" w:lineRule="auto"/>
              <w:jc w:val="center"/>
              <w:rPr>
                <w:rFonts w:ascii="Times New Roman" w:hAnsi="Times New Roman"/>
                <w:bCs/>
                <w:sz w:val="18"/>
                <w:szCs w:val="18"/>
              </w:rPr>
            </w:pPr>
            <w:r w:rsidRPr="000E2267">
              <w:rPr>
                <w:rFonts w:ascii="Times New Roman" w:hAnsi="Times New Roman"/>
                <w:bCs/>
                <w:sz w:val="18"/>
                <w:szCs w:val="18"/>
              </w:rPr>
              <w:t>X</w:t>
            </w:r>
          </w:p>
        </w:tc>
        <w:tc>
          <w:tcPr>
            <w:tcW w:w="198" w:type="pct"/>
            <w:vAlign w:val="center"/>
          </w:tcPr>
          <w:p w14:paraId="6A07F470"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4E395570"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088F80FC" w14:textId="77777777" w:rsidR="00731C16" w:rsidRPr="000E2267" w:rsidRDefault="00731C16" w:rsidP="00A441DA">
            <w:pPr>
              <w:keepNext/>
              <w:spacing w:line="240" w:lineRule="auto"/>
              <w:jc w:val="center"/>
              <w:rPr>
                <w:rFonts w:ascii="Times New Roman" w:hAnsi="Times New Roman"/>
                <w:bCs/>
                <w:sz w:val="18"/>
                <w:szCs w:val="18"/>
              </w:rPr>
            </w:pPr>
          </w:p>
        </w:tc>
        <w:tc>
          <w:tcPr>
            <w:tcW w:w="218" w:type="pct"/>
            <w:shd w:val="clear" w:color="auto" w:fill="FFFF00"/>
            <w:vAlign w:val="center"/>
          </w:tcPr>
          <w:p w14:paraId="7FBA2BB7" w14:textId="2E42080C" w:rsidR="00731C16" w:rsidRPr="00330D07" w:rsidRDefault="001421BB" w:rsidP="00330D07">
            <w:pPr>
              <w:keepNext/>
              <w:spacing w:line="240" w:lineRule="auto"/>
              <w:jc w:val="center"/>
              <w:rPr>
                <w:rFonts w:ascii="Times New Roman" w:hAnsi="Times New Roman"/>
                <w:bCs/>
                <w:sz w:val="18"/>
                <w:szCs w:val="18"/>
              </w:rPr>
            </w:pPr>
            <w:r w:rsidRPr="00330D07">
              <w:rPr>
                <w:rFonts w:ascii="Times New Roman" w:hAnsi="Times New Roman"/>
                <w:bCs/>
                <w:sz w:val="18"/>
                <w:szCs w:val="18"/>
              </w:rPr>
              <w:t>X</w:t>
            </w:r>
          </w:p>
        </w:tc>
        <w:tc>
          <w:tcPr>
            <w:tcW w:w="218" w:type="pct"/>
            <w:shd w:val="clear" w:color="auto" w:fill="FFFF00"/>
            <w:vAlign w:val="center"/>
          </w:tcPr>
          <w:p w14:paraId="242C168D" w14:textId="3DB0AC73" w:rsidR="00731C16" w:rsidRPr="000E2267" w:rsidRDefault="00731C16" w:rsidP="00A441DA">
            <w:pPr>
              <w:keepNext/>
              <w:spacing w:line="240" w:lineRule="auto"/>
              <w:jc w:val="center"/>
              <w:rPr>
                <w:rFonts w:ascii="Times New Roman" w:hAnsi="Times New Roman"/>
                <w:bCs/>
                <w:sz w:val="18"/>
                <w:szCs w:val="18"/>
              </w:rPr>
            </w:pPr>
            <w:r w:rsidRPr="000E2267">
              <w:rPr>
                <w:rFonts w:ascii="Times New Roman" w:hAnsi="Times New Roman"/>
                <w:sz w:val="18"/>
                <w:szCs w:val="18"/>
              </w:rPr>
              <w:t>X</w:t>
            </w:r>
          </w:p>
        </w:tc>
        <w:tc>
          <w:tcPr>
            <w:tcW w:w="218" w:type="pct"/>
            <w:shd w:val="clear" w:color="auto" w:fill="FFFF00"/>
            <w:vAlign w:val="center"/>
          </w:tcPr>
          <w:p w14:paraId="4A69D77E" w14:textId="3DD49643" w:rsidR="00731C16" w:rsidRPr="000E2267" w:rsidRDefault="00731C16" w:rsidP="00A441DA">
            <w:pPr>
              <w:keepNext/>
              <w:spacing w:line="240" w:lineRule="auto"/>
              <w:jc w:val="center"/>
              <w:rPr>
                <w:rFonts w:ascii="Times New Roman" w:hAnsi="Times New Roman"/>
                <w:bCs/>
                <w:sz w:val="18"/>
                <w:szCs w:val="18"/>
              </w:rPr>
            </w:pPr>
            <w:r w:rsidRPr="000E2267">
              <w:rPr>
                <w:rFonts w:ascii="Times New Roman" w:hAnsi="Times New Roman"/>
                <w:sz w:val="18"/>
                <w:szCs w:val="18"/>
              </w:rPr>
              <w:t>X</w:t>
            </w:r>
          </w:p>
        </w:tc>
        <w:tc>
          <w:tcPr>
            <w:tcW w:w="187" w:type="pct"/>
            <w:shd w:val="clear" w:color="auto" w:fill="FFFF00"/>
            <w:vAlign w:val="center"/>
          </w:tcPr>
          <w:p w14:paraId="0453E81E" w14:textId="46ECA672" w:rsidR="00731C16" w:rsidRPr="000E2267" w:rsidRDefault="00731C16" w:rsidP="00A441DA">
            <w:pPr>
              <w:keepNext/>
              <w:spacing w:line="240" w:lineRule="auto"/>
              <w:jc w:val="center"/>
              <w:rPr>
                <w:rFonts w:ascii="Times New Roman" w:hAnsi="Times New Roman"/>
                <w:bCs/>
                <w:sz w:val="18"/>
                <w:szCs w:val="18"/>
              </w:rPr>
            </w:pPr>
          </w:p>
        </w:tc>
        <w:tc>
          <w:tcPr>
            <w:tcW w:w="219" w:type="pct"/>
            <w:vAlign w:val="center"/>
          </w:tcPr>
          <w:p w14:paraId="21FC6C97" w14:textId="77777777" w:rsidR="00731C16" w:rsidRPr="000E2267" w:rsidRDefault="00731C16" w:rsidP="00A441DA">
            <w:pPr>
              <w:keepNext/>
              <w:spacing w:line="240" w:lineRule="auto"/>
              <w:jc w:val="center"/>
              <w:rPr>
                <w:rFonts w:ascii="Times New Roman" w:hAnsi="Times New Roman"/>
                <w:bCs/>
                <w:sz w:val="18"/>
                <w:szCs w:val="18"/>
              </w:rPr>
            </w:pPr>
            <w:r w:rsidRPr="000E2267">
              <w:rPr>
                <w:rFonts w:ascii="Times New Roman" w:hAnsi="Times New Roman"/>
                <w:bCs/>
                <w:sz w:val="18"/>
                <w:szCs w:val="18"/>
              </w:rPr>
              <w:t>X</w:t>
            </w:r>
          </w:p>
        </w:tc>
        <w:tc>
          <w:tcPr>
            <w:tcW w:w="187" w:type="pct"/>
            <w:vAlign w:val="center"/>
          </w:tcPr>
          <w:p w14:paraId="6BDE9E57"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566D665E"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3DFCFA3E" w14:textId="77777777" w:rsidR="00731C16" w:rsidRPr="000E2267" w:rsidRDefault="00731C16" w:rsidP="00A441DA">
            <w:pPr>
              <w:keepNext/>
              <w:spacing w:line="240" w:lineRule="auto"/>
              <w:jc w:val="center"/>
              <w:rPr>
                <w:rFonts w:ascii="Times New Roman" w:hAnsi="Times New Roman"/>
                <w:sz w:val="18"/>
                <w:szCs w:val="18"/>
              </w:rPr>
            </w:pPr>
          </w:p>
        </w:tc>
        <w:tc>
          <w:tcPr>
            <w:tcW w:w="218" w:type="pct"/>
            <w:tcBorders>
              <w:right w:val="double" w:sz="4" w:space="0" w:color="auto"/>
            </w:tcBorders>
            <w:vAlign w:val="center"/>
          </w:tcPr>
          <w:p w14:paraId="2D18EB0D" w14:textId="77777777" w:rsidR="00731C16" w:rsidRPr="000E2267" w:rsidRDefault="00731C16" w:rsidP="00A441DA">
            <w:pPr>
              <w:keepNext/>
              <w:spacing w:line="240" w:lineRule="auto"/>
              <w:jc w:val="center"/>
              <w:rPr>
                <w:rFonts w:ascii="Times New Roman" w:hAnsi="Times New Roman"/>
                <w:sz w:val="18"/>
                <w:szCs w:val="18"/>
              </w:rPr>
            </w:pPr>
          </w:p>
        </w:tc>
        <w:tc>
          <w:tcPr>
            <w:tcW w:w="249" w:type="pct"/>
            <w:tcBorders>
              <w:left w:val="double" w:sz="4" w:space="0" w:color="auto"/>
            </w:tcBorders>
            <w:vAlign w:val="center"/>
          </w:tcPr>
          <w:p w14:paraId="2FFE12FD" w14:textId="77777777" w:rsidR="00731C16" w:rsidRPr="000E2267" w:rsidRDefault="00731C16" w:rsidP="00A441DA">
            <w:pPr>
              <w:keepNext/>
              <w:spacing w:line="240" w:lineRule="auto"/>
              <w:jc w:val="center"/>
              <w:rPr>
                <w:rFonts w:ascii="Times New Roman" w:hAnsi="Times New Roman"/>
                <w:sz w:val="18"/>
                <w:szCs w:val="18"/>
              </w:rPr>
            </w:pPr>
          </w:p>
        </w:tc>
        <w:tc>
          <w:tcPr>
            <w:tcW w:w="250" w:type="pct"/>
            <w:vAlign w:val="center"/>
          </w:tcPr>
          <w:p w14:paraId="412B2F67" w14:textId="77777777" w:rsidR="00731C16" w:rsidRPr="000E2267" w:rsidRDefault="00731C16" w:rsidP="00A441DA">
            <w:pPr>
              <w:keepNext/>
              <w:spacing w:line="240" w:lineRule="auto"/>
              <w:jc w:val="center"/>
              <w:rPr>
                <w:rFonts w:ascii="Times New Roman" w:hAnsi="Times New Roman"/>
                <w:sz w:val="18"/>
                <w:szCs w:val="18"/>
              </w:rPr>
            </w:pPr>
          </w:p>
        </w:tc>
        <w:tc>
          <w:tcPr>
            <w:tcW w:w="223" w:type="pct"/>
            <w:tcBorders>
              <w:right w:val="double" w:sz="4" w:space="0" w:color="auto"/>
            </w:tcBorders>
            <w:vAlign w:val="center"/>
          </w:tcPr>
          <w:p w14:paraId="4615D2E8" w14:textId="77777777" w:rsidR="00731C16" w:rsidRPr="000E2267" w:rsidRDefault="00731C16" w:rsidP="00A441DA">
            <w:pPr>
              <w:keepNext/>
              <w:spacing w:line="240" w:lineRule="auto"/>
              <w:jc w:val="center"/>
              <w:rPr>
                <w:rFonts w:ascii="Times New Roman" w:hAnsi="Times New Roman"/>
                <w:sz w:val="18"/>
                <w:szCs w:val="18"/>
              </w:rPr>
            </w:pPr>
          </w:p>
        </w:tc>
      </w:tr>
      <w:tr w:rsidR="00731C16" w:rsidRPr="000E2267" w14:paraId="26B127D7" w14:textId="77777777" w:rsidTr="008A3264">
        <w:trPr>
          <w:trHeight w:val="288"/>
        </w:trPr>
        <w:tc>
          <w:tcPr>
            <w:tcW w:w="720" w:type="pct"/>
            <w:tcBorders>
              <w:left w:val="double" w:sz="4" w:space="0" w:color="auto"/>
              <w:right w:val="double" w:sz="4" w:space="0" w:color="auto"/>
            </w:tcBorders>
            <w:vAlign w:val="center"/>
          </w:tcPr>
          <w:p w14:paraId="5C825001" w14:textId="77777777"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Adverse Events</w:t>
            </w:r>
          </w:p>
        </w:tc>
        <w:tc>
          <w:tcPr>
            <w:tcW w:w="310" w:type="pct"/>
            <w:tcBorders>
              <w:left w:val="double" w:sz="4" w:space="0" w:color="auto"/>
            </w:tcBorders>
            <w:shd w:val="clear" w:color="auto" w:fill="FFFFFF"/>
            <w:vAlign w:val="center"/>
          </w:tcPr>
          <w:p w14:paraId="0E4416A6" w14:textId="77777777" w:rsidR="00731C16" w:rsidRPr="000E2267" w:rsidRDefault="00731C16" w:rsidP="00A441DA">
            <w:pPr>
              <w:keepNext/>
              <w:spacing w:line="240" w:lineRule="auto"/>
              <w:jc w:val="center"/>
              <w:rPr>
                <w:rFonts w:ascii="Times New Roman" w:hAnsi="Times New Roman"/>
                <w:sz w:val="18"/>
                <w:szCs w:val="18"/>
              </w:rPr>
            </w:pPr>
          </w:p>
        </w:tc>
        <w:tc>
          <w:tcPr>
            <w:tcW w:w="372" w:type="pct"/>
            <w:tcBorders>
              <w:left w:val="single" w:sz="4" w:space="0" w:color="auto"/>
              <w:right w:val="single" w:sz="4" w:space="0" w:color="auto"/>
            </w:tcBorders>
            <w:vAlign w:val="center"/>
          </w:tcPr>
          <w:p w14:paraId="7BF79261" w14:textId="77777777" w:rsidR="00731C16" w:rsidRPr="000E2267" w:rsidRDefault="00731C16" w:rsidP="00A441DA">
            <w:pPr>
              <w:keepNext/>
              <w:spacing w:line="240" w:lineRule="auto"/>
              <w:jc w:val="center"/>
              <w:rPr>
                <w:rFonts w:ascii="Times New Roman" w:hAnsi="Times New Roman"/>
                <w:sz w:val="18"/>
                <w:szCs w:val="18"/>
              </w:rPr>
            </w:pPr>
          </w:p>
        </w:tc>
        <w:tc>
          <w:tcPr>
            <w:tcW w:w="373" w:type="pct"/>
            <w:tcBorders>
              <w:left w:val="single" w:sz="4" w:space="0" w:color="auto"/>
              <w:right w:val="double" w:sz="4" w:space="0" w:color="auto"/>
            </w:tcBorders>
            <w:vAlign w:val="center"/>
          </w:tcPr>
          <w:p w14:paraId="6525A170" w14:textId="7C12E567" w:rsidR="00731C16" w:rsidRPr="000E2267" w:rsidRDefault="00731C16" w:rsidP="00A441DA">
            <w:pPr>
              <w:keepNext/>
              <w:spacing w:line="240" w:lineRule="auto"/>
              <w:jc w:val="center"/>
              <w:rPr>
                <w:rFonts w:ascii="Times New Roman" w:hAnsi="Times New Roman"/>
                <w:sz w:val="18"/>
                <w:szCs w:val="18"/>
              </w:rPr>
            </w:pPr>
          </w:p>
        </w:tc>
        <w:tc>
          <w:tcPr>
            <w:tcW w:w="185" w:type="pct"/>
            <w:tcBorders>
              <w:left w:val="double" w:sz="4" w:space="0" w:color="auto"/>
            </w:tcBorders>
            <w:vAlign w:val="center"/>
          </w:tcPr>
          <w:p w14:paraId="6FAF3C4C"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98" w:type="pct"/>
            <w:vAlign w:val="center"/>
          </w:tcPr>
          <w:p w14:paraId="30A91E0E"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62F2CEE2"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17F79F1A" w14:textId="3705BA46"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vAlign w:val="center"/>
          </w:tcPr>
          <w:p w14:paraId="77240649" w14:textId="41380C92"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shd w:val="clear" w:color="auto" w:fill="FFFF00"/>
            <w:vAlign w:val="center"/>
          </w:tcPr>
          <w:p w14:paraId="3C120685" w14:textId="1F95640E"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shd w:val="clear" w:color="auto" w:fill="FFFF00"/>
            <w:vAlign w:val="center"/>
          </w:tcPr>
          <w:p w14:paraId="1A90FAA7" w14:textId="412C2D26"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shd w:val="clear" w:color="auto" w:fill="FFFF00"/>
            <w:vAlign w:val="center"/>
          </w:tcPr>
          <w:p w14:paraId="119F6A9C" w14:textId="56CCF042"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9" w:type="pct"/>
            <w:vAlign w:val="center"/>
          </w:tcPr>
          <w:p w14:paraId="2BC9A50F"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71CE07BD"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vAlign w:val="center"/>
          </w:tcPr>
          <w:p w14:paraId="080BCEF5"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vAlign w:val="center"/>
          </w:tcPr>
          <w:p w14:paraId="480F32B1" w14:textId="197B79B6"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tcBorders>
              <w:right w:val="double" w:sz="4" w:space="0" w:color="auto"/>
            </w:tcBorders>
            <w:vAlign w:val="center"/>
          </w:tcPr>
          <w:p w14:paraId="0A189828"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49" w:type="pct"/>
            <w:tcBorders>
              <w:left w:val="double" w:sz="4" w:space="0" w:color="auto"/>
            </w:tcBorders>
            <w:vAlign w:val="center"/>
          </w:tcPr>
          <w:p w14:paraId="6C91E090" w14:textId="1EAA720C" w:rsidR="00731C16" w:rsidRPr="000E2267" w:rsidRDefault="00731C16" w:rsidP="00A441DA">
            <w:pPr>
              <w:keepNext/>
              <w:spacing w:line="240" w:lineRule="auto"/>
              <w:jc w:val="center"/>
              <w:rPr>
                <w:rFonts w:ascii="Times New Roman" w:hAnsi="Times New Roman"/>
                <w:sz w:val="18"/>
                <w:szCs w:val="18"/>
              </w:rPr>
            </w:pPr>
          </w:p>
        </w:tc>
        <w:tc>
          <w:tcPr>
            <w:tcW w:w="250" w:type="pct"/>
            <w:vAlign w:val="center"/>
          </w:tcPr>
          <w:p w14:paraId="3360F0B2" w14:textId="77777777" w:rsidR="00731C16" w:rsidRPr="000E2267" w:rsidRDefault="00731C16" w:rsidP="00A441DA">
            <w:pPr>
              <w:keepNext/>
              <w:spacing w:line="240" w:lineRule="auto"/>
              <w:jc w:val="center"/>
              <w:rPr>
                <w:rFonts w:ascii="Times New Roman" w:hAnsi="Times New Roman"/>
                <w:sz w:val="18"/>
                <w:szCs w:val="18"/>
              </w:rPr>
            </w:pPr>
          </w:p>
        </w:tc>
        <w:tc>
          <w:tcPr>
            <w:tcW w:w="223" w:type="pct"/>
            <w:tcBorders>
              <w:right w:val="double" w:sz="4" w:space="0" w:color="auto"/>
            </w:tcBorders>
            <w:vAlign w:val="center"/>
          </w:tcPr>
          <w:p w14:paraId="4BEEE417" w14:textId="77777777" w:rsidR="00731C16" w:rsidRPr="000E2267" w:rsidRDefault="00731C16" w:rsidP="00A441DA">
            <w:pPr>
              <w:keepNext/>
              <w:spacing w:line="240" w:lineRule="auto"/>
              <w:jc w:val="center"/>
              <w:rPr>
                <w:rFonts w:ascii="Times New Roman" w:hAnsi="Times New Roman"/>
                <w:sz w:val="18"/>
                <w:szCs w:val="18"/>
              </w:rPr>
            </w:pPr>
          </w:p>
        </w:tc>
      </w:tr>
      <w:tr w:rsidR="00731C16" w:rsidRPr="000E2267" w14:paraId="68D110AB" w14:textId="77777777" w:rsidTr="008A3264">
        <w:trPr>
          <w:trHeight w:val="288"/>
        </w:trPr>
        <w:tc>
          <w:tcPr>
            <w:tcW w:w="720" w:type="pct"/>
            <w:tcBorders>
              <w:left w:val="double" w:sz="4" w:space="0" w:color="auto"/>
              <w:bottom w:val="double" w:sz="4" w:space="0" w:color="auto"/>
              <w:right w:val="double" w:sz="4" w:space="0" w:color="auto"/>
            </w:tcBorders>
            <w:vAlign w:val="center"/>
          </w:tcPr>
          <w:p w14:paraId="755222A4" w14:textId="77777777" w:rsidR="00731C16" w:rsidRPr="000E2267" w:rsidRDefault="00731C16" w:rsidP="004C5DB7">
            <w:pPr>
              <w:keepNext/>
              <w:spacing w:line="240" w:lineRule="auto"/>
              <w:ind w:left="-11" w:firstLine="11"/>
              <w:rPr>
                <w:rFonts w:ascii="Times New Roman" w:hAnsi="Times New Roman"/>
                <w:sz w:val="18"/>
                <w:szCs w:val="18"/>
              </w:rPr>
            </w:pPr>
            <w:r w:rsidRPr="000E2267">
              <w:rPr>
                <w:rFonts w:ascii="Times New Roman" w:hAnsi="Times New Roman"/>
                <w:sz w:val="18"/>
                <w:szCs w:val="18"/>
              </w:rPr>
              <w:t>SAEs/AESIs</w:t>
            </w:r>
          </w:p>
        </w:tc>
        <w:tc>
          <w:tcPr>
            <w:tcW w:w="310" w:type="pct"/>
            <w:tcBorders>
              <w:left w:val="double" w:sz="4" w:space="0" w:color="auto"/>
              <w:bottom w:val="double" w:sz="4" w:space="0" w:color="auto"/>
            </w:tcBorders>
            <w:shd w:val="clear" w:color="auto" w:fill="FFFFFF"/>
            <w:vAlign w:val="center"/>
          </w:tcPr>
          <w:p w14:paraId="6B07EEFA" w14:textId="77777777" w:rsidR="00731C16" w:rsidRPr="000E2267" w:rsidRDefault="00731C16" w:rsidP="00A441DA">
            <w:pPr>
              <w:keepNext/>
              <w:spacing w:line="240" w:lineRule="auto"/>
              <w:jc w:val="center"/>
              <w:rPr>
                <w:rFonts w:ascii="Times New Roman" w:hAnsi="Times New Roman"/>
                <w:sz w:val="18"/>
                <w:szCs w:val="18"/>
              </w:rPr>
            </w:pPr>
          </w:p>
        </w:tc>
        <w:tc>
          <w:tcPr>
            <w:tcW w:w="372" w:type="pct"/>
            <w:tcBorders>
              <w:left w:val="single" w:sz="4" w:space="0" w:color="auto"/>
              <w:bottom w:val="double" w:sz="4" w:space="0" w:color="auto"/>
              <w:right w:val="single" w:sz="4" w:space="0" w:color="auto"/>
            </w:tcBorders>
            <w:vAlign w:val="center"/>
          </w:tcPr>
          <w:p w14:paraId="7CC71238" w14:textId="77777777" w:rsidR="00731C16" w:rsidRPr="000E2267" w:rsidRDefault="00731C16" w:rsidP="00A441DA">
            <w:pPr>
              <w:keepNext/>
              <w:spacing w:line="240" w:lineRule="auto"/>
              <w:jc w:val="center"/>
              <w:rPr>
                <w:rFonts w:ascii="Times New Roman" w:hAnsi="Times New Roman"/>
                <w:sz w:val="18"/>
                <w:szCs w:val="18"/>
              </w:rPr>
            </w:pPr>
          </w:p>
        </w:tc>
        <w:tc>
          <w:tcPr>
            <w:tcW w:w="373" w:type="pct"/>
            <w:tcBorders>
              <w:left w:val="single" w:sz="4" w:space="0" w:color="auto"/>
              <w:bottom w:val="double" w:sz="4" w:space="0" w:color="auto"/>
              <w:right w:val="double" w:sz="4" w:space="0" w:color="auto"/>
            </w:tcBorders>
            <w:vAlign w:val="center"/>
          </w:tcPr>
          <w:p w14:paraId="2A67E156" w14:textId="54E553A7" w:rsidR="00731C16" w:rsidRPr="000E2267" w:rsidRDefault="00731C16" w:rsidP="00A441DA">
            <w:pPr>
              <w:keepNext/>
              <w:spacing w:line="240" w:lineRule="auto"/>
              <w:jc w:val="center"/>
              <w:rPr>
                <w:rFonts w:ascii="Times New Roman" w:hAnsi="Times New Roman"/>
                <w:sz w:val="18"/>
                <w:szCs w:val="18"/>
              </w:rPr>
            </w:pPr>
          </w:p>
        </w:tc>
        <w:tc>
          <w:tcPr>
            <w:tcW w:w="185" w:type="pct"/>
            <w:tcBorders>
              <w:left w:val="double" w:sz="4" w:space="0" w:color="auto"/>
              <w:bottom w:val="double" w:sz="4" w:space="0" w:color="auto"/>
            </w:tcBorders>
            <w:vAlign w:val="center"/>
          </w:tcPr>
          <w:p w14:paraId="6E3C6519"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98" w:type="pct"/>
            <w:tcBorders>
              <w:bottom w:val="double" w:sz="4" w:space="0" w:color="auto"/>
            </w:tcBorders>
            <w:vAlign w:val="center"/>
          </w:tcPr>
          <w:p w14:paraId="1DFF6D84"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tcBorders>
              <w:bottom w:val="double" w:sz="4" w:space="0" w:color="auto"/>
            </w:tcBorders>
            <w:vAlign w:val="center"/>
          </w:tcPr>
          <w:p w14:paraId="6B1916F9"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tcBorders>
              <w:bottom w:val="double" w:sz="4" w:space="0" w:color="auto"/>
            </w:tcBorders>
            <w:vAlign w:val="center"/>
          </w:tcPr>
          <w:p w14:paraId="3C934D3C" w14:textId="64B9D894"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tcBorders>
              <w:bottom w:val="double" w:sz="4" w:space="0" w:color="auto"/>
            </w:tcBorders>
            <w:vAlign w:val="center"/>
          </w:tcPr>
          <w:p w14:paraId="742E1515" w14:textId="1E4708B8"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tcBorders>
              <w:bottom w:val="double" w:sz="4" w:space="0" w:color="auto"/>
            </w:tcBorders>
            <w:shd w:val="clear" w:color="auto" w:fill="FFFF00"/>
            <w:vAlign w:val="center"/>
          </w:tcPr>
          <w:p w14:paraId="26EBB78C" w14:textId="0F29EB92"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tcBorders>
              <w:bottom w:val="double" w:sz="4" w:space="0" w:color="auto"/>
            </w:tcBorders>
            <w:shd w:val="clear" w:color="auto" w:fill="FFFF00"/>
            <w:vAlign w:val="center"/>
          </w:tcPr>
          <w:p w14:paraId="3BED4582" w14:textId="563F007A"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tcBorders>
              <w:bottom w:val="double" w:sz="4" w:space="0" w:color="auto"/>
            </w:tcBorders>
            <w:shd w:val="clear" w:color="auto" w:fill="FFFF00"/>
            <w:vAlign w:val="center"/>
          </w:tcPr>
          <w:p w14:paraId="7A06DD85" w14:textId="4A022A40"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9" w:type="pct"/>
            <w:tcBorders>
              <w:bottom w:val="double" w:sz="4" w:space="0" w:color="auto"/>
            </w:tcBorders>
            <w:vAlign w:val="center"/>
          </w:tcPr>
          <w:p w14:paraId="746D38A4"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tcBorders>
              <w:bottom w:val="double" w:sz="4" w:space="0" w:color="auto"/>
            </w:tcBorders>
            <w:vAlign w:val="center"/>
          </w:tcPr>
          <w:p w14:paraId="1D22D90D"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56" w:type="pct"/>
            <w:tcBorders>
              <w:bottom w:val="double" w:sz="4" w:space="0" w:color="auto"/>
            </w:tcBorders>
            <w:vAlign w:val="center"/>
          </w:tcPr>
          <w:p w14:paraId="5CED89BC"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187" w:type="pct"/>
            <w:tcBorders>
              <w:bottom w:val="double" w:sz="4" w:space="0" w:color="auto"/>
            </w:tcBorders>
            <w:vAlign w:val="center"/>
          </w:tcPr>
          <w:p w14:paraId="1FC9CC1D" w14:textId="1DEAFC3B"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18" w:type="pct"/>
            <w:tcBorders>
              <w:bottom w:val="double" w:sz="4" w:space="0" w:color="auto"/>
              <w:right w:val="double" w:sz="4" w:space="0" w:color="auto"/>
            </w:tcBorders>
            <w:vAlign w:val="center"/>
          </w:tcPr>
          <w:p w14:paraId="1BA82DB5"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49" w:type="pct"/>
            <w:tcBorders>
              <w:left w:val="double" w:sz="4" w:space="0" w:color="auto"/>
              <w:bottom w:val="double" w:sz="4" w:space="0" w:color="auto"/>
            </w:tcBorders>
            <w:vAlign w:val="center"/>
          </w:tcPr>
          <w:p w14:paraId="1DEE42EF"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50" w:type="pct"/>
            <w:tcBorders>
              <w:bottom w:val="double" w:sz="4" w:space="0" w:color="auto"/>
            </w:tcBorders>
            <w:vAlign w:val="center"/>
          </w:tcPr>
          <w:p w14:paraId="588A9DEB" w14:textId="7777777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c>
          <w:tcPr>
            <w:tcW w:w="223" w:type="pct"/>
            <w:tcBorders>
              <w:bottom w:val="double" w:sz="4" w:space="0" w:color="auto"/>
              <w:right w:val="double" w:sz="4" w:space="0" w:color="auto"/>
            </w:tcBorders>
            <w:vAlign w:val="center"/>
          </w:tcPr>
          <w:p w14:paraId="1E561E31" w14:textId="5736B967" w:rsidR="00731C16" w:rsidRPr="000E2267" w:rsidRDefault="00731C16" w:rsidP="00A441DA">
            <w:pPr>
              <w:keepNext/>
              <w:spacing w:line="240" w:lineRule="auto"/>
              <w:jc w:val="center"/>
              <w:rPr>
                <w:rFonts w:ascii="Times New Roman" w:hAnsi="Times New Roman"/>
                <w:sz w:val="18"/>
                <w:szCs w:val="18"/>
              </w:rPr>
            </w:pPr>
            <w:r w:rsidRPr="000E2267">
              <w:rPr>
                <w:rFonts w:ascii="Times New Roman" w:hAnsi="Times New Roman"/>
                <w:sz w:val="18"/>
                <w:szCs w:val="18"/>
              </w:rPr>
              <w:t>X</w:t>
            </w:r>
          </w:p>
        </w:tc>
      </w:tr>
    </w:tbl>
    <w:p w14:paraId="10519FED" w14:textId="573765F8" w:rsidR="00130070" w:rsidRPr="008F0C26" w:rsidRDefault="00300759" w:rsidP="008F0C26">
      <w:pPr>
        <w:ind w:left="270" w:right="-90"/>
        <w:rPr>
          <w:rFonts w:ascii="Times New Roman" w:hAnsi="Times New Roman"/>
          <w:sz w:val="18"/>
          <w:szCs w:val="18"/>
        </w:rPr>
        <w:sectPr w:rsidR="00130070" w:rsidRPr="008F0C26" w:rsidSect="004C5DB7">
          <w:endnotePr>
            <w:numFmt w:val="decimal"/>
          </w:endnotePr>
          <w:pgSz w:w="15840" w:h="12240" w:orient="landscape" w:code="1"/>
          <w:pgMar w:top="432" w:right="720" w:bottom="432" w:left="720" w:header="1152" w:footer="864" w:gutter="0"/>
          <w:cols w:space="720"/>
          <w:noEndnote/>
          <w:docGrid w:linePitch="360"/>
        </w:sectPr>
      </w:pPr>
      <w:r w:rsidRPr="000E2267">
        <w:rPr>
          <w:rFonts w:ascii="Times New Roman" w:hAnsi="Times New Roman"/>
          <w:sz w:val="18"/>
          <w:szCs w:val="18"/>
          <w:vertAlign w:val="superscript"/>
        </w:rPr>
        <w:t>1</w:t>
      </w:r>
      <w:r w:rsidRPr="000E2267">
        <w:rPr>
          <w:rFonts w:ascii="Times New Roman" w:hAnsi="Times New Roman"/>
          <w:sz w:val="18"/>
          <w:szCs w:val="18"/>
        </w:rPr>
        <w:t xml:space="preserve"> </w:t>
      </w:r>
      <w:r w:rsidR="002D4B35" w:rsidRPr="000E2267">
        <w:rPr>
          <w:rFonts w:ascii="Times New Roman" w:hAnsi="Times New Roman"/>
          <w:sz w:val="18"/>
          <w:szCs w:val="18"/>
        </w:rPr>
        <w:t xml:space="preserve">Must be within end of TB treatment date + 28 days. </w:t>
      </w:r>
      <w:r w:rsidR="009A6889" w:rsidRPr="000E2267">
        <w:rPr>
          <w:rFonts w:ascii="Times New Roman" w:hAnsi="Times New Roman"/>
          <w:sz w:val="18"/>
          <w:szCs w:val="18"/>
        </w:rPr>
        <w:t>A</w:t>
      </w:r>
      <w:r w:rsidRPr="000E2267">
        <w:rPr>
          <w:rFonts w:ascii="Times New Roman" w:hAnsi="Times New Roman"/>
          <w:sz w:val="18"/>
          <w:szCs w:val="18"/>
        </w:rPr>
        <w:t xml:space="preserve">ssign PID # </w:t>
      </w:r>
      <w:r w:rsidRPr="000E2267">
        <w:rPr>
          <w:rFonts w:ascii="Times New Roman" w:hAnsi="Times New Roman"/>
          <w:i/>
          <w:sz w:val="18"/>
          <w:szCs w:val="18"/>
        </w:rPr>
        <w:t>prior</w:t>
      </w:r>
      <w:r w:rsidRPr="000E2267">
        <w:rPr>
          <w:rFonts w:ascii="Times New Roman" w:hAnsi="Times New Roman"/>
          <w:sz w:val="18"/>
          <w:szCs w:val="18"/>
        </w:rPr>
        <w:t xml:space="preserve"> to baseline immunology blood draw.</w:t>
      </w:r>
      <w:r w:rsidRPr="000E2267">
        <w:rPr>
          <w:rFonts w:ascii="Times New Roman" w:hAnsi="Times New Roman"/>
          <w:sz w:val="18"/>
          <w:szCs w:val="18"/>
          <w:vertAlign w:val="superscript"/>
        </w:rPr>
        <w:t xml:space="preserve"> 2</w:t>
      </w:r>
      <w:r w:rsidRPr="000E2267">
        <w:rPr>
          <w:rFonts w:ascii="Times New Roman" w:hAnsi="Times New Roman"/>
          <w:sz w:val="18"/>
          <w:szCs w:val="18"/>
        </w:rPr>
        <w:t xml:space="preserve"> </w:t>
      </w:r>
      <w:r w:rsidR="00DB09C5" w:rsidRPr="000E2267">
        <w:rPr>
          <w:rFonts w:ascii="Times New Roman" w:hAnsi="Times New Roman"/>
          <w:sz w:val="18"/>
          <w:szCs w:val="18"/>
        </w:rPr>
        <w:t>Direct</w:t>
      </w:r>
      <w:r w:rsidR="00B55DAD" w:rsidRPr="000E2267">
        <w:rPr>
          <w:rFonts w:ascii="Times New Roman" w:hAnsi="Times New Roman"/>
          <w:sz w:val="18"/>
          <w:szCs w:val="18"/>
        </w:rPr>
        <w:t xml:space="preserve">ed </w:t>
      </w:r>
      <w:r w:rsidRPr="000E2267">
        <w:rPr>
          <w:rFonts w:ascii="Times New Roman" w:hAnsi="Times New Roman"/>
          <w:sz w:val="18"/>
          <w:szCs w:val="18"/>
        </w:rPr>
        <w:t xml:space="preserve">physical exam in-clinic if indicated by presence of </w:t>
      </w:r>
      <w:r w:rsidR="007673E0" w:rsidRPr="000E2267">
        <w:rPr>
          <w:rFonts w:ascii="Times New Roman" w:hAnsi="Times New Roman"/>
          <w:sz w:val="18"/>
          <w:szCs w:val="18"/>
        </w:rPr>
        <w:t>unexplained or persistent symptoms for 14 days or longer, or any hemoptysis</w:t>
      </w:r>
      <w:r w:rsidRPr="000E2267">
        <w:rPr>
          <w:rFonts w:ascii="Times New Roman" w:hAnsi="Times New Roman"/>
          <w:sz w:val="18"/>
          <w:szCs w:val="18"/>
        </w:rPr>
        <w:t>.</w:t>
      </w:r>
      <w:r w:rsidRPr="000E2267">
        <w:rPr>
          <w:rFonts w:ascii="Times New Roman" w:hAnsi="Times New Roman"/>
          <w:sz w:val="18"/>
          <w:szCs w:val="18"/>
          <w:vertAlign w:val="superscript"/>
        </w:rPr>
        <w:t>3</w:t>
      </w:r>
      <w:r w:rsidR="00070472" w:rsidRPr="000E2267">
        <w:rPr>
          <w:rFonts w:ascii="Times New Roman" w:hAnsi="Times New Roman"/>
          <w:sz w:val="18"/>
          <w:szCs w:val="18"/>
        </w:rPr>
        <w:t xml:space="preserve"> Sputum Xpert MTB/RIF and MGIT culture for suspected recurrent TB only (symptom directed, unexplained or persistent symptoms for 14 day</w:t>
      </w:r>
      <w:r w:rsidR="009A6889" w:rsidRPr="000E2267">
        <w:rPr>
          <w:rFonts w:ascii="Times New Roman" w:hAnsi="Times New Roman"/>
          <w:sz w:val="18"/>
          <w:szCs w:val="18"/>
        </w:rPr>
        <w:t>s or longer, or any hemoptysis)</w:t>
      </w:r>
      <w:r w:rsidR="00855E0B" w:rsidRPr="000E2267">
        <w:rPr>
          <w:rFonts w:ascii="Times New Roman" w:hAnsi="Times New Roman"/>
          <w:sz w:val="18"/>
          <w:szCs w:val="18"/>
        </w:rPr>
        <w:t>.</w:t>
      </w:r>
      <w:r w:rsidRPr="000E2267">
        <w:rPr>
          <w:rFonts w:ascii="Times New Roman" w:hAnsi="Times New Roman"/>
          <w:sz w:val="18"/>
          <w:szCs w:val="18"/>
        </w:rPr>
        <w:t xml:space="preserve"> </w:t>
      </w:r>
      <w:r w:rsidR="00855E0B" w:rsidRPr="000E2267">
        <w:rPr>
          <w:rFonts w:ascii="Times New Roman" w:hAnsi="Times New Roman"/>
          <w:sz w:val="18"/>
          <w:szCs w:val="18"/>
          <w:vertAlign w:val="superscript"/>
        </w:rPr>
        <w:t>4</w:t>
      </w:r>
      <w:r w:rsidRPr="000E2267">
        <w:rPr>
          <w:rFonts w:ascii="Times New Roman" w:hAnsi="Times New Roman"/>
          <w:sz w:val="18"/>
          <w:szCs w:val="18"/>
          <w:vertAlign w:val="superscript"/>
        </w:rPr>
        <w:t xml:space="preserve"> </w:t>
      </w:r>
      <w:r w:rsidRPr="000E2267">
        <w:rPr>
          <w:rFonts w:ascii="Times New Roman" w:hAnsi="Times New Roman"/>
          <w:sz w:val="18"/>
          <w:szCs w:val="18"/>
        </w:rPr>
        <w:t>HIV testing for confirmed TB only.</w:t>
      </w:r>
      <w:r w:rsidRPr="000E2267">
        <w:rPr>
          <w:rFonts w:ascii="Times New Roman" w:hAnsi="Times New Roman"/>
          <w:sz w:val="18"/>
          <w:szCs w:val="18"/>
          <w:vertAlign w:val="superscript"/>
        </w:rPr>
        <w:t xml:space="preserve"> </w:t>
      </w:r>
      <w:r w:rsidR="00855E0B" w:rsidRPr="000E2267">
        <w:rPr>
          <w:rFonts w:ascii="Times New Roman" w:hAnsi="Times New Roman"/>
          <w:sz w:val="18"/>
          <w:szCs w:val="18"/>
          <w:vertAlign w:val="superscript"/>
        </w:rPr>
        <w:t>5</w:t>
      </w:r>
      <w:r w:rsidRPr="000E2267">
        <w:rPr>
          <w:rFonts w:ascii="Times New Roman" w:hAnsi="Times New Roman"/>
          <w:sz w:val="18"/>
          <w:szCs w:val="18"/>
          <w:vertAlign w:val="superscript"/>
        </w:rPr>
        <w:t xml:space="preserve"> </w:t>
      </w:r>
      <w:r w:rsidRPr="000E2267">
        <w:rPr>
          <w:rFonts w:ascii="Times New Roman" w:hAnsi="Times New Roman"/>
          <w:sz w:val="18"/>
          <w:szCs w:val="18"/>
        </w:rPr>
        <w:t xml:space="preserve">Serum </w:t>
      </w:r>
      <w:r w:rsidR="00614BDC" w:rsidRPr="000E2267">
        <w:rPr>
          <w:rFonts w:ascii="Times New Roman" w:hAnsi="Times New Roman"/>
          <w:spacing w:val="-1"/>
          <w:sz w:val="18"/>
          <w:szCs w:val="18"/>
        </w:rPr>
        <w:t>B</w:t>
      </w:r>
      <w:r w:rsidR="00EB03B3" w:rsidRPr="000E2267">
        <w:rPr>
          <w:rFonts w:ascii="Times New Roman" w:hAnsi="Times New Roman"/>
          <w:spacing w:val="3"/>
          <w:sz w:val="18"/>
          <w:szCs w:val="18"/>
        </w:rPr>
        <w:t>H</w:t>
      </w:r>
      <w:r w:rsidR="00EB03B3" w:rsidRPr="000E2267">
        <w:rPr>
          <w:rFonts w:ascii="Times New Roman" w:hAnsi="Times New Roman"/>
          <w:spacing w:val="-1"/>
          <w:sz w:val="18"/>
          <w:szCs w:val="18"/>
        </w:rPr>
        <w:t>C</w:t>
      </w:r>
      <w:r w:rsidR="00EB03B3" w:rsidRPr="000E2267">
        <w:rPr>
          <w:rFonts w:ascii="Times New Roman" w:hAnsi="Times New Roman"/>
          <w:sz w:val="18"/>
          <w:szCs w:val="18"/>
        </w:rPr>
        <w:t>G</w:t>
      </w:r>
      <w:r w:rsidRPr="000E2267">
        <w:rPr>
          <w:rFonts w:ascii="Times New Roman" w:hAnsi="Times New Roman"/>
          <w:sz w:val="18"/>
          <w:szCs w:val="18"/>
        </w:rPr>
        <w:t xml:space="preserve"> at </w:t>
      </w:r>
      <w:r w:rsidR="00A7691D" w:rsidRPr="000E2267">
        <w:rPr>
          <w:rFonts w:ascii="Times New Roman" w:hAnsi="Times New Roman"/>
          <w:sz w:val="18"/>
          <w:szCs w:val="18"/>
        </w:rPr>
        <w:t>1</w:t>
      </w:r>
      <w:r w:rsidR="00A7691D" w:rsidRPr="000E2267">
        <w:rPr>
          <w:rFonts w:ascii="Times New Roman" w:hAnsi="Times New Roman"/>
          <w:sz w:val="18"/>
          <w:szCs w:val="18"/>
          <w:vertAlign w:val="superscript"/>
        </w:rPr>
        <w:t>st</w:t>
      </w:r>
      <w:r w:rsidR="00A7691D" w:rsidRPr="000E2267">
        <w:rPr>
          <w:rFonts w:ascii="Times New Roman" w:hAnsi="Times New Roman"/>
          <w:sz w:val="18"/>
          <w:szCs w:val="18"/>
        </w:rPr>
        <w:t xml:space="preserve"> </w:t>
      </w:r>
      <w:r w:rsidRPr="000E2267">
        <w:rPr>
          <w:rFonts w:ascii="Times New Roman" w:hAnsi="Times New Roman"/>
          <w:sz w:val="18"/>
          <w:szCs w:val="18"/>
        </w:rPr>
        <w:t>screening</w:t>
      </w:r>
      <w:r w:rsidR="00A7691D" w:rsidRPr="000E2267">
        <w:rPr>
          <w:rFonts w:ascii="Times New Roman" w:hAnsi="Times New Roman"/>
          <w:sz w:val="18"/>
          <w:szCs w:val="18"/>
        </w:rPr>
        <w:t xml:space="preserve"> and End of Rx</w:t>
      </w:r>
      <w:r w:rsidRPr="000E2267">
        <w:rPr>
          <w:rFonts w:ascii="Times New Roman" w:hAnsi="Times New Roman"/>
          <w:sz w:val="18"/>
          <w:szCs w:val="18"/>
        </w:rPr>
        <w:t>;</w:t>
      </w:r>
      <w:r w:rsidR="007E2EDF" w:rsidRPr="000E2267">
        <w:rPr>
          <w:rFonts w:ascii="Times New Roman" w:hAnsi="Times New Roman"/>
          <w:sz w:val="18"/>
          <w:szCs w:val="18"/>
        </w:rPr>
        <w:t xml:space="preserve"> </w:t>
      </w:r>
      <w:r w:rsidRPr="000E2267">
        <w:rPr>
          <w:rFonts w:ascii="Times New Roman" w:hAnsi="Times New Roman"/>
          <w:sz w:val="18"/>
          <w:szCs w:val="18"/>
        </w:rPr>
        <w:t xml:space="preserve">all other timepoints urine </w:t>
      </w:r>
      <w:r w:rsidR="00614BDC" w:rsidRPr="000E2267">
        <w:rPr>
          <w:rFonts w:ascii="Times New Roman" w:hAnsi="Times New Roman"/>
          <w:spacing w:val="-1"/>
          <w:sz w:val="18"/>
          <w:szCs w:val="18"/>
        </w:rPr>
        <w:t>B</w:t>
      </w:r>
      <w:r w:rsidR="00EB03B3" w:rsidRPr="000E2267">
        <w:rPr>
          <w:rFonts w:ascii="Times New Roman" w:hAnsi="Times New Roman"/>
          <w:spacing w:val="3"/>
          <w:sz w:val="18"/>
          <w:szCs w:val="18"/>
        </w:rPr>
        <w:t>H</w:t>
      </w:r>
      <w:r w:rsidR="00EB03B3" w:rsidRPr="000E2267">
        <w:rPr>
          <w:rFonts w:ascii="Times New Roman" w:hAnsi="Times New Roman"/>
          <w:spacing w:val="-1"/>
          <w:sz w:val="18"/>
          <w:szCs w:val="18"/>
        </w:rPr>
        <w:t>C</w:t>
      </w:r>
      <w:r w:rsidR="00EB03B3" w:rsidRPr="000E2267">
        <w:rPr>
          <w:rFonts w:ascii="Times New Roman" w:hAnsi="Times New Roman"/>
          <w:sz w:val="18"/>
          <w:szCs w:val="18"/>
        </w:rPr>
        <w:t>G</w:t>
      </w:r>
      <w:r w:rsidRPr="000E2267">
        <w:rPr>
          <w:rFonts w:ascii="Times New Roman" w:hAnsi="Times New Roman"/>
          <w:sz w:val="18"/>
          <w:szCs w:val="18"/>
        </w:rPr>
        <w:t xml:space="preserve">. </w:t>
      </w:r>
      <w:r w:rsidR="00855E0B" w:rsidRPr="000E2267">
        <w:rPr>
          <w:rFonts w:ascii="Times New Roman" w:hAnsi="Times New Roman"/>
          <w:sz w:val="18"/>
          <w:szCs w:val="18"/>
          <w:vertAlign w:val="superscript"/>
        </w:rPr>
        <w:t>6</w:t>
      </w:r>
      <w:r w:rsidRPr="000E2267">
        <w:rPr>
          <w:rFonts w:ascii="Times New Roman" w:hAnsi="Times New Roman"/>
          <w:sz w:val="18"/>
          <w:szCs w:val="18"/>
        </w:rPr>
        <w:t xml:space="preserve"> See </w:t>
      </w:r>
      <w:r w:rsidR="005815AE" w:rsidRPr="000E2267">
        <w:rPr>
          <w:rFonts w:ascii="Times New Roman" w:hAnsi="Times New Roman"/>
          <w:color w:val="0000FF"/>
          <w:sz w:val="18"/>
          <w:szCs w:val="18"/>
        </w:rPr>
        <w:fldChar w:fldCharType="begin"/>
      </w:r>
      <w:r w:rsidR="005815AE" w:rsidRPr="000E2267">
        <w:rPr>
          <w:rFonts w:ascii="Times New Roman" w:hAnsi="Times New Roman"/>
          <w:color w:val="0000FF"/>
          <w:sz w:val="18"/>
          <w:szCs w:val="18"/>
        </w:rPr>
        <w:instrText xml:space="preserve"> REF _Ref375143209 \h  \* MERGEFORMAT </w:instrText>
      </w:r>
      <w:r w:rsidR="005815AE" w:rsidRPr="000E2267">
        <w:rPr>
          <w:rFonts w:ascii="Times New Roman" w:hAnsi="Times New Roman"/>
          <w:color w:val="0000FF"/>
          <w:sz w:val="18"/>
          <w:szCs w:val="18"/>
        </w:rPr>
      </w:r>
      <w:r w:rsidR="005815AE" w:rsidRPr="000E2267">
        <w:rPr>
          <w:rFonts w:ascii="Times New Roman" w:hAnsi="Times New Roman"/>
          <w:color w:val="0000FF"/>
          <w:sz w:val="18"/>
          <w:szCs w:val="18"/>
        </w:rPr>
        <w:fldChar w:fldCharType="separate"/>
      </w:r>
      <w:r w:rsidR="00024E24" w:rsidRPr="00024E24">
        <w:rPr>
          <w:rFonts w:ascii="Times New Roman" w:hAnsi="Times New Roman"/>
          <w:color w:val="0000FF"/>
          <w:sz w:val="18"/>
          <w:szCs w:val="18"/>
        </w:rPr>
        <w:t xml:space="preserve">Appendix </w:t>
      </w:r>
      <w:r w:rsidR="00024E24" w:rsidRPr="00024E24">
        <w:rPr>
          <w:rFonts w:ascii="Times New Roman" w:hAnsi="Times New Roman"/>
          <w:noProof/>
          <w:color w:val="0000FF"/>
          <w:sz w:val="18"/>
          <w:szCs w:val="18"/>
        </w:rPr>
        <w:t>2</w:t>
      </w:r>
      <w:r w:rsidR="005815AE" w:rsidRPr="000E2267">
        <w:rPr>
          <w:rFonts w:ascii="Times New Roman" w:hAnsi="Times New Roman"/>
          <w:color w:val="0000FF"/>
          <w:sz w:val="18"/>
          <w:szCs w:val="18"/>
        </w:rPr>
        <w:fldChar w:fldCharType="end"/>
      </w:r>
      <w:r w:rsidR="005815AE" w:rsidRPr="000E2267">
        <w:rPr>
          <w:rFonts w:ascii="Times New Roman" w:hAnsi="Times New Roman"/>
          <w:sz w:val="18"/>
          <w:szCs w:val="18"/>
        </w:rPr>
        <w:t xml:space="preserve"> </w:t>
      </w:r>
      <w:r w:rsidRPr="000E2267">
        <w:rPr>
          <w:rFonts w:ascii="Times New Roman" w:hAnsi="Times New Roman"/>
          <w:sz w:val="18"/>
          <w:szCs w:val="18"/>
        </w:rPr>
        <w:t xml:space="preserve">for volumes of immunology blood. </w:t>
      </w:r>
      <w:r w:rsidR="00855E0B" w:rsidRPr="000E2267">
        <w:rPr>
          <w:rFonts w:ascii="Times New Roman" w:hAnsi="Times New Roman"/>
          <w:sz w:val="18"/>
          <w:szCs w:val="18"/>
          <w:vertAlign w:val="superscript"/>
        </w:rPr>
        <w:t>7</w:t>
      </w:r>
      <w:r w:rsidR="00FE0F97" w:rsidRPr="000E2267">
        <w:rPr>
          <w:rFonts w:ascii="Times New Roman" w:hAnsi="Times New Roman"/>
          <w:sz w:val="18"/>
          <w:szCs w:val="18"/>
        </w:rPr>
        <w:t>Days 112 and 168</w:t>
      </w:r>
      <w:r w:rsidRPr="000E2267">
        <w:rPr>
          <w:rFonts w:ascii="Times New Roman" w:hAnsi="Times New Roman"/>
          <w:sz w:val="18"/>
          <w:szCs w:val="18"/>
        </w:rPr>
        <w:t xml:space="preserve"> may be field based visits</w:t>
      </w:r>
      <w:r w:rsidR="00C11B77" w:rsidRPr="000E2267">
        <w:rPr>
          <w:rFonts w:ascii="Times New Roman" w:hAnsi="Times New Roman"/>
          <w:sz w:val="18"/>
          <w:szCs w:val="18"/>
        </w:rPr>
        <w:t xml:space="preserve"> unless symptomatic of TB recurrence</w:t>
      </w:r>
      <w:r w:rsidRPr="000E2267">
        <w:rPr>
          <w:rFonts w:ascii="Times New Roman" w:hAnsi="Times New Roman"/>
          <w:sz w:val="18"/>
          <w:szCs w:val="18"/>
        </w:rPr>
        <w:t>.</w:t>
      </w:r>
      <w:bookmarkEnd w:id="507"/>
      <w:r w:rsidR="00330D07">
        <w:rPr>
          <w:rFonts w:ascii="Times New Roman" w:hAnsi="Times New Roman"/>
          <w:sz w:val="18"/>
          <w:szCs w:val="18"/>
        </w:rPr>
        <w:t xml:space="preserve"> </w:t>
      </w:r>
      <w:r w:rsidR="00330D07" w:rsidRPr="000A0071">
        <w:rPr>
          <w:rFonts w:ascii="Times New Roman" w:hAnsi="Times New Roman"/>
          <w:sz w:val="18"/>
          <w:szCs w:val="18"/>
          <w:shd w:val="clear" w:color="auto" w:fill="FFFF00"/>
        </w:rPr>
        <w:t>NOTE:</w:t>
      </w:r>
      <w:r w:rsidR="00330D07">
        <w:rPr>
          <w:rFonts w:ascii="Times New Roman" w:hAnsi="Times New Roman"/>
          <w:sz w:val="18"/>
          <w:szCs w:val="18"/>
        </w:rPr>
        <w:t xml:space="preserve"> </w:t>
      </w:r>
      <w:r w:rsidR="00330D07" w:rsidRPr="004838A4">
        <w:rPr>
          <w:rFonts w:ascii="Times New Roman" w:hAnsi="Times New Roman"/>
          <w:sz w:val="18"/>
          <w:szCs w:val="18"/>
          <w:shd w:val="clear" w:color="auto" w:fill="FFFF00"/>
        </w:rPr>
        <w:t xml:space="preserve">Yellow denotes Cohort 3 </w:t>
      </w:r>
      <w:r w:rsidR="00330D07">
        <w:rPr>
          <w:rFonts w:ascii="Times New Roman" w:hAnsi="Times New Roman"/>
          <w:sz w:val="18"/>
          <w:szCs w:val="18"/>
          <w:shd w:val="clear" w:color="auto" w:fill="FFFF00"/>
        </w:rPr>
        <w:t>only visits and pr</w:t>
      </w:r>
      <w:r w:rsidR="00330D07" w:rsidRPr="004838A4">
        <w:rPr>
          <w:rFonts w:ascii="Times New Roman" w:hAnsi="Times New Roman"/>
          <w:sz w:val="18"/>
          <w:szCs w:val="18"/>
          <w:shd w:val="clear" w:color="auto" w:fill="FFFF00"/>
        </w:rPr>
        <w:t>ocedures</w:t>
      </w:r>
      <w:r w:rsidR="00330D07">
        <w:rPr>
          <w:rFonts w:ascii="Times New Roman" w:hAnsi="Times New Roman"/>
          <w:sz w:val="18"/>
          <w:szCs w:val="18"/>
          <w:shd w:val="clear" w:color="auto" w:fill="FFFF00"/>
        </w:rPr>
        <w:t>.</w:t>
      </w:r>
    </w:p>
    <w:p w14:paraId="74A1B118" w14:textId="0087F6CD" w:rsidR="00A95DD1" w:rsidRPr="005E13C1" w:rsidRDefault="001B50A7" w:rsidP="001B50A7">
      <w:pPr>
        <w:pStyle w:val="Heading1"/>
        <w:numPr>
          <w:ilvl w:val="0"/>
          <w:numId w:val="0"/>
        </w:numPr>
        <w:spacing w:before="0" w:after="0" w:line="240" w:lineRule="auto"/>
        <w:jc w:val="center"/>
        <w:rPr>
          <w:caps w:val="0"/>
        </w:rPr>
      </w:pPr>
      <w:bookmarkStart w:id="508" w:name="_Ref375143209"/>
      <w:bookmarkStart w:id="509" w:name="_Toc389130059"/>
      <w:bookmarkStart w:id="510" w:name="_Toc389130118"/>
      <w:bookmarkStart w:id="511" w:name="_Toc440906362"/>
      <w:r w:rsidRPr="005E13C1">
        <w:rPr>
          <w:caps w:val="0"/>
          <w:sz w:val="22"/>
          <w:szCs w:val="22"/>
        </w:rPr>
        <w:t xml:space="preserve">Appendix </w:t>
      </w:r>
      <w:r w:rsidR="00347B69" w:rsidRPr="005E13C1">
        <w:rPr>
          <w:caps w:val="0"/>
          <w:sz w:val="22"/>
          <w:szCs w:val="22"/>
        </w:rPr>
        <w:fldChar w:fldCharType="begin"/>
      </w:r>
      <w:r w:rsidR="00347B69" w:rsidRPr="005E13C1">
        <w:rPr>
          <w:caps w:val="0"/>
          <w:sz w:val="22"/>
          <w:szCs w:val="22"/>
        </w:rPr>
        <w:instrText xml:space="preserve"> SEQ Appendix \* ARABIC </w:instrText>
      </w:r>
      <w:r w:rsidR="00347B69" w:rsidRPr="005E13C1">
        <w:rPr>
          <w:caps w:val="0"/>
          <w:sz w:val="22"/>
          <w:szCs w:val="22"/>
        </w:rPr>
        <w:fldChar w:fldCharType="separate"/>
      </w:r>
      <w:r w:rsidR="00024E24">
        <w:rPr>
          <w:caps w:val="0"/>
          <w:noProof/>
          <w:sz w:val="22"/>
          <w:szCs w:val="22"/>
        </w:rPr>
        <w:t>2</w:t>
      </w:r>
      <w:r w:rsidR="00347B69" w:rsidRPr="005E13C1">
        <w:rPr>
          <w:caps w:val="0"/>
          <w:noProof/>
          <w:sz w:val="22"/>
          <w:szCs w:val="22"/>
        </w:rPr>
        <w:fldChar w:fldCharType="end"/>
      </w:r>
      <w:bookmarkEnd w:id="508"/>
      <w:r w:rsidR="00DB7C63" w:rsidRPr="005E13C1">
        <w:rPr>
          <w:caps w:val="0"/>
          <w:sz w:val="22"/>
          <w:szCs w:val="22"/>
        </w:rPr>
        <w:t xml:space="preserve">: </w:t>
      </w:r>
      <w:r w:rsidRPr="005E13C1">
        <w:rPr>
          <w:caps w:val="0"/>
          <w:sz w:val="22"/>
          <w:szCs w:val="22"/>
        </w:rPr>
        <w:t>Schedule of blood draws and volumes</w:t>
      </w:r>
      <w:bookmarkEnd w:id="509"/>
      <w:bookmarkEnd w:id="510"/>
      <w:bookmarkEnd w:id="511"/>
    </w:p>
    <w:tbl>
      <w:tblPr>
        <w:tblW w:w="13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4"/>
        <w:gridCol w:w="810"/>
        <w:gridCol w:w="720"/>
        <w:gridCol w:w="720"/>
        <w:gridCol w:w="630"/>
        <w:gridCol w:w="630"/>
        <w:gridCol w:w="720"/>
        <w:gridCol w:w="630"/>
        <w:gridCol w:w="630"/>
        <w:gridCol w:w="630"/>
        <w:gridCol w:w="630"/>
        <w:gridCol w:w="630"/>
        <w:gridCol w:w="630"/>
        <w:gridCol w:w="630"/>
        <w:gridCol w:w="630"/>
        <w:gridCol w:w="630"/>
        <w:gridCol w:w="540"/>
        <w:gridCol w:w="628"/>
        <w:gridCol w:w="735"/>
      </w:tblGrid>
      <w:tr w:rsidR="00385B57" w:rsidRPr="00BD0018" w14:paraId="6BABC6FD" w14:textId="77777777" w:rsidTr="00B67553">
        <w:trPr>
          <w:trHeight w:val="288"/>
          <w:jc w:val="center"/>
        </w:trPr>
        <w:tc>
          <w:tcPr>
            <w:tcW w:w="2084" w:type="dxa"/>
            <w:shd w:val="clear" w:color="auto" w:fill="D9D9D9"/>
            <w:tcMar>
              <w:left w:w="72" w:type="dxa"/>
              <w:right w:w="72" w:type="dxa"/>
            </w:tcMar>
            <w:vAlign w:val="center"/>
          </w:tcPr>
          <w:p w14:paraId="461DABD9" w14:textId="77777777" w:rsidR="00385B57" w:rsidRPr="00BD0018" w:rsidRDefault="00385B57" w:rsidP="00B67553">
            <w:pPr>
              <w:spacing w:line="240" w:lineRule="auto"/>
              <w:rPr>
                <w:rFonts w:ascii="Times New Roman" w:hAnsi="Times New Roman"/>
                <w:sz w:val="18"/>
                <w:szCs w:val="18"/>
              </w:rPr>
            </w:pPr>
          </w:p>
        </w:tc>
        <w:tc>
          <w:tcPr>
            <w:tcW w:w="810" w:type="dxa"/>
            <w:shd w:val="clear" w:color="auto" w:fill="D9D9D9"/>
            <w:tcMar>
              <w:left w:w="72" w:type="dxa"/>
              <w:right w:w="29" w:type="dxa"/>
            </w:tcMar>
          </w:tcPr>
          <w:p w14:paraId="7B5676ED"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1</w:t>
            </w:r>
            <w:r w:rsidRPr="00BD0018">
              <w:rPr>
                <w:rFonts w:ascii="Times New Roman" w:hAnsi="Times New Roman"/>
                <w:b/>
                <w:sz w:val="18"/>
                <w:szCs w:val="18"/>
                <w:vertAlign w:val="superscript"/>
              </w:rPr>
              <w:t>st</w:t>
            </w:r>
            <w:r w:rsidRPr="00BD0018">
              <w:rPr>
                <w:rFonts w:ascii="Times New Roman" w:hAnsi="Times New Roman"/>
                <w:b/>
                <w:sz w:val="18"/>
                <w:szCs w:val="18"/>
              </w:rPr>
              <w:t xml:space="preserve"> Screen</w:t>
            </w:r>
          </w:p>
        </w:tc>
        <w:tc>
          <w:tcPr>
            <w:tcW w:w="720" w:type="dxa"/>
            <w:shd w:val="clear" w:color="auto" w:fill="D9D9D9"/>
            <w:tcMar>
              <w:left w:w="72" w:type="dxa"/>
              <w:right w:w="29" w:type="dxa"/>
            </w:tcMar>
          </w:tcPr>
          <w:p w14:paraId="3F1D4CCC"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3rd Screen</w:t>
            </w:r>
          </w:p>
        </w:tc>
        <w:tc>
          <w:tcPr>
            <w:tcW w:w="720" w:type="dxa"/>
            <w:shd w:val="clear" w:color="auto" w:fill="D9D9D9"/>
            <w:tcMar>
              <w:left w:w="72" w:type="dxa"/>
              <w:right w:w="72" w:type="dxa"/>
            </w:tcMar>
          </w:tcPr>
          <w:p w14:paraId="6217FAC2"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w:t>
            </w:r>
          </w:p>
          <w:p w14:paraId="4CFBDDB6"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0</w:t>
            </w:r>
          </w:p>
        </w:tc>
        <w:tc>
          <w:tcPr>
            <w:tcW w:w="630" w:type="dxa"/>
            <w:shd w:val="clear" w:color="auto" w:fill="D9D9D9"/>
            <w:tcMar>
              <w:left w:w="72" w:type="dxa"/>
              <w:right w:w="72" w:type="dxa"/>
            </w:tcMar>
          </w:tcPr>
          <w:p w14:paraId="757564E8"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w:t>
            </w:r>
          </w:p>
          <w:p w14:paraId="33AD17A9"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3</w:t>
            </w:r>
          </w:p>
          <w:p w14:paraId="12718025" w14:textId="77777777" w:rsidR="00385B57" w:rsidRPr="00BD0018" w:rsidRDefault="00385B57" w:rsidP="00B67553">
            <w:pPr>
              <w:spacing w:line="240" w:lineRule="auto"/>
              <w:jc w:val="center"/>
              <w:rPr>
                <w:rFonts w:ascii="Times New Roman" w:hAnsi="Times New Roman"/>
                <w:b/>
                <w:sz w:val="18"/>
                <w:szCs w:val="18"/>
              </w:rPr>
            </w:pPr>
          </w:p>
        </w:tc>
        <w:tc>
          <w:tcPr>
            <w:tcW w:w="630" w:type="dxa"/>
            <w:shd w:val="clear" w:color="auto" w:fill="D9D9D9"/>
            <w:tcMar>
              <w:left w:w="72" w:type="dxa"/>
              <w:right w:w="72" w:type="dxa"/>
            </w:tcMar>
          </w:tcPr>
          <w:p w14:paraId="274DC570"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w:t>
            </w:r>
          </w:p>
          <w:p w14:paraId="6D9C23CA"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7</w:t>
            </w:r>
          </w:p>
          <w:p w14:paraId="1A15EEE0"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bCs/>
                <w:sz w:val="18"/>
                <w:szCs w:val="18"/>
              </w:rPr>
              <w:t>(± 1)</w:t>
            </w:r>
          </w:p>
        </w:tc>
        <w:tc>
          <w:tcPr>
            <w:tcW w:w="720" w:type="dxa"/>
            <w:shd w:val="clear" w:color="auto" w:fill="D9D9D9"/>
            <w:tcMar>
              <w:left w:w="72" w:type="dxa"/>
              <w:right w:w="72" w:type="dxa"/>
            </w:tcMar>
          </w:tcPr>
          <w:p w14:paraId="5679CFD4"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w:t>
            </w:r>
          </w:p>
          <w:p w14:paraId="1A26EAA9"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14</w:t>
            </w:r>
          </w:p>
          <w:p w14:paraId="6205056C"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bCs/>
                <w:sz w:val="18"/>
                <w:szCs w:val="18"/>
              </w:rPr>
              <w:t>(± 1)</w:t>
            </w:r>
          </w:p>
        </w:tc>
        <w:tc>
          <w:tcPr>
            <w:tcW w:w="630" w:type="dxa"/>
            <w:shd w:val="clear" w:color="auto" w:fill="D9D9D9"/>
            <w:tcMar>
              <w:left w:w="72" w:type="dxa"/>
              <w:right w:w="72" w:type="dxa"/>
            </w:tcMar>
          </w:tcPr>
          <w:p w14:paraId="75ADEAA1"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w:t>
            </w:r>
          </w:p>
          <w:p w14:paraId="2C0F1FFF"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28</w:t>
            </w:r>
          </w:p>
          <w:p w14:paraId="5B4B36B4"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(±3)</w:t>
            </w:r>
          </w:p>
        </w:tc>
        <w:tc>
          <w:tcPr>
            <w:tcW w:w="630" w:type="dxa"/>
            <w:shd w:val="clear" w:color="auto" w:fill="FFFF00"/>
          </w:tcPr>
          <w:p w14:paraId="6F7E72A7"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w:t>
            </w:r>
          </w:p>
          <w:p w14:paraId="610153A6"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31</w:t>
            </w:r>
          </w:p>
          <w:p w14:paraId="0AF2DF33" w14:textId="77777777" w:rsidR="00385B57" w:rsidRPr="00BD0018" w:rsidRDefault="00385B57" w:rsidP="00B67553">
            <w:pPr>
              <w:spacing w:line="240" w:lineRule="auto"/>
              <w:jc w:val="center"/>
              <w:rPr>
                <w:rFonts w:ascii="Times New Roman" w:hAnsi="Times New Roman"/>
                <w:b/>
                <w:sz w:val="18"/>
                <w:szCs w:val="18"/>
              </w:rPr>
            </w:pPr>
          </w:p>
        </w:tc>
        <w:tc>
          <w:tcPr>
            <w:tcW w:w="630" w:type="dxa"/>
            <w:shd w:val="clear" w:color="auto" w:fill="FFFF00"/>
          </w:tcPr>
          <w:p w14:paraId="22695D7A"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w:t>
            </w:r>
          </w:p>
          <w:p w14:paraId="3F33E2C5"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35</w:t>
            </w:r>
          </w:p>
          <w:p w14:paraId="448F640D"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bCs/>
                <w:sz w:val="18"/>
                <w:szCs w:val="18"/>
              </w:rPr>
              <w:t>(± 1)</w:t>
            </w:r>
          </w:p>
        </w:tc>
        <w:tc>
          <w:tcPr>
            <w:tcW w:w="630" w:type="dxa"/>
            <w:shd w:val="clear" w:color="auto" w:fill="FFFF00"/>
          </w:tcPr>
          <w:p w14:paraId="4BFE2150"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w:t>
            </w:r>
          </w:p>
          <w:p w14:paraId="6F50C4B0"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42</w:t>
            </w:r>
          </w:p>
          <w:p w14:paraId="089690D9"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bCs/>
                <w:sz w:val="18"/>
                <w:szCs w:val="18"/>
              </w:rPr>
              <w:t>(± 1)</w:t>
            </w:r>
          </w:p>
        </w:tc>
        <w:tc>
          <w:tcPr>
            <w:tcW w:w="630" w:type="dxa"/>
            <w:shd w:val="clear" w:color="auto" w:fill="D9D9D9"/>
            <w:tcMar>
              <w:left w:w="72" w:type="dxa"/>
              <w:right w:w="72" w:type="dxa"/>
            </w:tcMar>
          </w:tcPr>
          <w:p w14:paraId="133F8085"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w:t>
            </w:r>
          </w:p>
          <w:p w14:paraId="06321DD3"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56</w:t>
            </w:r>
          </w:p>
          <w:p w14:paraId="4BAEE146"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(±3)</w:t>
            </w:r>
          </w:p>
        </w:tc>
        <w:tc>
          <w:tcPr>
            <w:tcW w:w="630" w:type="dxa"/>
            <w:shd w:val="clear" w:color="auto" w:fill="D9D9D9"/>
            <w:tcMar>
              <w:left w:w="72" w:type="dxa"/>
              <w:right w:w="72" w:type="dxa"/>
            </w:tcMar>
          </w:tcPr>
          <w:p w14:paraId="0F05080F"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w:t>
            </w:r>
          </w:p>
          <w:p w14:paraId="4F12E1D1" w14:textId="77777777" w:rsidR="00385B57" w:rsidRPr="00BD0018" w:rsidDel="00146026" w:rsidRDefault="00385B57" w:rsidP="00B67553">
            <w:pPr>
              <w:spacing w:line="240" w:lineRule="auto"/>
              <w:jc w:val="center"/>
              <w:rPr>
                <w:rFonts w:ascii="Times New Roman" w:hAnsi="Times New Roman"/>
                <w:b/>
                <w:sz w:val="18"/>
                <w:szCs w:val="18"/>
                <w:highlight w:val="magenta"/>
              </w:rPr>
            </w:pPr>
            <w:r w:rsidRPr="00BD0018">
              <w:rPr>
                <w:rFonts w:ascii="Times New Roman" w:hAnsi="Times New Roman"/>
                <w:b/>
                <w:sz w:val="18"/>
                <w:szCs w:val="18"/>
              </w:rPr>
              <w:t>59</w:t>
            </w:r>
          </w:p>
        </w:tc>
        <w:tc>
          <w:tcPr>
            <w:tcW w:w="630" w:type="dxa"/>
            <w:shd w:val="clear" w:color="auto" w:fill="D9D9D9"/>
          </w:tcPr>
          <w:p w14:paraId="226DFBE0"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 63</w:t>
            </w:r>
          </w:p>
          <w:p w14:paraId="706477E5"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bCs/>
                <w:sz w:val="18"/>
                <w:szCs w:val="18"/>
              </w:rPr>
              <w:t>(± 1)</w:t>
            </w:r>
          </w:p>
        </w:tc>
        <w:tc>
          <w:tcPr>
            <w:tcW w:w="630" w:type="dxa"/>
            <w:shd w:val="clear" w:color="auto" w:fill="D9D9D9"/>
          </w:tcPr>
          <w:p w14:paraId="59587CE2"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 70</w:t>
            </w:r>
          </w:p>
          <w:p w14:paraId="32BBCB23"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bCs/>
                <w:sz w:val="18"/>
                <w:szCs w:val="18"/>
              </w:rPr>
              <w:t>(± 1)</w:t>
            </w:r>
          </w:p>
        </w:tc>
        <w:tc>
          <w:tcPr>
            <w:tcW w:w="630" w:type="dxa"/>
            <w:shd w:val="clear" w:color="auto" w:fill="D9D9D9"/>
          </w:tcPr>
          <w:p w14:paraId="696CB9CE"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 84</w:t>
            </w:r>
          </w:p>
          <w:p w14:paraId="0B21079B"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bCs/>
                <w:sz w:val="18"/>
                <w:szCs w:val="18"/>
              </w:rPr>
              <w:t>(± 3)</w:t>
            </w:r>
          </w:p>
        </w:tc>
        <w:tc>
          <w:tcPr>
            <w:tcW w:w="540" w:type="dxa"/>
            <w:shd w:val="clear" w:color="auto" w:fill="D9D9D9"/>
            <w:tcMar>
              <w:left w:w="72" w:type="dxa"/>
              <w:right w:w="72" w:type="dxa"/>
            </w:tcMar>
          </w:tcPr>
          <w:p w14:paraId="0D2D6AC7"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 112</w:t>
            </w:r>
          </w:p>
          <w:p w14:paraId="226600E1" w14:textId="77777777" w:rsidR="00385B57" w:rsidRPr="00BD0018" w:rsidDel="00146026" w:rsidRDefault="00385B57" w:rsidP="00B67553">
            <w:pPr>
              <w:spacing w:line="240" w:lineRule="auto"/>
              <w:jc w:val="center"/>
              <w:rPr>
                <w:rFonts w:ascii="Times New Roman" w:hAnsi="Times New Roman"/>
                <w:b/>
                <w:sz w:val="18"/>
                <w:szCs w:val="18"/>
              </w:rPr>
            </w:pPr>
            <w:r w:rsidRPr="00BD0018">
              <w:rPr>
                <w:rFonts w:ascii="Times New Roman" w:hAnsi="Times New Roman"/>
                <w:b/>
                <w:bCs/>
                <w:sz w:val="18"/>
                <w:szCs w:val="18"/>
              </w:rPr>
              <w:t>(± 5)</w:t>
            </w:r>
          </w:p>
        </w:tc>
        <w:tc>
          <w:tcPr>
            <w:tcW w:w="628" w:type="dxa"/>
            <w:shd w:val="clear" w:color="auto" w:fill="D9D9D9"/>
            <w:tcMar>
              <w:left w:w="72" w:type="dxa"/>
              <w:right w:w="72" w:type="dxa"/>
            </w:tcMar>
          </w:tcPr>
          <w:p w14:paraId="3E3C6E23"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 168</w:t>
            </w:r>
          </w:p>
          <w:p w14:paraId="2F5A099C"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bCs/>
                <w:sz w:val="18"/>
                <w:szCs w:val="18"/>
              </w:rPr>
              <w:t>(± 10)</w:t>
            </w:r>
          </w:p>
        </w:tc>
        <w:tc>
          <w:tcPr>
            <w:tcW w:w="735" w:type="dxa"/>
            <w:shd w:val="clear" w:color="auto" w:fill="D9D9D9"/>
            <w:tcMar>
              <w:left w:w="72" w:type="dxa"/>
              <w:right w:w="72" w:type="dxa"/>
            </w:tcMar>
          </w:tcPr>
          <w:p w14:paraId="2C2F77CB"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sz w:val="18"/>
                <w:szCs w:val="18"/>
              </w:rPr>
              <w:t>Day 224</w:t>
            </w:r>
          </w:p>
          <w:p w14:paraId="34138395" w14:textId="77777777" w:rsidR="00385B57" w:rsidRPr="00BD0018" w:rsidRDefault="00385B57" w:rsidP="00B67553">
            <w:pPr>
              <w:spacing w:line="240" w:lineRule="auto"/>
              <w:jc w:val="center"/>
              <w:rPr>
                <w:rFonts w:ascii="Times New Roman" w:hAnsi="Times New Roman"/>
                <w:b/>
                <w:sz w:val="18"/>
                <w:szCs w:val="18"/>
              </w:rPr>
            </w:pPr>
            <w:r w:rsidRPr="00BD0018">
              <w:rPr>
                <w:rFonts w:ascii="Times New Roman" w:hAnsi="Times New Roman"/>
                <w:b/>
                <w:bCs/>
                <w:sz w:val="18"/>
                <w:szCs w:val="18"/>
              </w:rPr>
              <w:t>(± 10)</w:t>
            </w:r>
          </w:p>
        </w:tc>
      </w:tr>
      <w:tr w:rsidR="00385B57" w:rsidRPr="00BD0018" w14:paraId="4213FC0F" w14:textId="77777777" w:rsidTr="00B67553">
        <w:trPr>
          <w:trHeight w:val="288"/>
          <w:jc w:val="center"/>
        </w:trPr>
        <w:tc>
          <w:tcPr>
            <w:tcW w:w="2084" w:type="dxa"/>
            <w:vAlign w:val="center"/>
          </w:tcPr>
          <w:p w14:paraId="37FDCC46" w14:textId="77777777" w:rsidR="00385B57" w:rsidRPr="00BD0018" w:rsidRDefault="00385B57" w:rsidP="00B67553">
            <w:pPr>
              <w:spacing w:line="240" w:lineRule="auto"/>
              <w:rPr>
                <w:rFonts w:ascii="Times New Roman" w:hAnsi="Times New Roman"/>
                <w:sz w:val="18"/>
                <w:szCs w:val="18"/>
              </w:rPr>
            </w:pPr>
            <w:r w:rsidRPr="00BD0018">
              <w:rPr>
                <w:rFonts w:ascii="Times New Roman" w:hAnsi="Times New Roman"/>
                <w:sz w:val="18"/>
                <w:szCs w:val="18"/>
              </w:rPr>
              <w:t>Hematology/Chemistries</w:t>
            </w:r>
          </w:p>
        </w:tc>
        <w:tc>
          <w:tcPr>
            <w:tcW w:w="810" w:type="dxa"/>
            <w:vAlign w:val="center"/>
          </w:tcPr>
          <w:p w14:paraId="1E9276B8" w14:textId="77777777" w:rsidR="00385B57" w:rsidRPr="00BD0018" w:rsidRDefault="00385B57" w:rsidP="00B67553">
            <w:pPr>
              <w:spacing w:line="240" w:lineRule="auto"/>
              <w:jc w:val="center"/>
              <w:rPr>
                <w:rFonts w:ascii="Times New Roman" w:hAnsi="Times New Roman"/>
                <w:sz w:val="18"/>
                <w:szCs w:val="18"/>
              </w:rPr>
            </w:pPr>
          </w:p>
        </w:tc>
        <w:tc>
          <w:tcPr>
            <w:tcW w:w="720" w:type="dxa"/>
            <w:vAlign w:val="center"/>
          </w:tcPr>
          <w:p w14:paraId="73E129C9"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10</w:t>
            </w:r>
            <w:r w:rsidRPr="00BD0018">
              <w:rPr>
                <w:rFonts w:ascii="Times New Roman" w:hAnsi="Times New Roman"/>
                <w:sz w:val="18"/>
                <w:szCs w:val="18"/>
                <w:vertAlign w:val="superscript"/>
              </w:rPr>
              <w:t>1</w:t>
            </w:r>
          </w:p>
        </w:tc>
        <w:tc>
          <w:tcPr>
            <w:tcW w:w="720" w:type="dxa"/>
            <w:vAlign w:val="center"/>
          </w:tcPr>
          <w:p w14:paraId="200D0606" w14:textId="77777777" w:rsidR="00385B57" w:rsidRPr="00BD0018" w:rsidRDefault="00385B57" w:rsidP="00B67553">
            <w:pPr>
              <w:spacing w:line="240" w:lineRule="auto"/>
              <w:jc w:val="center"/>
              <w:rPr>
                <w:rFonts w:ascii="Times New Roman" w:hAnsi="Times New Roman"/>
                <w:sz w:val="18"/>
                <w:szCs w:val="18"/>
              </w:rPr>
            </w:pPr>
          </w:p>
        </w:tc>
        <w:tc>
          <w:tcPr>
            <w:tcW w:w="630" w:type="dxa"/>
            <w:vAlign w:val="center"/>
          </w:tcPr>
          <w:p w14:paraId="2EACCD5A" w14:textId="77777777" w:rsidR="00385B57" w:rsidRPr="00BD0018" w:rsidRDefault="00385B57" w:rsidP="00B67553">
            <w:pPr>
              <w:spacing w:line="240" w:lineRule="auto"/>
              <w:jc w:val="center"/>
              <w:rPr>
                <w:rFonts w:ascii="Times New Roman" w:hAnsi="Times New Roman"/>
                <w:sz w:val="18"/>
                <w:szCs w:val="18"/>
              </w:rPr>
            </w:pPr>
          </w:p>
        </w:tc>
        <w:tc>
          <w:tcPr>
            <w:tcW w:w="630" w:type="dxa"/>
            <w:vAlign w:val="center"/>
          </w:tcPr>
          <w:p w14:paraId="364EBFE0"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10</w:t>
            </w:r>
          </w:p>
        </w:tc>
        <w:tc>
          <w:tcPr>
            <w:tcW w:w="720" w:type="dxa"/>
            <w:vAlign w:val="center"/>
          </w:tcPr>
          <w:p w14:paraId="0623C779" w14:textId="77777777" w:rsidR="00385B57" w:rsidRPr="00BD0018" w:rsidRDefault="00385B57" w:rsidP="00B67553">
            <w:pPr>
              <w:spacing w:line="240" w:lineRule="auto"/>
              <w:jc w:val="center"/>
              <w:rPr>
                <w:rFonts w:ascii="Times New Roman" w:hAnsi="Times New Roman"/>
                <w:sz w:val="18"/>
                <w:szCs w:val="18"/>
              </w:rPr>
            </w:pPr>
          </w:p>
        </w:tc>
        <w:tc>
          <w:tcPr>
            <w:tcW w:w="630" w:type="dxa"/>
            <w:shd w:val="clear" w:color="auto" w:fill="FFFF00"/>
            <w:vAlign w:val="center"/>
          </w:tcPr>
          <w:p w14:paraId="25A8314B" w14:textId="77777777" w:rsidR="00385B57" w:rsidRPr="00BD0018" w:rsidRDefault="00385B57" w:rsidP="00B67553">
            <w:pPr>
              <w:spacing w:line="240" w:lineRule="auto"/>
              <w:jc w:val="center"/>
              <w:rPr>
                <w:rFonts w:ascii="Times New Roman" w:hAnsi="Times New Roman"/>
                <w:sz w:val="18"/>
                <w:szCs w:val="18"/>
              </w:rPr>
            </w:pPr>
            <w:r>
              <w:rPr>
                <w:rFonts w:ascii="Times New Roman" w:hAnsi="Times New Roman"/>
                <w:sz w:val="18"/>
                <w:szCs w:val="18"/>
              </w:rPr>
              <w:t>10</w:t>
            </w:r>
          </w:p>
        </w:tc>
        <w:tc>
          <w:tcPr>
            <w:tcW w:w="630" w:type="dxa"/>
            <w:shd w:val="clear" w:color="auto" w:fill="FFFF00"/>
            <w:vAlign w:val="center"/>
          </w:tcPr>
          <w:p w14:paraId="4077D6E6" w14:textId="77777777" w:rsidR="00385B57" w:rsidRPr="00BD0018" w:rsidRDefault="00385B57" w:rsidP="00B67553">
            <w:pPr>
              <w:spacing w:line="240" w:lineRule="auto"/>
              <w:jc w:val="center"/>
              <w:rPr>
                <w:rFonts w:ascii="Times New Roman" w:hAnsi="Times New Roman"/>
                <w:sz w:val="18"/>
                <w:szCs w:val="18"/>
              </w:rPr>
            </w:pPr>
          </w:p>
        </w:tc>
        <w:tc>
          <w:tcPr>
            <w:tcW w:w="630" w:type="dxa"/>
            <w:shd w:val="clear" w:color="auto" w:fill="FFFF00"/>
            <w:vAlign w:val="center"/>
          </w:tcPr>
          <w:p w14:paraId="507C086D"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10</w:t>
            </w:r>
          </w:p>
        </w:tc>
        <w:tc>
          <w:tcPr>
            <w:tcW w:w="630" w:type="dxa"/>
            <w:shd w:val="clear" w:color="auto" w:fill="FFFF00"/>
            <w:vAlign w:val="center"/>
          </w:tcPr>
          <w:p w14:paraId="415C1364" w14:textId="77777777" w:rsidR="00385B57" w:rsidRPr="00BD0018" w:rsidRDefault="00385B57" w:rsidP="00B67553">
            <w:pPr>
              <w:spacing w:line="240" w:lineRule="auto"/>
              <w:jc w:val="center"/>
              <w:rPr>
                <w:rFonts w:ascii="Times New Roman" w:hAnsi="Times New Roman"/>
                <w:sz w:val="18"/>
                <w:szCs w:val="18"/>
              </w:rPr>
            </w:pPr>
          </w:p>
        </w:tc>
        <w:tc>
          <w:tcPr>
            <w:tcW w:w="630" w:type="dxa"/>
            <w:vAlign w:val="center"/>
          </w:tcPr>
          <w:p w14:paraId="0460BC59"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10</w:t>
            </w:r>
          </w:p>
        </w:tc>
        <w:tc>
          <w:tcPr>
            <w:tcW w:w="630" w:type="dxa"/>
            <w:vAlign w:val="center"/>
          </w:tcPr>
          <w:p w14:paraId="0E264DB8" w14:textId="77777777" w:rsidR="00385B57" w:rsidRPr="00BD0018" w:rsidRDefault="00385B57" w:rsidP="00B67553">
            <w:pPr>
              <w:spacing w:line="240" w:lineRule="auto"/>
              <w:jc w:val="center"/>
              <w:rPr>
                <w:rFonts w:ascii="Times New Roman" w:hAnsi="Times New Roman"/>
                <w:sz w:val="18"/>
                <w:szCs w:val="18"/>
              </w:rPr>
            </w:pPr>
          </w:p>
        </w:tc>
        <w:tc>
          <w:tcPr>
            <w:tcW w:w="630" w:type="dxa"/>
            <w:vAlign w:val="center"/>
          </w:tcPr>
          <w:p w14:paraId="6E8045D6"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10</w:t>
            </w:r>
          </w:p>
        </w:tc>
        <w:tc>
          <w:tcPr>
            <w:tcW w:w="630" w:type="dxa"/>
            <w:vAlign w:val="center"/>
          </w:tcPr>
          <w:p w14:paraId="4A041336" w14:textId="77777777" w:rsidR="00385B57" w:rsidRPr="00BD0018" w:rsidRDefault="00385B57" w:rsidP="00B67553">
            <w:pPr>
              <w:spacing w:line="240" w:lineRule="auto"/>
              <w:jc w:val="center"/>
              <w:rPr>
                <w:rFonts w:ascii="Times New Roman" w:hAnsi="Times New Roman"/>
                <w:sz w:val="18"/>
                <w:szCs w:val="18"/>
              </w:rPr>
            </w:pPr>
          </w:p>
        </w:tc>
        <w:tc>
          <w:tcPr>
            <w:tcW w:w="630" w:type="dxa"/>
            <w:vAlign w:val="center"/>
          </w:tcPr>
          <w:p w14:paraId="1961CAD2" w14:textId="77777777" w:rsidR="00385B57" w:rsidRPr="00BD0018" w:rsidRDefault="00385B57" w:rsidP="00B67553">
            <w:pPr>
              <w:spacing w:line="240" w:lineRule="auto"/>
              <w:jc w:val="center"/>
              <w:rPr>
                <w:rFonts w:ascii="Times New Roman" w:hAnsi="Times New Roman"/>
                <w:sz w:val="18"/>
                <w:szCs w:val="18"/>
              </w:rPr>
            </w:pPr>
          </w:p>
        </w:tc>
        <w:tc>
          <w:tcPr>
            <w:tcW w:w="540" w:type="dxa"/>
            <w:vAlign w:val="center"/>
          </w:tcPr>
          <w:p w14:paraId="57AEA9B6" w14:textId="77777777" w:rsidR="00385B57" w:rsidRPr="00BD0018" w:rsidRDefault="00385B57" w:rsidP="00B67553">
            <w:pPr>
              <w:spacing w:line="240" w:lineRule="auto"/>
              <w:jc w:val="center"/>
              <w:rPr>
                <w:rFonts w:ascii="Times New Roman" w:hAnsi="Times New Roman"/>
                <w:sz w:val="18"/>
                <w:szCs w:val="18"/>
                <w:highlight w:val="yellow"/>
              </w:rPr>
            </w:pPr>
          </w:p>
        </w:tc>
        <w:tc>
          <w:tcPr>
            <w:tcW w:w="628" w:type="dxa"/>
            <w:vAlign w:val="center"/>
          </w:tcPr>
          <w:p w14:paraId="62B199A2" w14:textId="77777777" w:rsidR="00385B57" w:rsidRPr="00BD0018" w:rsidRDefault="00385B57" w:rsidP="00B67553">
            <w:pPr>
              <w:spacing w:line="240" w:lineRule="auto"/>
              <w:jc w:val="center"/>
              <w:rPr>
                <w:rFonts w:ascii="Times New Roman" w:hAnsi="Times New Roman"/>
                <w:sz w:val="18"/>
                <w:szCs w:val="18"/>
                <w:highlight w:val="yellow"/>
              </w:rPr>
            </w:pPr>
          </w:p>
        </w:tc>
        <w:tc>
          <w:tcPr>
            <w:tcW w:w="735" w:type="dxa"/>
            <w:vAlign w:val="center"/>
          </w:tcPr>
          <w:p w14:paraId="525FD8FB" w14:textId="77777777" w:rsidR="00385B57" w:rsidRPr="00BD0018" w:rsidRDefault="00385B57" w:rsidP="00B67553">
            <w:pPr>
              <w:spacing w:line="240" w:lineRule="auto"/>
              <w:jc w:val="center"/>
              <w:rPr>
                <w:rFonts w:ascii="Times New Roman" w:hAnsi="Times New Roman"/>
                <w:sz w:val="18"/>
                <w:szCs w:val="18"/>
              </w:rPr>
            </w:pPr>
          </w:p>
        </w:tc>
      </w:tr>
      <w:tr w:rsidR="00385B57" w:rsidRPr="00BD0018" w14:paraId="0DA9561B" w14:textId="77777777" w:rsidTr="00B67553">
        <w:trPr>
          <w:trHeight w:val="288"/>
          <w:jc w:val="center"/>
        </w:trPr>
        <w:tc>
          <w:tcPr>
            <w:tcW w:w="2084" w:type="dxa"/>
            <w:tcBorders>
              <w:bottom w:val="single" w:sz="18" w:space="0" w:color="auto"/>
            </w:tcBorders>
            <w:vAlign w:val="center"/>
          </w:tcPr>
          <w:p w14:paraId="13B9B45A" w14:textId="77777777" w:rsidR="00385B57" w:rsidRPr="00BD0018" w:rsidRDefault="00385B57" w:rsidP="00B67553">
            <w:pPr>
              <w:spacing w:line="240" w:lineRule="auto"/>
              <w:rPr>
                <w:rFonts w:ascii="Times New Roman" w:hAnsi="Times New Roman"/>
                <w:sz w:val="18"/>
                <w:szCs w:val="18"/>
              </w:rPr>
            </w:pPr>
            <w:r w:rsidRPr="00BD0018">
              <w:rPr>
                <w:rFonts w:ascii="Times New Roman" w:hAnsi="Times New Roman"/>
                <w:sz w:val="18"/>
                <w:szCs w:val="18"/>
              </w:rPr>
              <w:t>HIV Serology and βHCG</w:t>
            </w:r>
          </w:p>
        </w:tc>
        <w:tc>
          <w:tcPr>
            <w:tcW w:w="810" w:type="dxa"/>
            <w:tcBorders>
              <w:bottom w:val="single" w:sz="18" w:space="0" w:color="auto"/>
            </w:tcBorders>
            <w:vAlign w:val="center"/>
          </w:tcPr>
          <w:p w14:paraId="56489F8F"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5</w:t>
            </w:r>
            <w:r w:rsidRPr="00BD0018">
              <w:rPr>
                <w:rFonts w:ascii="Times New Roman" w:hAnsi="Times New Roman"/>
                <w:sz w:val="18"/>
                <w:szCs w:val="18"/>
                <w:vertAlign w:val="superscript"/>
              </w:rPr>
              <w:t>2</w:t>
            </w:r>
          </w:p>
        </w:tc>
        <w:tc>
          <w:tcPr>
            <w:tcW w:w="720" w:type="dxa"/>
            <w:tcBorders>
              <w:bottom w:val="single" w:sz="18" w:space="0" w:color="auto"/>
            </w:tcBorders>
            <w:vAlign w:val="center"/>
          </w:tcPr>
          <w:p w14:paraId="3B1E1A00"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5</w:t>
            </w:r>
            <w:r w:rsidRPr="00BD0018">
              <w:rPr>
                <w:rFonts w:ascii="Times New Roman" w:hAnsi="Times New Roman"/>
                <w:sz w:val="18"/>
                <w:szCs w:val="18"/>
                <w:vertAlign w:val="superscript"/>
              </w:rPr>
              <w:t>2</w:t>
            </w:r>
          </w:p>
        </w:tc>
        <w:tc>
          <w:tcPr>
            <w:tcW w:w="720" w:type="dxa"/>
            <w:tcBorders>
              <w:bottom w:val="single" w:sz="18" w:space="0" w:color="auto"/>
            </w:tcBorders>
            <w:vAlign w:val="center"/>
          </w:tcPr>
          <w:p w14:paraId="0CD83ECE"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single" w:sz="18" w:space="0" w:color="auto"/>
            </w:tcBorders>
            <w:vAlign w:val="center"/>
          </w:tcPr>
          <w:p w14:paraId="5EEE1F47"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single" w:sz="18" w:space="0" w:color="auto"/>
            </w:tcBorders>
            <w:vAlign w:val="center"/>
          </w:tcPr>
          <w:p w14:paraId="7032DAB4" w14:textId="77777777" w:rsidR="00385B57" w:rsidRPr="00BD0018" w:rsidRDefault="00385B57" w:rsidP="00B67553">
            <w:pPr>
              <w:spacing w:line="240" w:lineRule="auto"/>
              <w:jc w:val="center"/>
              <w:rPr>
                <w:rFonts w:ascii="Times New Roman" w:hAnsi="Times New Roman"/>
                <w:sz w:val="18"/>
                <w:szCs w:val="18"/>
              </w:rPr>
            </w:pPr>
          </w:p>
        </w:tc>
        <w:tc>
          <w:tcPr>
            <w:tcW w:w="720" w:type="dxa"/>
            <w:tcBorders>
              <w:bottom w:val="single" w:sz="18" w:space="0" w:color="auto"/>
            </w:tcBorders>
            <w:vAlign w:val="center"/>
          </w:tcPr>
          <w:p w14:paraId="69FD2B84"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single" w:sz="18" w:space="0" w:color="auto"/>
            </w:tcBorders>
            <w:vAlign w:val="center"/>
          </w:tcPr>
          <w:p w14:paraId="307B5805"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single" w:sz="18" w:space="0" w:color="auto"/>
            </w:tcBorders>
            <w:shd w:val="clear" w:color="auto" w:fill="FFFF00"/>
            <w:vAlign w:val="center"/>
          </w:tcPr>
          <w:p w14:paraId="06EC9555"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single" w:sz="18" w:space="0" w:color="auto"/>
            </w:tcBorders>
            <w:shd w:val="clear" w:color="auto" w:fill="FFFF00"/>
            <w:vAlign w:val="center"/>
          </w:tcPr>
          <w:p w14:paraId="3D29855E"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single" w:sz="18" w:space="0" w:color="auto"/>
            </w:tcBorders>
            <w:shd w:val="clear" w:color="auto" w:fill="FFFF00"/>
            <w:vAlign w:val="center"/>
          </w:tcPr>
          <w:p w14:paraId="7CEE366B"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single" w:sz="18" w:space="0" w:color="auto"/>
            </w:tcBorders>
            <w:vAlign w:val="center"/>
          </w:tcPr>
          <w:p w14:paraId="59AAADD1"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5</w:t>
            </w:r>
            <w:r w:rsidRPr="00BD0018">
              <w:rPr>
                <w:rFonts w:ascii="Times New Roman" w:hAnsi="Times New Roman"/>
                <w:sz w:val="18"/>
                <w:szCs w:val="18"/>
                <w:vertAlign w:val="superscript"/>
              </w:rPr>
              <w:t>3</w:t>
            </w:r>
          </w:p>
        </w:tc>
        <w:tc>
          <w:tcPr>
            <w:tcW w:w="630" w:type="dxa"/>
            <w:tcBorders>
              <w:bottom w:val="single" w:sz="18" w:space="0" w:color="auto"/>
            </w:tcBorders>
            <w:vAlign w:val="center"/>
          </w:tcPr>
          <w:p w14:paraId="03DB0A04"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single" w:sz="18" w:space="0" w:color="auto"/>
            </w:tcBorders>
            <w:vAlign w:val="center"/>
          </w:tcPr>
          <w:p w14:paraId="051BDBD3"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5</w:t>
            </w:r>
            <w:r w:rsidRPr="00BD0018">
              <w:rPr>
                <w:rFonts w:ascii="Times New Roman" w:hAnsi="Times New Roman"/>
                <w:sz w:val="18"/>
                <w:szCs w:val="18"/>
                <w:vertAlign w:val="superscript"/>
              </w:rPr>
              <w:t>3</w:t>
            </w:r>
          </w:p>
        </w:tc>
        <w:tc>
          <w:tcPr>
            <w:tcW w:w="630" w:type="dxa"/>
            <w:tcBorders>
              <w:bottom w:val="single" w:sz="18" w:space="0" w:color="auto"/>
            </w:tcBorders>
            <w:vAlign w:val="center"/>
          </w:tcPr>
          <w:p w14:paraId="18CCF31D"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single" w:sz="18" w:space="0" w:color="auto"/>
            </w:tcBorders>
            <w:vAlign w:val="center"/>
          </w:tcPr>
          <w:p w14:paraId="099761A0"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5</w:t>
            </w:r>
            <w:r w:rsidRPr="00BD0018">
              <w:rPr>
                <w:rFonts w:ascii="Times New Roman" w:hAnsi="Times New Roman"/>
                <w:sz w:val="18"/>
                <w:szCs w:val="18"/>
                <w:vertAlign w:val="superscript"/>
              </w:rPr>
              <w:t>3</w:t>
            </w:r>
          </w:p>
        </w:tc>
        <w:tc>
          <w:tcPr>
            <w:tcW w:w="540" w:type="dxa"/>
            <w:tcBorders>
              <w:bottom w:val="single" w:sz="18" w:space="0" w:color="auto"/>
            </w:tcBorders>
            <w:vAlign w:val="center"/>
          </w:tcPr>
          <w:p w14:paraId="0F88F28C"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5</w:t>
            </w:r>
            <w:r w:rsidRPr="00BD0018">
              <w:rPr>
                <w:rFonts w:ascii="Times New Roman" w:hAnsi="Times New Roman"/>
                <w:sz w:val="18"/>
                <w:szCs w:val="18"/>
                <w:vertAlign w:val="superscript"/>
              </w:rPr>
              <w:t>3</w:t>
            </w:r>
          </w:p>
        </w:tc>
        <w:tc>
          <w:tcPr>
            <w:tcW w:w="628" w:type="dxa"/>
            <w:tcBorders>
              <w:bottom w:val="single" w:sz="18" w:space="0" w:color="auto"/>
            </w:tcBorders>
            <w:vAlign w:val="center"/>
          </w:tcPr>
          <w:p w14:paraId="13CD99E9"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5</w:t>
            </w:r>
            <w:r w:rsidRPr="00BD0018">
              <w:rPr>
                <w:rFonts w:ascii="Times New Roman" w:hAnsi="Times New Roman"/>
                <w:sz w:val="18"/>
                <w:szCs w:val="18"/>
                <w:vertAlign w:val="superscript"/>
              </w:rPr>
              <w:t>3</w:t>
            </w:r>
          </w:p>
        </w:tc>
        <w:tc>
          <w:tcPr>
            <w:tcW w:w="735" w:type="dxa"/>
            <w:tcBorders>
              <w:bottom w:val="single" w:sz="18" w:space="0" w:color="auto"/>
            </w:tcBorders>
            <w:vAlign w:val="center"/>
          </w:tcPr>
          <w:p w14:paraId="51964A33"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5</w:t>
            </w:r>
            <w:r w:rsidRPr="00BD0018">
              <w:rPr>
                <w:rFonts w:ascii="Times New Roman" w:hAnsi="Times New Roman"/>
                <w:sz w:val="18"/>
                <w:szCs w:val="18"/>
                <w:vertAlign w:val="superscript"/>
              </w:rPr>
              <w:t>3</w:t>
            </w:r>
          </w:p>
        </w:tc>
      </w:tr>
      <w:tr w:rsidR="00385B57" w:rsidRPr="00BD0018" w14:paraId="10A71964" w14:textId="77777777" w:rsidTr="00EE1857">
        <w:trPr>
          <w:trHeight w:val="288"/>
          <w:jc w:val="center"/>
        </w:trPr>
        <w:tc>
          <w:tcPr>
            <w:tcW w:w="2084" w:type="dxa"/>
            <w:tcBorders>
              <w:top w:val="single" w:sz="18" w:space="0" w:color="auto"/>
              <w:bottom w:val="single" w:sz="18" w:space="0" w:color="auto"/>
            </w:tcBorders>
            <w:vAlign w:val="center"/>
          </w:tcPr>
          <w:p w14:paraId="3458F98A" w14:textId="77777777" w:rsidR="00385B57" w:rsidRPr="00BD0018" w:rsidRDefault="00385B57" w:rsidP="00B67553">
            <w:pPr>
              <w:spacing w:line="240" w:lineRule="auto"/>
              <w:rPr>
                <w:rFonts w:ascii="Times New Roman" w:hAnsi="Times New Roman"/>
                <w:b/>
                <w:sz w:val="18"/>
                <w:szCs w:val="18"/>
              </w:rPr>
            </w:pPr>
            <w:r w:rsidRPr="00BD0018">
              <w:rPr>
                <w:rFonts w:ascii="Times New Roman" w:hAnsi="Times New Roman"/>
                <w:b/>
                <w:sz w:val="18"/>
                <w:szCs w:val="18"/>
              </w:rPr>
              <w:t>Clinical Blood Volume</w:t>
            </w:r>
          </w:p>
        </w:tc>
        <w:tc>
          <w:tcPr>
            <w:tcW w:w="810" w:type="dxa"/>
            <w:tcBorders>
              <w:top w:val="single" w:sz="18" w:space="0" w:color="auto"/>
              <w:bottom w:val="single" w:sz="18" w:space="0" w:color="auto"/>
            </w:tcBorders>
            <w:vAlign w:val="center"/>
          </w:tcPr>
          <w:p w14:paraId="5469F1A8"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5</w:t>
            </w:r>
          </w:p>
        </w:tc>
        <w:tc>
          <w:tcPr>
            <w:tcW w:w="720" w:type="dxa"/>
            <w:tcBorders>
              <w:top w:val="single" w:sz="18" w:space="0" w:color="auto"/>
              <w:bottom w:val="single" w:sz="18" w:space="0" w:color="auto"/>
            </w:tcBorders>
            <w:vAlign w:val="center"/>
          </w:tcPr>
          <w:p w14:paraId="7F68A1A7"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15</w:t>
            </w:r>
          </w:p>
        </w:tc>
        <w:tc>
          <w:tcPr>
            <w:tcW w:w="720" w:type="dxa"/>
            <w:tcBorders>
              <w:top w:val="single" w:sz="18" w:space="0" w:color="auto"/>
              <w:bottom w:val="single" w:sz="18" w:space="0" w:color="auto"/>
            </w:tcBorders>
            <w:vAlign w:val="center"/>
          </w:tcPr>
          <w:p w14:paraId="6C0E8BE3"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top w:val="single" w:sz="18" w:space="0" w:color="auto"/>
              <w:bottom w:val="single" w:sz="18" w:space="0" w:color="auto"/>
            </w:tcBorders>
            <w:vAlign w:val="center"/>
          </w:tcPr>
          <w:p w14:paraId="051965DA"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top w:val="single" w:sz="18" w:space="0" w:color="auto"/>
              <w:bottom w:val="single" w:sz="18" w:space="0" w:color="auto"/>
            </w:tcBorders>
            <w:vAlign w:val="center"/>
          </w:tcPr>
          <w:p w14:paraId="3A64FC57"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10</w:t>
            </w:r>
          </w:p>
        </w:tc>
        <w:tc>
          <w:tcPr>
            <w:tcW w:w="720" w:type="dxa"/>
            <w:tcBorders>
              <w:top w:val="single" w:sz="18" w:space="0" w:color="auto"/>
              <w:bottom w:val="single" w:sz="18" w:space="0" w:color="auto"/>
            </w:tcBorders>
            <w:vAlign w:val="center"/>
          </w:tcPr>
          <w:p w14:paraId="4F316C86"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top w:val="single" w:sz="18" w:space="0" w:color="auto"/>
              <w:bottom w:val="single" w:sz="18" w:space="0" w:color="auto"/>
            </w:tcBorders>
            <w:shd w:val="clear" w:color="auto" w:fill="FFFF00"/>
            <w:vAlign w:val="center"/>
          </w:tcPr>
          <w:p w14:paraId="361D1F21" w14:textId="56EFBF00" w:rsidR="00385B57" w:rsidRPr="00BD0018" w:rsidRDefault="00FC316A" w:rsidP="00B67553">
            <w:pPr>
              <w:spacing w:line="240" w:lineRule="auto"/>
              <w:jc w:val="center"/>
              <w:rPr>
                <w:rFonts w:ascii="Times New Roman" w:hAnsi="Times New Roman"/>
                <w:sz w:val="18"/>
                <w:szCs w:val="18"/>
              </w:rPr>
            </w:pPr>
            <w:r>
              <w:rPr>
                <w:rFonts w:ascii="Times New Roman" w:hAnsi="Times New Roman"/>
                <w:sz w:val="18"/>
                <w:szCs w:val="18"/>
              </w:rPr>
              <w:t>10</w:t>
            </w:r>
          </w:p>
        </w:tc>
        <w:tc>
          <w:tcPr>
            <w:tcW w:w="630" w:type="dxa"/>
            <w:tcBorders>
              <w:top w:val="single" w:sz="18" w:space="0" w:color="auto"/>
              <w:bottom w:val="single" w:sz="18" w:space="0" w:color="auto"/>
            </w:tcBorders>
            <w:shd w:val="clear" w:color="auto" w:fill="FFFF00"/>
            <w:vAlign w:val="center"/>
          </w:tcPr>
          <w:p w14:paraId="164015A6"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top w:val="single" w:sz="18" w:space="0" w:color="auto"/>
              <w:bottom w:val="single" w:sz="18" w:space="0" w:color="auto"/>
            </w:tcBorders>
            <w:shd w:val="clear" w:color="auto" w:fill="FFFF00"/>
            <w:vAlign w:val="center"/>
          </w:tcPr>
          <w:p w14:paraId="338B40EB"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10</w:t>
            </w:r>
          </w:p>
        </w:tc>
        <w:tc>
          <w:tcPr>
            <w:tcW w:w="630" w:type="dxa"/>
            <w:tcBorders>
              <w:top w:val="single" w:sz="18" w:space="0" w:color="auto"/>
              <w:bottom w:val="single" w:sz="18" w:space="0" w:color="auto"/>
            </w:tcBorders>
            <w:shd w:val="clear" w:color="auto" w:fill="FFFF00"/>
            <w:vAlign w:val="center"/>
          </w:tcPr>
          <w:p w14:paraId="00465962"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top w:val="single" w:sz="18" w:space="0" w:color="auto"/>
              <w:bottom w:val="single" w:sz="18" w:space="0" w:color="auto"/>
            </w:tcBorders>
            <w:vAlign w:val="center"/>
          </w:tcPr>
          <w:p w14:paraId="25DFA832"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10</w:t>
            </w:r>
          </w:p>
        </w:tc>
        <w:tc>
          <w:tcPr>
            <w:tcW w:w="630" w:type="dxa"/>
            <w:tcBorders>
              <w:top w:val="single" w:sz="18" w:space="0" w:color="auto"/>
              <w:bottom w:val="single" w:sz="18" w:space="0" w:color="auto"/>
            </w:tcBorders>
            <w:vAlign w:val="center"/>
          </w:tcPr>
          <w:p w14:paraId="1044445C"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top w:val="single" w:sz="18" w:space="0" w:color="auto"/>
              <w:bottom w:val="single" w:sz="18" w:space="0" w:color="auto"/>
            </w:tcBorders>
            <w:vAlign w:val="center"/>
          </w:tcPr>
          <w:p w14:paraId="25FF3625"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10</w:t>
            </w:r>
          </w:p>
        </w:tc>
        <w:tc>
          <w:tcPr>
            <w:tcW w:w="630" w:type="dxa"/>
            <w:tcBorders>
              <w:top w:val="single" w:sz="18" w:space="0" w:color="auto"/>
              <w:bottom w:val="single" w:sz="18" w:space="0" w:color="auto"/>
            </w:tcBorders>
            <w:vAlign w:val="center"/>
          </w:tcPr>
          <w:p w14:paraId="4ACCF02C"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top w:val="single" w:sz="18" w:space="0" w:color="auto"/>
              <w:bottom w:val="single" w:sz="18" w:space="0" w:color="auto"/>
            </w:tcBorders>
            <w:vAlign w:val="center"/>
          </w:tcPr>
          <w:p w14:paraId="3326B3CF" w14:textId="77777777" w:rsidR="00385B57" w:rsidRPr="00BD0018" w:rsidRDefault="00385B57" w:rsidP="00B67553">
            <w:pPr>
              <w:spacing w:line="240" w:lineRule="auto"/>
              <w:jc w:val="center"/>
              <w:rPr>
                <w:rFonts w:ascii="Times New Roman" w:hAnsi="Times New Roman"/>
                <w:sz w:val="18"/>
                <w:szCs w:val="18"/>
              </w:rPr>
            </w:pPr>
          </w:p>
        </w:tc>
        <w:tc>
          <w:tcPr>
            <w:tcW w:w="540" w:type="dxa"/>
            <w:tcBorders>
              <w:top w:val="single" w:sz="18" w:space="0" w:color="auto"/>
              <w:bottom w:val="single" w:sz="18" w:space="0" w:color="auto"/>
            </w:tcBorders>
            <w:vAlign w:val="center"/>
          </w:tcPr>
          <w:p w14:paraId="6ECCCE49" w14:textId="77777777" w:rsidR="00385B57" w:rsidRPr="00BD0018" w:rsidRDefault="00385B57" w:rsidP="00B67553">
            <w:pPr>
              <w:spacing w:line="240" w:lineRule="auto"/>
              <w:jc w:val="center"/>
              <w:rPr>
                <w:rFonts w:ascii="Times New Roman" w:hAnsi="Times New Roman"/>
                <w:sz w:val="18"/>
                <w:szCs w:val="18"/>
                <w:highlight w:val="yellow"/>
              </w:rPr>
            </w:pPr>
          </w:p>
        </w:tc>
        <w:tc>
          <w:tcPr>
            <w:tcW w:w="628" w:type="dxa"/>
            <w:tcBorders>
              <w:top w:val="single" w:sz="18" w:space="0" w:color="auto"/>
              <w:bottom w:val="single" w:sz="18" w:space="0" w:color="auto"/>
            </w:tcBorders>
            <w:vAlign w:val="center"/>
          </w:tcPr>
          <w:p w14:paraId="4212A84D" w14:textId="77777777" w:rsidR="00385B57" w:rsidRPr="00BD0018" w:rsidRDefault="00385B57" w:rsidP="00B67553">
            <w:pPr>
              <w:spacing w:line="240" w:lineRule="auto"/>
              <w:jc w:val="center"/>
              <w:rPr>
                <w:rFonts w:ascii="Times New Roman" w:hAnsi="Times New Roman"/>
                <w:sz w:val="18"/>
                <w:szCs w:val="18"/>
                <w:highlight w:val="yellow"/>
              </w:rPr>
            </w:pPr>
          </w:p>
        </w:tc>
        <w:tc>
          <w:tcPr>
            <w:tcW w:w="735" w:type="dxa"/>
            <w:tcBorders>
              <w:top w:val="single" w:sz="18" w:space="0" w:color="auto"/>
              <w:bottom w:val="single" w:sz="18" w:space="0" w:color="auto"/>
            </w:tcBorders>
            <w:vAlign w:val="center"/>
          </w:tcPr>
          <w:p w14:paraId="60CF6D75" w14:textId="77777777" w:rsidR="00385B57" w:rsidRPr="00BD0018" w:rsidRDefault="00385B57" w:rsidP="00B67553">
            <w:pPr>
              <w:spacing w:line="240" w:lineRule="auto"/>
              <w:jc w:val="center"/>
              <w:rPr>
                <w:rFonts w:ascii="Times New Roman" w:hAnsi="Times New Roman"/>
                <w:sz w:val="18"/>
                <w:szCs w:val="18"/>
              </w:rPr>
            </w:pPr>
          </w:p>
        </w:tc>
      </w:tr>
      <w:tr w:rsidR="00385B57" w:rsidRPr="00BD0018" w14:paraId="02EC56A7" w14:textId="77777777" w:rsidTr="00434EFD">
        <w:trPr>
          <w:trHeight w:val="288"/>
          <w:jc w:val="center"/>
        </w:trPr>
        <w:tc>
          <w:tcPr>
            <w:tcW w:w="2084" w:type="dxa"/>
            <w:tcBorders>
              <w:top w:val="single" w:sz="4" w:space="0" w:color="auto"/>
              <w:bottom w:val="single" w:sz="4" w:space="0" w:color="auto"/>
            </w:tcBorders>
            <w:vAlign w:val="center"/>
          </w:tcPr>
          <w:p w14:paraId="7585DCC7" w14:textId="77777777" w:rsidR="00385B57" w:rsidRPr="00BD0018" w:rsidRDefault="00385B57" w:rsidP="00B67553">
            <w:pPr>
              <w:spacing w:line="240" w:lineRule="auto"/>
              <w:rPr>
                <w:rFonts w:ascii="Times New Roman" w:hAnsi="Times New Roman"/>
                <w:sz w:val="18"/>
                <w:szCs w:val="18"/>
              </w:rPr>
            </w:pPr>
            <w:r w:rsidRPr="00BD0018">
              <w:rPr>
                <w:rFonts w:ascii="Times New Roman" w:hAnsi="Times New Roman"/>
                <w:sz w:val="18"/>
                <w:szCs w:val="18"/>
              </w:rPr>
              <w:t xml:space="preserve">Gene signatures (PaxGene (2.5 mL) and Absolute Blood Count (0.5 mL)  </w:t>
            </w:r>
          </w:p>
        </w:tc>
        <w:tc>
          <w:tcPr>
            <w:tcW w:w="810" w:type="dxa"/>
            <w:tcBorders>
              <w:top w:val="single" w:sz="4" w:space="0" w:color="auto"/>
              <w:bottom w:val="single" w:sz="4" w:space="0" w:color="auto"/>
            </w:tcBorders>
            <w:vAlign w:val="center"/>
          </w:tcPr>
          <w:p w14:paraId="2B73BB20" w14:textId="77777777" w:rsidR="00385B57" w:rsidRPr="00BD0018" w:rsidRDefault="00385B57" w:rsidP="00B67553">
            <w:pPr>
              <w:spacing w:line="240" w:lineRule="auto"/>
              <w:jc w:val="center"/>
              <w:rPr>
                <w:rFonts w:ascii="Times New Roman" w:hAnsi="Times New Roman"/>
                <w:sz w:val="18"/>
                <w:szCs w:val="18"/>
              </w:rPr>
            </w:pPr>
          </w:p>
        </w:tc>
        <w:tc>
          <w:tcPr>
            <w:tcW w:w="720" w:type="dxa"/>
            <w:tcBorders>
              <w:top w:val="single" w:sz="4" w:space="0" w:color="auto"/>
              <w:bottom w:val="single" w:sz="4" w:space="0" w:color="auto"/>
            </w:tcBorders>
            <w:vAlign w:val="center"/>
          </w:tcPr>
          <w:p w14:paraId="11DE85A2" w14:textId="77777777" w:rsidR="00385B57" w:rsidRPr="00BD0018" w:rsidRDefault="00385B57" w:rsidP="00B67553">
            <w:pPr>
              <w:spacing w:line="240" w:lineRule="auto"/>
              <w:jc w:val="center"/>
              <w:rPr>
                <w:rFonts w:ascii="Times New Roman" w:hAnsi="Times New Roman"/>
                <w:sz w:val="18"/>
                <w:szCs w:val="18"/>
              </w:rPr>
            </w:pPr>
          </w:p>
        </w:tc>
        <w:tc>
          <w:tcPr>
            <w:tcW w:w="720" w:type="dxa"/>
            <w:tcBorders>
              <w:top w:val="single" w:sz="4" w:space="0" w:color="auto"/>
              <w:bottom w:val="single" w:sz="4" w:space="0" w:color="auto"/>
            </w:tcBorders>
            <w:vAlign w:val="center"/>
          </w:tcPr>
          <w:p w14:paraId="20B94483"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630" w:type="dxa"/>
            <w:tcBorders>
              <w:top w:val="single" w:sz="4" w:space="0" w:color="auto"/>
              <w:bottom w:val="single" w:sz="4" w:space="0" w:color="auto"/>
            </w:tcBorders>
            <w:vAlign w:val="center"/>
          </w:tcPr>
          <w:p w14:paraId="7E8612F4" w14:textId="77777777" w:rsidR="00385B57" w:rsidRPr="00BD0018" w:rsidRDefault="00385B57" w:rsidP="00B67553">
            <w:pPr>
              <w:spacing w:line="240" w:lineRule="auto"/>
              <w:jc w:val="center"/>
              <w:rPr>
                <w:rFonts w:ascii="Times New Roman" w:hAnsi="Times New Roman"/>
                <w:sz w:val="18"/>
                <w:szCs w:val="18"/>
                <w:vertAlign w:val="superscript"/>
              </w:rPr>
            </w:pPr>
            <w:r w:rsidRPr="00BD0018">
              <w:rPr>
                <w:rFonts w:ascii="Times New Roman" w:hAnsi="Times New Roman"/>
                <w:sz w:val="18"/>
                <w:szCs w:val="18"/>
              </w:rPr>
              <w:t>3</w:t>
            </w:r>
          </w:p>
        </w:tc>
        <w:tc>
          <w:tcPr>
            <w:tcW w:w="630" w:type="dxa"/>
            <w:tcBorders>
              <w:top w:val="single" w:sz="4" w:space="0" w:color="auto"/>
              <w:bottom w:val="single" w:sz="4" w:space="0" w:color="auto"/>
            </w:tcBorders>
            <w:vAlign w:val="center"/>
          </w:tcPr>
          <w:p w14:paraId="789211C6"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720" w:type="dxa"/>
            <w:tcBorders>
              <w:top w:val="single" w:sz="4" w:space="0" w:color="auto"/>
              <w:bottom w:val="single" w:sz="4" w:space="0" w:color="auto"/>
            </w:tcBorders>
            <w:vAlign w:val="center"/>
          </w:tcPr>
          <w:p w14:paraId="16C0D1CB"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top w:val="single" w:sz="18" w:space="0" w:color="auto"/>
            </w:tcBorders>
            <w:shd w:val="clear" w:color="auto" w:fill="FFFF00"/>
            <w:vAlign w:val="center"/>
          </w:tcPr>
          <w:p w14:paraId="7E3D0BC5" w14:textId="6C72EE36" w:rsidR="00385B57" w:rsidRPr="00BD0018" w:rsidRDefault="00434EFD"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630" w:type="dxa"/>
            <w:tcBorders>
              <w:top w:val="single" w:sz="18" w:space="0" w:color="auto"/>
            </w:tcBorders>
            <w:shd w:val="clear" w:color="auto" w:fill="FFFF00"/>
            <w:vAlign w:val="center"/>
          </w:tcPr>
          <w:p w14:paraId="06F97929"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630" w:type="dxa"/>
            <w:tcBorders>
              <w:top w:val="single" w:sz="18" w:space="0" w:color="auto"/>
            </w:tcBorders>
            <w:shd w:val="clear" w:color="auto" w:fill="FFFF00"/>
            <w:vAlign w:val="center"/>
          </w:tcPr>
          <w:p w14:paraId="2BA9BF49"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630" w:type="dxa"/>
            <w:tcBorders>
              <w:top w:val="single" w:sz="18" w:space="0" w:color="auto"/>
            </w:tcBorders>
            <w:shd w:val="clear" w:color="auto" w:fill="FFFF00"/>
            <w:vAlign w:val="center"/>
          </w:tcPr>
          <w:p w14:paraId="2A1C1F80"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top w:val="single" w:sz="4" w:space="0" w:color="auto"/>
              <w:bottom w:val="single" w:sz="4" w:space="0" w:color="auto"/>
            </w:tcBorders>
            <w:shd w:val="clear" w:color="auto" w:fill="FFFF00"/>
            <w:vAlign w:val="center"/>
          </w:tcPr>
          <w:p w14:paraId="13F12C06" w14:textId="3F825605" w:rsidR="00385B57" w:rsidRPr="00BD0018" w:rsidRDefault="00434EFD"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630" w:type="dxa"/>
            <w:tcBorders>
              <w:top w:val="single" w:sz="4" w:space="0" w:color="auto"/>
              <w:bottom w:val="single" w:sz="4" w:space="0" w:color="auto"/>
            </w:tcBorders>
            <w:vAlign w:val="center"/>
          </w:tcPr>
          <w:p w14:paraId="26329056"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630" w:type="dxa"/>
            <w:tcBorders>
              <w:top w:val="single" w:sz="4" w:space="0" w:color="auto"/>
              <w:bottom w:val="single" w:sz="4" w:space="0" w:color="auto"/>
            </w:tcBorders>
            <w:vAlign w:val="center"/>
          </w:tcPr>
          <w:p w14:paraId="7CD808E2"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630" w:type="dxa"/>
            <w:tcBorders>
              <w:top w:val="single" w:sz="4" w:space="0" w:color="auto"/>
              <w:bottom w:val="single" w:sz="4" w:space="0" w:color="auto"/>
            </w:tcBorders>
            <w:vAlign w:val="center"/>
          </w:tcPr>
          <w:p w14:paraId="06D9B78C"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top w:val="single" w:sz="4" w:space="0" w:color="auto"/>
              <w:bottom w:val="single" w:sz="4" w:space="0" w:color="auto"/>
            </w:tcBorders>
            <w:vAlign w:val="center"/>
          </w:tcPr>
          <w:p w14:paraId="6963297C" w14:textId="77777777" w:rsidR="00385B57" w:rsidRPr="00BD0018" w:rsidRDefault="00385B57" w:rsidP="00B67553">
            <w:pPr>
              <w:spacing w:line="240" w:lineRule="auto"/>
              <w:jc w:val="center"/>
              <w:rPr>
                <w:rFonts w:ascii="Times New Roman" w:hAnsi="Times New Roman"/>
                <w:sz w:val="18"/>
                <w:szCs w:val="18"/>
              </w:rPr>
            </w:pPr>
          </w:p>
        </w:tc>
        <w:tc>
          <w:tcPr>
            <w:tcW w:w="540" w:type="dxa"/>
            <w:tcBorders>
              <w:top w:val="single" w:sz="4" w:space="0" w:color="auto"/>
              <w:bottom w:val="single" w:sz="4" w:space="0" w:color="auto"/>
            </w:tcBorders>
            <w:vAlign w:val="center"/>
          </w:tcPr>
          <w:p w14:paraId="1C3B59A8" w14:textId="77777777" w:rsidR="00385B57" w:rsidRPr="00BD0018" w:rsidRDefault="00385B57" w:rsidP="00B67553">
            <w:pPr>
              <w:spacing w:line="240" w:lineRule="auto"/>
              <w:jc w:val="center"/>
              <w:rPr>
                <w:rFonts w:ascii="Times New Roman" w:hAnsi="Times New Roman"/>
                <w:sz w:val="18"/>
                <w:szCs w:val="18"/>
                <w:highlight w:val="yellow"/>
              </w:rPr>
            </w:pPr>
            <w:r w:rsidRPr="00BD0018">
              <w:rPr>
                <w:rFonts w:ascii="Times New Roman" w:hAnsi="Times New Roman"/>
                <w:sz w:val="18"/>
                <w:szCs w:val="18"/>
              </w:rPr>
              <w:t>3</w:t>
            </w:r>
            <w:r w:rsidRPr="00BD0018">
              <w:rPr>
                <w:rFonts w:ascii="Times New Roman" w:hAnsi="Times New Roman"/>
                <w:sz w:val="18"/>
                <w:szCs w:val="18"/>
                <w:vertAlign w:val="superscript"/>
              </w:rPr>
              <w:t>3</w:t>
            </w:r>
          </w:p>
        </w:tc>
        <w:tc>
          <w:tcPr>
            <w:tcW w:w="628" w:type="dxa"/>
            <w:tcBorders>
              <w:top w:val="single" w:sz="4" w:space="0" w:color="auto"/>
              <w:bottom w:val="single" w:sz="4" w:space="0" w:color="auto"/>
            </w:tcBorders>
            <w:vAlign w:val="center"/>
          </w:tcPr>
          <w:p w14:paraId="2BEB532E" w14:textId="77777777" w:rsidR="00385B57" w:rsidRPr="00BD0018" w:rsidRDefault="00385B57" w:rsidP="00B67553">
            <w:pPr>
              <w:spacing w:line="240" w:lineRule="auto"/>
              <w:jc w:val="center"/>
              <w:rPr>
                <w:rFonts w:ascii="Times New Roman" w:hAnsi="Times New Roman"/>
                <w:sz w:val="18"/>
                <w:szCs w:val="18"/>
                <w:highlight w:val="yellow"/>
              </w:rPr>
            </w:pPr>
            <w:r w:rsidRPr="00BD0018">
              <w:rPr>
                <w:rFonts w:ascii="Times New Roman" w:hAnsi="Times New Roman"/>
                <w:sz w:val="18"/>
                <w:szCs w:val="18"/>
              </w:rPr>
              <w:t>3</w:t>
            </w:r>
            <w:r w:rsidRPr="00BD0018">
              <w:rPr>
                <w:rFonts w:ascii="Times New Roman" w:hAnsi="Times New Roman"/>
                <w:sz w:val="18"/>
                <w:szCs w:val="18"/>
                <w:vertAlign w:val="superscript"/>
              </w:rPr>
              <w:t>3</w:t>
            </w:r>
          </w:p>
        </w:tc>
        <w:tc>
          <w:tcPr>
            <w:tcW w:w="735" w:type="dxa"/>
            <w:tcBorders>
              <w:top w:val="single" w:sz="4" w:space="0" w:color="auto"/>
              <w:bottom w:val="single" w:sz="4" w:space="0" w:color="auto"/>
            </w:tcBorders>
            <w:vAlign w:val="center"/>
          </w:tcPr>
          <w:p w14:paraId="7DE2DAAF"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r w:rsidRPr="00BD0018">
              <w:rPr>
                <w:rFonts w:ascii="Times New Roman" w:hAnsi="Times New Roman"/>
                <w:sz w:val="18"/>
                <w:szCs w:val="18"/>
                <w:vertAlign w:val="superscript"/>
              </w:rPr>
              <w:t>3</w:t>
            </w:r>
          </w:p>
        </w:tc>
      </w:tr>
      <w:tr w:rsidR="00385B57" w:rsidRPr="00BD0018" w14:paraId="7A53534F" w14:textId="77777777" w:rsidTr="00B67553">
        <w:trPr>
          <w:trHeight w:val="288"/>
          <w:jc w:val="center"/>
        </w:trPr>
        <w:tc>
          <w:tcPr>
            <w:tcW w:w="2084" w:type="dxa"/>
            <w:tcBorders>
              <w:top w:val="single" w:sz="4" w:space="0" w:color="auto"/>
              <w:bottom w:val="nil"/>
            </w:tcBorders>
            <w:vAlign w:val="center"/>
          </w:tcPr>
          <w:p w14:paraId="3FC4E783" w14:textId="77777777" w:rsidR="00385B57" w:rsidRPr="00BD0018" w:rsidRDefault="00385B57" w:rsidP="00B67553">
            <w:pPr>
              <w:spacing w:line="240" w:lineRule="auto"/>
              <w:rPr>
                <w:rFonts w:ascii="Times New Roman" w:hAnsi="Times New Roman"/>
                <w:sz w:val="18"/>
                <w:szCs w:val="18"/>
              </w:rPr>
            </w:pPr>
            <w:r w:rsidRPr="00BD0018">
              <w:rPr>
                <w:rFonts w:ascii="Times New Roman" w:hAnsi="Times New Roman"/>
                <w:sz w:val="18"/>
                <w:szCs w:val="18"/>
              </w:rPr>
              <w:t>Whole Blood / ICS</w:t>
            </w:r>
          </w:p>
        </w:tc>
        <w:tc>
          <w:tcPr>
            <w:tcW w:w="810" w:type="dxa"/>
            <w:tcBorders>
              <w:top w:val="single" w:sz="4" w:space="0" w:color="auto"/>
              <w:bottom w:val="nil"/>
            </w:tcBorders>
            <w:vAlign w:val="center"/>
          </w:tcPr>
          <w:p w14:paraId="7FF251D3" w14:textId="77777777" w:rsidR="00385B57" w:rsidRPr="00BD0018" w:rsidRDefault="00385B57" w:rsidP="00B67553">
            <w:pPr>
              <w:spacing w:line="240" w:lineRule="auto"/>
              <w:jc w:val="center"/>
              <w:rPr>
                <w:rFonts w:ascii="Times New Roman" w:hAnsi="Times New Roman"/>
                <w:sz w:val="18"/>
                <w:szCs w:val="18"/>
              </w:rPr>
            </w:pPr>
          </w:p>
        </w:tc>
        <w:tc>
          <w:tcPr>
            <w:tcW w:w="720" w:type="dxa"/>
            <w:tcBorders>
              <w:top w:val="single" w:sz="4" w:space="0" w:color="auto"/>
              <w:bottom w:val="nil"/>
            </w:tcBorders>
            <w:vAlign w:val="center"/>
          </w:tcPr>
          <w:p w14:paraId="0E39F634" w14:textId="77777777" w:rsidR="00385B57" w:rsidRPr="00BD0018" w:rsidRDefault="00385B57" w:rsidP="00B67553">
            <w:pPr>
              <w:spacing w:line="240" w:lineRule="auto"/>
              <w:jc w:val="center"/>
              <w:rPr>
                <w:rFonts w:ascii="Times New Roman" w:hAnsi="Times New Roman"/>
                <w:sz w:val="18"/>
                <w:szCs w:val="18"/>
              </w:rPr>
            </w:pPr>
          </w:p>
        </w:tc>
        <w:tc>
          <w:tcPr>
            <w:tcW w:w="720" w:type="dxa"/>
            <w:tcBorders>
              <w:top w:val="single" w:sz="4" w:space="0" w:color="auto"/>
              <w:bottom w:val="nil"/>
            </w:tcBorders>
            <w:vAlign w:val="center"/>
          </w:tcPr>
          <w:p w14:paraId="60A6E79B"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8</w:t>
            </w:r>
          </w:p>
        </w:tc>
        <w:tc>
          <w:tcPr>
            <w:tcW w:w="630" w:type="dxa"/>
            <w:tcBorders>
              <w:top w:val="single" w:sz="4" w:space="0" w:color="auto"/>
              <w:bottom w:val="nil"/>
            </w:tcBorders>
            <w:vAlign w:val="center"/>
          </w:tcPr>
          <w:p w14:paraId="7E10006B"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top w:val="single" w:sz="4" w:space="0" w:color="auto"/>
              <w:bottom w:val="nil"/>
            </w:tcBorders>
            <w:vAlign w:val="center"/>
          </w:tcPr>
          <w:p w14:paraId="46ED0447" w14:textId="77777777" w:rsidR="00385B57" w:rsidRPr="00BD0018" w:rsidRDefault="00385B57" w:rsidP="00B67553">
            <w:pPr>
              <w:spacing w:line="240" w:lineRule="auto"/>
              <w:jc w:val="center"/>
              <w:rPr>
                <w:rFonts w:ascii="Times New Roman" w:hAnsi="Times New Roman"/>
                <w:sz w:val="18"/>
                <w:szCs w:val="18"/>
              </w:rPr>
            </w:pPr>
          </w:p>
        </w:tc>
        <w:tc>
          <w:tcPr>
            <w:tcW w:w="720" w:type="dxa"/>
            <w:tcBorders>
              <w:top w:val="single" w:sz="4" w:space="0" w:color="auto"/>
              <w:bottom w:val="nil"/>
            </w:tcBorders>
            <w:vAlign w:val="center"/>
          </w:tcPr>
          <w:p w14:paraId="0DC9F7EE"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8</w:t>
            </w:r>
          </w:p>
        </w:tc>
        <w:tc>
          <w:tcPr>
            <w:tcW w:w="630" w:type="dxa"/>
            <w:vAlign w:val="center"/>
          </w:tcPr>
          <w:p w14:paraId="18391AAA"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8</w:t>
            </w:r>
          </w:p>
        </w:tc>
        <w:tc>
          <w:tcPr>
            <w:tcW w:w="630" w:type="dxa"/>
            <w:shd w:val="clear" w:color="auto" w:fill="FFFF00"/>
            <w:vAlign w:val="center"/>
          </w:tcPr>
          <w:p w14:paraId="61C09DE2" w14:textId="77777777" w:rsidR="00385B57" w:rsidRPr="00BD0018" w:rsidRDefault="00385B57" w:rsidP="00B67553">
            <w:pPr>
              <w:spacing w:line="240" w:lineRule="auto"/>
              <w:jc w:val="center"/>
              <w:rPr>
                <w:rFonts w:ascii="Times New Roman" w:hAnsi="Times New Roman"/>
                <w:sz w:val="18"/>
                <w:szCs w:val="18"/>
              </w:rPr>
            </w:pPr>
          </w:p>
        </w:tc>
        <w:tc>
          <w:tcPr>
            <w:tcW w:w="630" w:type="dxa"/>
            <w:shd w:val="clear" w:color="auto" w:fill="FFFF00"/>
            <w:vAlign w:val="center"/>
          </w:tcPr>
          <w:p w14:paraId="3575D4CC" w14:textId="77777777" w:rsidR="00385B57" w:rsidRPr="00BD0018" w:rsidRDefault="00385B57" w:rsidP="00B67553">
            <w:pPr>
              <w:spacing w:line="240" w:lineRule="auto"/>
              <w:jc w:val="center"/>
              <w:rPr>
                <w:rFonts w:ascii="Times New Roman" w:hAnsi="Times New Roman"/>
                <w:sz w:val="18"/>
                <w:szCs w:val="18"/>
              </w:rPr>
            </w:pPr>
          </w:p>
        </w:tc>
        <w:tc>
          <w:tcPr>
            <w:tcW w:w="630" w:type="dxa"/>
            <w:shd w:val="clear" w:color="auto" w:fill="FFFF00"/>
            <w:vAlign w:val="center"/>
          </w:tcPr>
          <w:p w14:paraId="04716CF5"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8</w:t>
            </w:r>
          </w:p>
        </w:tc>
        <w:tc>
          <w:tcPr>
            <w:tcW w:w="630" w:type="dxa"/>
            <w:tcBorders>
              <w:top w:val="single" w:sz="4" w:space="0" w:color="auto"/>
              <w:bottom w:val="nil"/>
            </w:tcBorders>
            <w:vAlign w:val="center"/>
          </w:tcPr>
          <w:p w14:paraId="0E6D9420"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8</w:t>
            </w:r>
          </w:p>
        </w:tc>
        <w:tc>
          <w:tcPr>
            <w:tcW w:w="630" w:type="dxa"/>
            <w:tcBorders>
              <w:top w:val="single" w:sz="4" w:space="0" w:color="auto"/>
              <w:bottom w:val="nil"/>
            </w:tcBorders>
            <w:vAlign w:val="center"/>
          </w:tcPr>
          <w:p w14:paraId="1CD84E0B"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top w:val="single" w:sz="4" w:space="0" w:color="auto"/>
              <w:bottom w:val="nil"/>
            </w:tcBorders>
            <w:vAlign w:val="center"/>
          </w:tcPr>
          <w:p w14:paraId="3136BB3D"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top w:val="single" w:sz="4" w:space="0" w:color="auto"/>
              <w:bottom w:val="nil"/>
            </w:tcBorders>
            <w:vAlign w:val="center"/>
          </w:tcPr>
          <w:p w14:paraId="1BB9D254"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8</w:t>
            </w:r>
          </w:p>
        </w:tc>
        <w:tc>
          <w:tcPr>
            <w:tcW w:w="630" w:type="dxa"/>
            <w:tcBorders>
              <w:top w:val="single" w:sz="4" w:space="0" w:color="auto"/>
              <w:bottom w:val="nil"/>
            </w:tcBorders>
            <w:vAlign w:val="center"/>
          </w:tcPr>
          <w:p w14:paraId="42C698B6"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8</w:t>
            </w:r>
          </w:p>
        </w:tc>
        <w:tc>
          <w:tcPr>
            <w:tcW w:w="540" w:type="dxa"/>
            <w:tcBorders>
              <w:top w:val="single" w:sz="4" w:space="0" w:color="auto"/>
              <w:bottom w:val="nil"/>
            </w:tcBorders>
            <w:vAlign w:val="center"/>
          </w:tcPr>
          <w:p w14:paraId="57DD60CC" w14:textId="77777777" w:rsidR="00385B57" w:rsidRPr="00BD0018" w:rsidRDefault="00385B57" w:rsidP="00B67553">
            <w:pPr>
              <w:spacing w:line="240" w:lineRule="auto"/>
              <w:jc w:val="center"/>
              <w:rPr>
                <w:rFonts w:ascii="Times New Roman" w:hAnsi="Times New Roman"/>
                <w:sz w:val="18"/>
                <w:szCs w:val="18"/>
                <w:highlight w:val="yellow"/>
              </w:rPr>
            </w:pPr>
          </w:p>
        </w:tc>
        <w:tc>
          <w:tcPr>
            <w:tcW w:w="628" w:type="dxa"/>
            <w:tcBorders>
              <w:top w:val="single" w:sz="4" w:space="0" w:color="auto"/>
              <w:bottom w:val="nil"/>
            </w:tcBorders>
            <w:vAlign w:val="center"/>
          </w:tcPr>
          <w:p w14:paraId="62D7546A" w14:textId="77777777" w:rsidR="00385B57" w:rsidRPr="00BD0018" w:rsidRDefault="00385B57" w:rsidP="00B67553">
            <w:pPr>
              <w:spacing w:line="240" w:lineRule="auto"/>
              <w:jc w:val="center"/>
              <w:rPr>
                <w:rFonts w:ascii="Times New Roman" w:hAnsi="Times New Roman"/>
                <w:sz w:val="18"/>
                <w:szCs w:val="18"/>
                <w:highlight w:val="yellow"/>
              </w:rPr>
            </w:pPr>
          </w:p>
        </w:tc>
        <w:tc>
          <w:tcPr>
            <w:tcW w:w="735" w:type="dxa"/>
            <w:tcBorders>
              <w:top w:val="single" w:sz="4" w:space="0" w:color="auto"/>
              <w:bottom w:val="nil"/>
            </w:tcBorders>
            <w:vAlign w:val="center"/>
          </w:tcPr>
          <w:p w14:paraId="79CE4C55"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8</w:t>
            </w:r>
          </w:p>
        </w:tc>
      </w:tr>
      <w:tr w:rsidR="00385B57" w:rsidRPr="00BD0018" w14:paraId="0B13D617" w14:textId="77777777" w:rsidTr="00B67553">
        <w:trPr>
          <w:trHeight w:val="288"/>
          <w:jc w:val="center"/>
        </w:trPr>
        <w:tc>
          <w:tcPr>
            <w:tcW w:w="2084" w:type="dxa"/>
            <w:tcBorders>
              <w:bottom w:val="nil"/>
            </w:tcBorders>
            <w:vAlign w:val="center"/>
          </w:tcPr>
          <w:p w14:paraId="69AFF642" w14:textId="77777777" w:rsidR="00385B57" w:rsidRPr="00BD0018" w:rsidRDefault="00385B57" w:rsidP="00B67553">
            <w:pPr>
              <w:spacing w:line="240" w:lineRule="auto"/>
              <w:rPr>
                <w:rFonts w:ascii="Times New Roman" w:hAnsi="Times New Roman"/>
                <w:sz w:val="18"/>
                <w:szCs w:val="18"/>
              </w:rPr>
            </w:pPr>
            <w:r w:rsidRPr="00BD0018">
              <w:rPr>
                <w:rFonts w:ascii="Times New Roman" w:hAnsi="Times New Roman"/>
                <w:sz w:val="18"/>
                <w:szCs w:val="18"/>
              </w:rPr>
              <w:t>PBMCs</w:t>
            </w:r>
          </w:p>
        </w:tc>
        <w:tc>
          <w:tcPr>
            <w:tcW w:w="810" w:type="dxa"/>
            <w:tcBorders>
              <w:bottom w:val="nil"/>
            </w:tcBorders>
            <w:vAlign w:val="center"/>
          </w:tcPr>
          <w:p w14:paraId="1E8725DC" w14:textId="77777777" w:rsidR="00385B57" w:rsidRPr="00BD0018" w:rsidRDefault="00385B57" w:rsidP="00B67553">
            <w:pPr>
              <w:spacing w:line="240" w:lineRule="auto"/>
              <w:jc w:val="center"/>
              <w:rPr>
                <w:rFonts w:ascii="Times New Roman" w:hAnsi="Times New Roman"/>
                <w:sz w:val="18"/>
                <w:szCs w:val="18"/>
              </w:rPr>
            </w:pPr>
          </w:p>
        </w:tc>
        <w:tc>
          <w:tcPr>
            <w:tcW w:w="720" w:type="dxa"/>
            <w:tcBorders>
              <w:bottom w:val="nil"/>
            </w:tcBorders>
            <w:vAlign w:val="center"/>
          </w:tcPr>
          <w:p w14:paraId="41C42145" w14:textId="77777777" w:rsidR="00385B57" w:rsidRPr="00BD0018" w:rsidRDefault="00385B57" w:rsidP="00B67553">
            <w:pPr>
              <w:spacing w:line="240" w:lineRule="auto"/>
              <w:jc w:val="center"/>
              <w:rPr>
                <w:rFonts w:ascii="Times New Roman" w:hAnsi="Times New Roman"/>
                <w:sz w:val="18"/>
                <w:szCs w:val="18"/>
              </w:rPr>
            </w:pPr>
          </w:p>
        </w:tc>
        <w:tc>
          <w:tcPr>
            <w:tcW w:w="720" w:type="dxa"/>
            <w:tcBorders>
              <w:bottom w:val="nil"/>
            </w:tcBorders>
            <w:vAlign w:val="center"/>
          </w:tcPr>
          <w:p w14:paraId="1C3D1E53"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30</w:t>
            </w:r>
          </w:p>
        </w:tc>
        <w:tc>
          <w:tcPr>
            <w:tcW w:w="630" w:type="dxa"/>
            <w:tcBorders>
              <w:bottom w:val="nil"/>
            </w:tcBorders>
            <w:vAlign w:val="center"/>
          </w:tcPr>
          <w:p w14:paraId="6FC109DA"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nil"/>
            </w:tcBorders>
            <w:vAlign w:val="center"/>
          </w:tcPr>
          <w:p w14:paraId="5BA3D6C5" w14:textId="77777777" w:rsidR="00385B57" w:rsidRPr="00BD0018" w:rsidRDefault="00385B57" w:rsidP="00B67553">
            <w:pPr>
              <w:spacing w:line="240" w:lineRule="auto"/>
              <w:jc w:val="center"/>
              <w:rPr>
                <w:rFonts w:ascii="Times New Roman" w:hAnsi="Times New Roman"/>
                <w:sz w:val="18"/>
                <w:szCs w:val="18"/>
              </w:rPr>
            </w:pPr>
          </w:p>
        </w:tc>
        <w:tc>
          <w:tcPr>
            <w:tcW w:w="720" w:type="dxa"/>
            <w:tcBorders>
              <w:bottom w:val="nil"/>
            </w:tcBorders>
            <w:vAlign w:val="center"/>
          </w:tcPr>
          <w:p w14:paraId="37733708"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30</w:t>
            </w:r>
          </w:p>
        </w:tc>
        <w:tc>
          <w:tcPr>
            <w:tcW w:w="630" w:type="dxa"/>
            <w:vAlign w:val="center"/>
          </w:tcPr>
          <w:p w14:paraId="5A130439"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30</w:t>
            </w:r>
          </w:p>
        </w:tc>
        <w:tc>
          <w:tcPr>
            <w:tcW w:w="630" w:type="dxa"/>
            <w:shd w:val="clear" w:color="auto" w:fill="FFFF00"/>
            <w:vAlign w:val="center"/>
          </w:tcPr>
          <w:p w14:paraId="2695E224" w14:textId="77777777" w:rsidR="00385B57" w:rsidRPr="00BD0018" w:rsidRDefault="00385B57" w:rsidP="00B67553">
            <w:pPr>
              <w:spacing w:line="240" w:lineRule="auto"/>
              <w:jc w:val="center"/>
              <w:rPr>
                <w:rFonts w:ascii="Times New Roman" w:hAnsi="Times New Roman"/>
                <w:sz w:val="18"/>
                <w:szCs w:val="18"/>
              </w:rPr>
            </w:pPr>
          </w:p>
        </w:tc>
        <w:tc>
          <w:tcPr>
            <w:tcW w:w="630" w:type="dxa"/>
            <w:shd w:val="clear" w:color="auto" w:fill="FFFF00"/>
            <w:vAlign w:val="center"/>
          </w:tcPr>
          <w:p w14:paraId="5F1133FA" w14:textId="77777777" w:rsidR="00385B57" w:rsidRPr="00BD0018" w:rsidRDefault="00385B57" w:rsidP="00B67553">
            <w:pPr>
              <w:spacing w:line="240" w:lineRule="auto"/>
              <w:jc w:val="center"/>
              <w:rPr>
                <w:rFonts w:ascii="Times New Roman" w:hAnsi="Times New Roman"/>
                <w:sz w:val="18"/>
                <w:szCs w:val="18"/>
              </w:rPr>
            </w:pPr>
          </w:p>
        </w:tc>
        <w:tc>
          <w:tcPr>
            <w:tcW w:w="630" w:type="dxa"/>
            <w:shd w:val="clear" w:color="auto" w:fill="FFFF00"/>
            <w:vAlign w:val="center"/>
          </w:tcPr>
          <w:p w14:paraId="3203E0CD"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30</w:t>
            </w:r>
          </w:p>
        </w:tc>
        <w:tc>
          <w:tcPr>
            <w:tcW w:w="630" w:type="dxa"/>
            <w:tcBorders>
              <w:bottom w:val="nil"/>
            </w:tcBorders>
            <w:vAlign w:val="center"/>
          </w:tcPr>
          <w:p w14:paraId="59D3F04A"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30</w:t>
            </w:r>
          </w:p>
        </w:tc>
        <w:tc>
          <w:tcPr>
            <w:tcW w:w="630" w:type="dxa"/>
            <w:tcBorders>
              <w:bottom w:val="nil"/>
            </w:tcBorders>
            <w:vAlign w:val="center"/>
          </w:tcPr>
          <w:p w14:paraId="32B61C3A"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nil"/>
            </w:tcBorders>
            <w:vAlign w:val="center"/>
          </w:tcPr>
          <w:p w14:paraId="0F65B2A4"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nil"/>
            </w:tcBorders>
            <w:vAlign w:val="center"/>
          </w:tcPr>
          <w:p w14:paraId="4B8301B0"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30</w:t>
            </w:r>
          </w:p>
        </w:tc>
        <w:tc>
          <w:tcPr>
            <w:tcW w:w="630" w:type="dxa"/>
            <w:tcBorders>
              <w:bottom w:val="nil"/>
            </w:tcBorders>
            <w:vAlign w:val="center"/>
          </w:tcPr>
          <w:p w14:paraId="7BE49B0B"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30</w:t>
            </w:r>
          </w:p>
        </w:tc>
        <w:tc>
          <w:tcPr>
            <w:tcW w:w="540" w:type="dxa"/>
            <w:tcBorders>
              <w:bottom w:val="nil"/>
            </w:tcBorders>
            <w:vAlign w:val="center"/>
          </w:tcPr>
          <w:p w14:paraId="0C1CFA99" w14:textId="77777777" w:rsidR="00385B57" w:rsidRPr="00BD0018" w:rsidRDefault="00385B57" w:rsidP="00B67553">
            <w:pPr>
              <w:spacing w:line="240" w:lineRule="auto"/>
              <w:jc w:val="center"/>
              <w:rPr>
                <w:rFonts w:ascii="Times New Roman" w:hAnsi="Times New Roman"/>
                <w:sz w:val="18"/>
                <w:szCs w:val="18"/>
                <w:highlight w:val="yellow"/>
              </w:rPr>
            </w:pPr>
          </w:p>
        </w:tc>
        <w:tc>
          <w:tcPr>
            <w:tcW w:w="628" w:type="dxa"/>
            <w:tcBorders>
              <w:bottom w:val="nil"/>
            </w:tcBorders>
            <w:vAlign w:val="center"/>
          </w:tcPr>
          <w:p w14:paraId="4EC66DF6" w14:textId="77777777" w:rsidR="00385B57" w:rsidRPr="00BD0018" w:rsidRDefault="00385B57" w:rsidP="00B67553">
            <w:pPr>
              <w:spacing w:line="240" w:lineRule="auto"/>
              <w:jc w:val="center"/>
              <w:rPr>
                <w:rFonts w:ascii="Times New Roman" w:hAnsi="Times New Roman"/>
                <w:sz w:val="18"/>
                <w:szCs w:val="18"/>
                <w:highlight w:val="yellow"/>
              </w:rPr>
            </w:pPr>
          </w:p>
        </w:tc>
        <w:tc>
          <w:tcPr>
            <w:tcW w:w="735" w:type="dxa"/>
            <w:tcBorders>
              <w:bottom w:val="nil"/>
            </w:tcBorders>
            <w:vAlign w:val="center"/>
          </w:tcPr>
          <w:p w14:paraId="2D7560EB"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30</w:t>
            </w:r>
          </w:p>
        </w:tc>
      </w:tr>
      <w:tr w:rsidR="00385B57" w:rsidRPr="00BD0018" w14:paraId="478FC4C2" w14:textId="77777777" w:rsidTr="00B67553">
        <w:trPr>
          <w:trHeight w:val="288"/>
          <w:jc w:val="center"/>
        </w:trPr>
        <w:tc>
          <w:tcPr>
            <w:tcW w:w="2084" w:type="dxa"/>
            <w:tcBorders>
              <w:bottom w:val="nil"/>
            </w:tcBorders>
            <w:vAlign w:val="center"/>
          </w:tcPr>
          <w:p w14:paraId="1308E51C" w14:textId="77777777" w:rsidR="00385B57" w:rsidRPr="00BD0018" w:rsidRDefault="00385B57" w:rsidP="00B67553">
            <w:pPr>
              <w:spacing w:line="240" w:lineRule="auto"/>
              <w:rPr>
                <w:rFonts w:ascii="Times New Roman" w:hAnsi="Times New Roman"/>
                <w:sz w:val="18"/>
                <w:szCs w:val="18"/>
                <w:vertAlign w:val="superscript"/>
              </w:rPr>
            </w:pPr>
            <w:r w:rsidRPr="00BD0018">
              <w:rPr>
                <w:rFonts w:ascii="Times New Roman" w:hAnsi="Times New Roman"/>
                <w:sz w:val="18"/>
                <w:szCs w:val="18"/>
              </w:rPr>
              <w:t xml:space="preserve">Serum for IgG ELISA </w:t>
            </w:r>
          </w:p>
        </w:tc>
        <w:tc>
          <w:tcPr>
            <w:tcW w:w="810" w:type="dxa"/>
            <w:tcBorders>
              <w:bottom w:val="nil"/>
            </w:tcBorders>
            <w:vAlign w:val="center"/>
          </w:tcPr>
          <w:p w14:paraId="574A11DA" w14:textId="77777777" w:rsidR="00385B57" w:rsidRPr="00BD0018" w:rsidRDefault="00385B57" w:rsidP="00B67553">
            <w:pPr>
              <w:spacing w:line="240" w:lineRule="auto"/>
              <w:jc w:val="center"/>
              <w:rPr>
                <w:rFonts w:ascii="Times New Roman" w:hAnsi="Times New Roman"/>
                <w:sz w:val="18"/>
                <w:szCs w:val="18"/>
              </w:rPr>
            </w:pPr>
          </w:p>
        </w:tc>
        <w:tc>
          <w:tcPr>
            <w:tcW w:w="720" w:type="dxa"/>
            <w:tcBorders>
              <w:bottom w:val="nil"/>
            </w:tcBorders>
            <w:vAlign w:val="center"/>
          </w:tcPr>
          <w:p w14:paraId="4F9BB841" w14:textId="77777777" w:rsidR="00385B57" w:rsidRPr="00BD0018" w:rsidRDefault="00385B57" w:rsidP="00B67553">
            <w:pPr>
              <w:spacing w:line="240" w:lineRule="auto"/>
              <w:jc w:val="center"/>
              <w:rPr>
                <w:rFonts w:ascii="Times New Roman" w:hAnsi="Times New Roman"/>
                <w:sz w:val="18"/>
                <w:szCs w:val="18"/>
              </w:rPr>
            </w:pPr>
          </w:p>
        </w:tc>
        <w:tc>
          <w:tcPr>
            <w:tcW w:w="720" w:type="dxa"/>
            <w:tcBorders>
              <w:bottom w:val="nil"/>
            </w:tcBorders>
            <w:vAlign w:val="center"/>
          </w:tcPr>
          <w:p w14:paraId="23F86A36"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 xml:space="preserve">6.5 </w:t>
            </w:r>
            <w:r w:rsidRPr="00BD0018">
              <w:rPr>
                <w:rFonts w:ascii="Times New Roman" w:hAnsi="Times New Roman"/>
                <w:sz w:val="18"/>
                <w:szCs w:val="18"/>
                <w:vertAlign w:val="superscript"/>
              </w:rPr>
              <w:t>4</w:t>
            </w:r>
          </w:p>
        </w:tc>
        <w:tc>
          <w:tcPr>
            <w:tcW w:w="630" w:type="dxa"/>
            <w:tcBorders>
              <w:bottom w:val="nil"/>
            </w:tcBorders>
            <w:vAlign w:val="center"/>
          </w:tcPr>
          <w:p w14:paraId="0C0F4FDE"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nil"/>
            </w:tcBorders>
            <w:vAlign w:val="center"/>
          </w:tcPr>
          <w:p w14:paraId="4277BE9B" w14:textId="77777777" w:rsidR="00385B57" w:rsidRPr="00BD0018" w:rsidRDefault="00385B57" w:rsidP="00B67553">
            <w:pPr>
              <w:spacing w:line="240" w:lineRule="auto"/>
              <w:jc w:val="center"/>
              <w:rPr>
                <w:rFonts w:ascii="Times New Roman" w:hAnsi="Times New Roman"/>
                <w:sz w:val="18"/>
                <w:szCs w:val="18"/>
              </w:rPr>
            </w:pPr>
          </w:p>
        </w:tc>
        <w:tc>
          <w:tcPr>
            <w:tcW w:w="720" w:type="dxa"/>
            <w:tcBorders>
              <w:bottom w:val="nil"/>
            </w:tcBorders>
            <w:vAlign w:val="center"/>
          </w:tcPr>
          <w:p w14:paraId="06D81AAD"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w:t>
            </w:r>
          </w:p>
        </w:tc>
        <w:tc>
          <w:tcPr>
            <w:tcW w:w="630" w:type="dxa"/>
            <w:tcBorders>
              <w:bottom w:val="single" w:sz="18" w:space="0" w:color="auto"/>
            </w:tcBorders>
            <w:vAlign w:val="center"/>
          </w:tcPr>
          <w:p w14:paraId="2B841493"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w:t>
            </w:r>
          </w:p>
        </w:tc>
        <w:tc>
          <w:tcPr>
            <w:tcW w:w="630" w:type="dxa"/>
            <w:tcBorders>
              <w:bottom w:val="single" w:sz="18" w:space="0" w:color="auto"/>
            </w:tcBorders>
            <w:shd w:val="clear" w:color="auto" w:fill="FFFF00"/>
            <w:vAlign w:val="center"/>
          </w:tcPr>
          <w:p w14:paraId="051607F3"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single" w:sz="18" w:space="0" w:color="auto"/>
            </w:tcBorders>
            <w:shd w:val="clear" w:color="auto" w:fill="FFFF00"/>
            <w:vAlign w:val="center"/>
          </w:tcPr>
          <w:p w14:paraId="393B9FC3"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single" w:sz="18" w:space="0" w:color="auto"/>
            </w:tcBorders>
            <w:shd w:val="clear" w:color="auto" w:fill="FFFF00"/>
            <w:vAlign w:val="center"/>
          </w:tcPr>
          <w:p w14:paraId="3F6CD54E"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w:t>
            </w:r>
          </w:p>
        </w:tc>
        <w:tc>
          <w:tcPr>
            <w:tcW w:w="630" w:type="dxa"/>
            <w:tcBorders>
              <w:bottom w:val="nil"/>
            </w:tcBorders>
            <w:vAlign w:val="center"/>
          </w:tcPr>
          <w:p w14:paraId="4D3FE687"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w:t>
            </w:r>
          </w:p>
        </w:tc>
        <w:tc>
          <w:tcPr>
            <w:tcW w:w="630" w:type="dxa"/>
            <w:tcBorders>
              <w:bottom w:val="nil"/>
            </w:tcBorders>
            <w:vAlign w:val="center"/>
          </w:tcPr>
          <w:p w14:paraId="277BB70A"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nil"/>
            </w:tcBorders>
            <w:vAlign w:val="center"/>
          </w:tcPr>
          <w:p w14:paraId="5029C6FC" w14:textId="77777777" w:rsidR="00385B57" w:rsidRPr="00BD0018" w:rsidRDefault="00385B57" w:rsidP="00B67553">
            <w:pPr>
              <w:spacing w:line="240" w:lineRule="auto"/>
              <w:jc w:val="center"/>
              <w:rPr>
                <w:rFonts w:ascii="Times New Roman" w:hAnsi="Times New Roman"/>
                <w:sz w:val="18"/>
                <w:szCs w:val="18"/>
              </w:rPr>
            </w:pPr>
          </w:p>
        </w:tc>
        <w:tc>
          <w:tcPr>
            <w:tcW w:w="630" w:type="dxa"/>
            <w:tcBorders>
              <w:bottom w:val="nil"/>
            </w:tcBorders>
            <w:vAlign w:val="center"/>
          </w:tcPr>
          <w:p w14:paraId="6DC38EE8"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w:t>
            </w:r>
          </w:p>
        </w:tc>
        <w:tc>
          <w:tcPr>
            <w:tcW w:w="630" w:type="dxa"/>
            <w:tcBorders>
              <w:bottom w:val="nil"/>
            </w:tcBorders>
            <w:vAlign w:val="center"/>
          </w:tcPr>
          <w:p w14:paraId="024E4090"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w:t>
            </w:r>
          </w:p>
        </w:tc>
        <w:tc>
          <w:tcPr>
            <w:tcW w:w="540" w:type="dxa"/>
            <w:tcBorders>
              <w:bottom w:val="nil"/>
            </w:tcBorders>
            <w:vAlign w:val="center"/>
          </w:tcPr>
          <w:p w14:paraId="0F0F858B" w14:textId="77777777" w:rsidR="00385B57" w:rsidRPr="00BD0018" w:rsidRDefault="00385B57" w:rsidP="00B67553">
            <w:pPr>
              <w:spacing w:line="240" w:lineRule="auto"/>
              <w:jc w:val="center"/>
              <w:rPr>
                <w:rFonts w:ascii="Times New Roman" w:hAnsi="Times New Roman"/>
                <w:sz w:val="18"/>
                <w:szCs w:val="18"/>
                <w:highlight w:val="yellow"/>
              </w:rPr>
            </w:pPr>
          </w:p>
        </w:tc>
        <w:tc>
          <w:tcPr>
            <w:tcW w:w="628" w:type="dxa"/>
            <w:tcBorders>
              <w:bottom w:val="nil"/>
            </w:tcBorders>
            <w:vAlign w:val="center"/>
          </w:tcPr>
          <w:p w14:paraId="6182E5EF" w14:textId="77777777" w:rsidR="00385B57" w:rsidRPr="00BD0018" w:rsidRDefault="00385B57" w:rsidP="00B67553">
            <w:pPr>
              <w:spacing w:line="240" w:lineRule="auto"/>
              <w:jc w:val="center"/>
              <w:rPr>
                <w:rFonts w:ascii="Times New Roman" w:hAnsi="Times New Roman"/>
                <w:sz w:val="18"/>
                <w:szCs w:val="18"/>
                <w:highlight w:val="yellow"/>
              </w:rPr>
            </w:pPr>
          </w:p>
        </w:tc>
        <w:tc>
          <w:tcPr>
            <w:tcW w:w="735" w:type="dxa"/>
            <w:tcBorders>
              <w:bottom w:val="nil"/>
            </w:tcBorders>
            <w:vAlign w:val="center"/>
          </w:tcPr>
          <w:p w14:paraId="75BBFAC1"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 xml:space="preserve">6.5 </w:t>
            </w:r>
            <w:r w:rsidRPr="00BD0018">
              <w:rPr>
                <w:rFonts w:ascii="Times New Roman" w:hAnsi="Times New Roman"/>
                <w:sz w:val="18"/>
                <w:szCs w:val="18"/>
                <w:vertAlign w:val="superscript"/>
              </w:rPr>
              <w:t>4</w:t>
            </w:r>
          </w:p>
        </w:tc>
      </w:tr>
      <w:tr w:rsidR="00385B57" w:rsidRPr="00BD0018" w14:paraId="6FF3E228" w14:textId="77777777" w:rsidTr="00B67553">
        <w:trPr>
          <w:trHeight w:val="288"/>
          <w:jc w:val="center"/>
        </w:trPr>
        <w:tc>
          <w:tcPr>
            <w:tcW w:w="2084" w:type="dxa"/>
            <w:tcBorders>
              <w:top w:val="single" w:sz="18" w:space="0" w:color="auto"/>
              <w:bottom w:val="single" w:sz="18" w:space="0" w:color="auto"/>
            </w:tcBorders>
            <w:vAlign w:val="center"/>
          </w:tcPr>
          <w:p w14:paraId="717C300C" w14:textId="77777777" w:rsidR="00385B57" w:rsidRPr="00BD0018" w:rsidRDefault="00385B57" w:rsidP="00B67553">
            <w:pPr>
              <w:spacing w:line="240" w:lineRule="auto"/>
              <w:rPr>
                <w:rFonts w:ascii="Times New Roman" w:hAnsi="Times New Roman"/>
                <w:b/>
                <w:sz w:val="18"/>
                <w:szCs w:val="18"/>
                <w:vertAlign w:val="superscript"/>
              </w:rPr>
            </w:pPr>
            <w:r w:rsidRPr="00BD0018">
              <w:rPr>
                <w:rFonts w:ascii="Times New Roman" w:hAnsi="Times New Roman"/>
                <w:b/>
                <w:sz w:val="18"/>
                <w:szCs w:val="18"/>
              </w:rPr>
              <w:t>Immunology Blood Volume</w:t>
            </w:r>
          </w:p>
        </w:tc>
        <w:tc>
          <w:tcPr>
            <w:tcW w:w="810" w:type="dxa"/>
            <w:tcBorders>
              <w:top w:val="single" w:sz="18" w:space="0" w:color="auto"/>
              <w:bottom w:val="single" w:sz="18" w:space="0" w:color="auto"/>
            </w:tcBorders>
            <w:vAlign w:val="center"/>
          </w:tcPr>
          <w:p w14:paraId="444C39F0" w14:textId="77777777" w:rsidR="00385B57" w:rsidRPr="00BD0018" w:rsidRDefault="00385B57" w:rsidP="00B67553">
            <w:pPr>
              <w:spacing w:line="240" w:lineRule="auto"/>
              <w:jc w:val="center"/>
              <w:rPr>
                <w:rFonts w:ascii="Times New Roman" w:hAnsi="Times New Roman"/>
                <w:sz w:val="18"/>
                <w:szCs w:val="18"/>
              </w:rPr>
            </w:pPr>
          </w:p>
        </w:tc>
        <w:tc>
          <w:tcPr>
            <w:tcW w:w="720" w:type="dxa"/>
            <w:tcBorders>
              <w:top w:val="single" w:sz="18" w:space="0" w:color="auto"/>
              <w:bottom w:val="single" w:sz="18" w:space="0" w:color="auto"/>
            </w:tcBorders>
            <w:vAlign w:val="center"/>
          </w:tcPr>
          <w:p w14:paraId="3B579683" w14:textId="77777777" w:rsidR="00385B57" w:rsidRPr="00BD0018" w:rsidRDefault="00385B57" w:rsidP="00B67553">
            <w:pPr>
              <w:spacing w:line="240" w:lineRule="auto"/>
              <w:jc w:val="center"/>
              <w:rPr>
                <w:rFonts w:ascii="Times New Roman" w:hAnsi="Times New Roman"/>
                <w:sz w:val="18"/>
                <w:szCs w:val="18"/>
              </w:rPr>
            </w:pPr>
          </w:p>
        </w:tc>
        <w:tc>
          <w:tcPr>
            <w:tcW w:w="720" w:type="dxa"/>
            <w:tcBorders>
              <w:top w:val="single" w:sz="18" w:space="0" w:color="auto"/>
              <w:bottom w:val="single" w:sz="18" w:space="0" w:color="auto"/>
            </w:tcBorders>
            <w:vAlign w:val="center"/>
          </w:tcPr>
          <w:p w14:paraId="2A35EFC4"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47.5</w:t>
            </w:r>
          </w:p>
        </w:tc>
        <w:tc>
          <w:tcPr>
            <w:tcW w:w="630" w:type="dxa"/>
            <w:tcBorders>
              <w:top w:val="single" w:sz="18" w:space="0" w:color="auto"/>
              <w:bottom w:val="single" w:sz="18" w:space="0" w:color="auto"/>
            </w:tcBorders>
            <w:vAlign w:val="center"/>
          </w:tcPr>
          <w:p w14:paraId="723BF350"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630" w:type="dxa"/>
            <w:tcBorders>
              <w:top w:val="single" w:sz="18" w:space="0" w:color="auto"/>
              <w:bottom w:val="single" w:sz="18" w:space="0" w:color="auto"/>
            </w:tcBorders>
            <w:vAlign w:val="center"/>
          </w:tcPr>
          <w:p w14:paraId="00F23E5A"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720" w:type="dxa"/>
            <w:tcBorders>
              <w:top w:val="single" w:sz="18" w:space="0" w:color="auto"/>
              <w:bottom w:val="single" w:sz="18" w:space="0" w:color="auto"/>
            </w:tcBorders>
            <w:vAlign w:val="center"/>
          </w:tcPr>
          <w:p w14:paraId="684EA097"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42</w:t>
            </w:r>
          </w:p>
        </w:tc>
        <w:tc>
          <w:tcPr>
            <w:tcW w:w="630" w:type="dxa"/>
            <w:tcBorders>
              <w:top w:val="single" w:sz="18" w:space="0" w:color="auto"/>
              <w:bottom w:val="single" w:sz="18" w:space="0" w:color="auto"/>
            </w:tcBorders>
            <w:vAlign w:val="center"/>
          </w:tcPr>
          <w:p w14:paraId="2B73ACE8" w14:textId="7B511B04" w:rsidR="00385B57" w:rsidRPr="00BD0018" w:rsidRDefault="00434EFD" w:rsidP="00434EFD">
            <w:pPr>
              <w:spacing w:line="240" w:lineRule="auto"/>
              <w:jc w:val="center"/>
              <w:rPr>
                <w:rFonts w:ascii="Times New Roman" w:hAnsi="Times New Roman"/>
                <w:sz w:val="18"/>
                <w:szCs w:val="18"/>
              </w:rPr>
            </w:pPr>
            <w:r w:rsidRPr="00BD0018">
              <w:rPr>
                <w:rFonts w:ascii="Times New Roman" w:hAnsi="Times New Roman"/>
                <w:sz w:val="18"/>
                <w:szCs w:val="18"/>
              </w:rPr>
              <w:t>4</w:t>
            </w:r>
            <w:r>
              <w:rPr>
                <w:rFonts w:ascii="Times New Roman" w:hAnsi="Times New Roman"/>
                <w:sz w:val="18"/>
                <w:szCs w:val="18"/>
              </w:rPr>
              <w:t>5</w:t>
            </w:r>
          </w:p>
        </w:tc>
        <w:tc>
          <w:tcPr>
            <w:tcW w:w="630" w:type="dxa"/>
            <w:tcBorders>
              <w:top w:val="single" w:sz="18" w:space="0" w:color="auto"/>
              <w:bottom w:val="single" w:sz="18" w:space="0" w:color="auto"/>
            </w:tcBorders>
            <w:shd w:val="clear" w:color="auto" w:fill="FFFF00"/>
            <w:vAlign w:val="center"/>
          </w:tcPr>
          <w:p w14:paraId="0FBCFC61"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630" w:type="dxa"/>
            <w:tcBorders>
              <w:top w:val="single" w:sz="18" w:space="0" w:color="auto"/>
              <w:bottom w:val="single" w:sz="18" w:space="0" w:color="auto"/>
            </w:tcBorders>
            <w:shd w:val="clear" w:color="auto" w:fill="FFFF00"/>
            <w:vAlign w:val="center"/>
          </w:tcPr>
          <w:p w14:paraId="602ABC46"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630" w:type="dxa"/>
            <w:tcBorders>
              <w:top w:val="single" w:sz="18" w:space="0" w:color="auto"/>
              <w:bottom w:val="single" w:sz="18" w:space="0" w:color="auto"/>
            </w:tcBorders>
            <w:shd w:val="clear" w:color="auto" w:fill="FFFF00"/>
            <w:vAlign w:val="center"/>
          </w:tcPr>
          <w:p w14:paraId="6285BB9E"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42</w:t>
            </w:r>
          </w:p>
        </w:tc>
        <w:tc>
          <w:tcPr>
            <w:tcW w:w="630" w:type="dxa"/>
            <w:tcBorders>
              <w:top w:val="single" w:sz="18" w:space="0" w:color="auto"/>
              <w:bottom w:val="single" w:sz="18" w:space="0" w:color="auto"/>
            </w:tcBorders>
            <w:vAlign w:val="center"/>
          </w:tcPr>
          <w:p w14:paraId="3F7B95B5" w14:textId="71867311" w:rsidR="00385B57" w:rsidRPr="00BD0018" w:rsidRDefault="00FF3223" w:rsidP="00FF3223">
            <w:pPr>
              <w:spacing w:line="240" w:lineRule="auto"/>
              <w:jc w:val="center"/>
              <w:rPr>
                <w:rFonts w:ascii="Times New Roman" w:hAnsi="Times New Roman"/>
                <w:sz w:val="18"/>
                <w:szCs w:val="18"/>
              </w:rPr>
            </w:pPr>
            <w:r w:rsidRPr="00BD0018">
              <w:rPr>
                <w:rFonts w:ascii="Times New Roman" w:hAnsi="Times New Roman"/>
                <w:sz w:val="18"/>
                <w:szCs w:val="18"/>
              </w:rPr>
              <w:t>4</w:t>
            </w:r>
            <w:r>
              <w:rPr>
                <w:rFonts w:ascii="Times New Roman" w:hAnsi="Times New Roman"/>
                <w:sz w:val="18"/>
                <w:szCs w:val="18"/>
              </w:rPr>
              <w:t>5</w:t>
            </w:r>
          </w:p>
        </w:tc>
        <w:tc>
          <w:tcPr>
            <w:tcW w:w="630" w:type="dxa"/>
            <w:tcBorders>
              <w:top w:val="single" w:sz="18" w:space="0" w:color="auto"/>
              <w:bottom w:val="single" w:sz="18" w:space="0" w:color="auto"/>
            </w:tcBorders>
            <w:vAlign w:val="center"/>
          </w:tcPr>
          <w:p w14:paraId="032B1D85" w14:textId="77777777" w:rsidR="00385B57" w:rsidRPr="00BD0018" w:rsidDel="00162290"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630" w:type="dxa"/>
            <w:tcBorders>
              <w:top w:val="single" w:sz="18" w:space="0" w:color="auto"/>
              <w:bottom w:val="single" w:sz="18" w:space="0" w:color="auto"/>
            </w:tcBorders>
            <w:vAlign w:val="center"/>
          </w:tcPr>
          <w:p w14:paraId="281825D9" w14:textId="77777777" w:rsidR="00385B57" w:rsidRPr="00BD0018" w:rsidDel="00162290"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630" w:type="dxa"/>
            <w:tcBorders>
              <w:top w:val="single" w:sz="18" w:space="0" w:color="auto"/>
              <w:bottom w:val="single" w:sz="18" w:space="0" w:color="auto"/>
            </w:tcBorders>
            <w:vAlign w:val="center"/>
          </w:tcPr>
          <w:p w14:paraId="4170C7F5" w14:textId="77777777" w:rsidR="00385B57" w:rsidRPr="00BD0018" w:rsidDel="00162290"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42</w:t>
            </w:r>
          </w:p>
        </w:tc>
        <w:tc>
          <w:tcPr>
            <w:tcW w:w="630" w:type="dxa"/>
            <w:tcBorders>
              <w:top w:val="single" w:sz="18" w:space="0" w:color="auto"/>
              <w:bottom w:val="single" w:sz="18" w:space="0" w:color="auto"/>
            </w:tcBorders>
            <w:vAlign w:val="center"/>
          </w:tcPr>
          <w:p w14:paraId="1EB3CF7B" w14:textId="77777777" w:rsidR="00385B57" w:rsidRPr="00BD0018" w:rsidDel="00162290"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42</w:t>
            </w:r>
          </w:p>
        </w:tc>
        <w:tc>
          <w:tcPr>
            <w:tcW w:w="540" w:type="dxa"/>
            <w:tcBorders>
              <w:top w:val="single" w:sz="18" w:space="0" w:color="auto"/>
              <w:bottom w:val="single" w:sz="18" w:space="0" w:color="auto"/>
            </w:tcBorders>
            <w:vAlign w:val="center"/>
          </w:tcPr>
          <w:p w14:paraId="732B747A" w14:textId="77777777" w:rsidR="00385B57" w:rsidRPr="00BD0018" w:rsidDel="00162290" w:rsidRDefault="00385B57" w:rsidP="00B67553">
            <w:pPr>
              <w:spacing w:line="240" w:lineRule="auto"/>
              <w:jc w:val="center"/>
              <w:rPr>
                <w:rFonts w:ascii="Times New Roman" w:hAnsi="Times New Roman"/>
                <w:sz w:val="18"/>
                <w:szCs w:val="18"/>
              </w:rPr>
            </w:pPr>
          </w:p>
        </w:tc>
        <w:tc>
          <w:tcPr>
            <w:tcW w:w="628" w:type="dxa"/>
            <w:tcBorders>
              <w:top w:val="single" w:sz="18" w:space="0" w:color="auto"/>
              <w:bottom w:val="single" w:sz="18" w:space="0" w:color="auto"/>
            </w:tcBorders>
            <w:vAlign w:val="center"/>
          </w:tcPr>
          <w:p w14:paraId="65206182" w14:textId="77777777" w:rsidR="00385B57" w:rsidRPr="00BD0018" w:rsidRDefault="00385B57" w:rsidP="00B67553">
            <w:pPr>
              <w:spacing w:line="240" w:lineRule="auto"/>
              <w:jc w:val="center"/>
              <w:rPr>
                <w:rFonts w:ascii="Times New Roman" w:hAnsi="Times New Roman"/>
                <w:sz w:val="18"/>
                <w:szCs w:val="18"/>
              </w:rPr>
            </w:pPr>
          </w:p>
        </w:tc>
        <w:tc>
          <w:tcPr>
            <w:tcW w:w="735" w:type="dxa"/>
            <w:tcBorders>
              <w:top w:val="single" w:sz="18" w:space="0" w:color="auto"/>
              <w:bottom w:val="single" w:sz="18" w:space="0" w:color="auto"/>
            </w:tcBorders>
            <w:vAlign w:val="center"/>
          </w:tcPr>
          <w:p w14:paraId="2649955D"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44.5</w:t>
            </w:r>
          </w:p>
        </w:tc>
      </w:tr>
      <w:tr w:rsidR="00385B57" w:rsidRPr="00BD0018" w14:paraId="6B223961" w14:textId="77777777" w:rsidTr="00B67553">
        <w:trPr>
          <w:trHeight w:val="288"/>
          <w:jc w:val="center"/>
        </w:trPr>
        <w:tc>
          <w:tcPr>
            <w:tcW w:w="2084" w:type="dxa"/>
            <w:tcBorders>
              <w:top w:val="single" w:sz="18" w:space="0" w:color="auto"/>
              <w:bottom w:val="single" w:sz="18" w:space="0" w:color="auto"/>
            </w:tcBorders>
            <w:vAlign w:val="center"/>
          </w:tcPr>
          <w:p w14:paraId="7A37FC68" w14:textId="77777777" w:rsidR="00385B57" w:rsidRPr="00BD0018" w:rsidRDefault="00385B57" w:rsidP="00B67553">
            <w:pPr>
              <w:spacing w:line="240" w:lineRule="auto"/>
              <w:rPr>
                <w:rFonts w:ascii="Times New Roman" w:hAnsi="Times New Roman"/>
                <w:b/>
                <w:sz w:val="18"/>
                <w:szCs w:val="18"/>
              </w:rPr>
            </w:pPr>
            <w:r w:rsidRPr="00BD0018">
              <w:rPr>
                <w:rFonts w:ascii="Times New Roman" w:hAnsi="Times New Roman"/>
                <w:b/>
                <w:sz w:val="18"/>
                <w:szCs w:val="18"/>
              </w:rPr>
              <w:t>Total Visit Volume</w:t>
            </w:r>
          </w:p>
        </w:tc>
        <w:tc>
          <w:tcPr>
            <w:tcW w:w="810" w:type="dxa"/>
            <w:tcBorders>
              <w:top w:val="single" w:sz="18" w:space="0" w:color="auto"/>
              <w:bottom w:val="single" w:sz="18" w:space="0" w:color="auto"/>
            </w:tcBorders>
            <w:vAlign w:val="center"/>
          </w:tcPr>
          <w:p w14:paraId="50DB26EE"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5</w:t>
            </w:r>
          </w:p>
        </w:tc>
        <w:tc>
          <w:tcPr>
            <w:tcW w:w="720" w:type="dxa"/>
            <w:tcBorders>
              <w:top w:val="single" w:sz="18" w:space="0" w:color="auto"/>
              <w:bottom w:val="single" w:sz="18" w:space="0" w:color="auto"/>
            </w:tcBorders>
            <w:vAlign w:val="center"/>
          </w:tcPr>
          <w:p w14:paraId="027149C3"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15</w:t>
            </w:r>
          </w:p>
        </w:tc>
        <w:tc>
          <w:tcPr>
            <w:tcW w:w="720" w:type="dxa"/>
            <w:tcBorders>
              <w:top w:val="single" w:sz="18" w:space="0" w:color="auto"/>
              <w:bottom w:val="single" w:sz="18" w:space="0" w:color="auto"/>
            </w:tcBorders>
            <w:vAlign w:val="center"/>
          </w:tcPr>
          <w:p w14:paraId="4F277463"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47.5</w:t>
            </w:r>
          </w:p>
        </w:tc>
        <w:tc>
          <w:tcPr>
            <w:tcW w:w="630" w:type="dxa"/>
            <w:tcBorders>
              <w:top w:val="single" w:sz="18" w:space="0" w:color="auto"/>
              <w:bottom w:val="single" w:sz="18" w:space="0" w:color="auto"/>
            </w:tcBorders>
            <w:vAlign w:val="center"/>
          </w:tcPr>
          <w:p w14:paraId="37A8DCCC"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630" w:type="dxa"/>
            <w:tcBorders>
              <w:top w:val="single" w:sz="18" w:space="0" w:color="auto"/>
              <w:bottom w:val="single" w:sz="18" w:space="0" w:color="auto"/>
            </w:tcBorders>
            <w:vAlign w:val="center"/>
          </w:tcPr>
          <w:p w14:paraId="642B5EFD"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13</w:t>
            </w:r>
          </w:p>
        </w:tc>
        <w:tc>
          <w:tcPr>
            <w:tcW w:w="720" w:type="dxa"/>
            <w:tcBorders>
              <w:top w:val="single" w:sz="18" w:space="0" w:color="auto"/>
              <w:bottom w:val="single" w:sz="18" w:space="0" w:color="auto"/>
            </w:tcBorders>
            <w:vAlign w:val="center"/>
          </w:tcPr>
          <w:p w14:paraId="6EE80ACA"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42</w:t>
            </w:r>
          </w:p>
        </w:tc>
        <w:tc>
          <w:tcPr>
            <w:tcW w:w="630" w:type="dxa"/>
            <w:tcBorders>
              <w:top w:val="single" w:sz="18" w:space="0" w:color="auto"/>
              <w:bottom w:val="single" w:sz="18" w:space="0" w:color="auto"/>
            </w:tcBorders>
            <w:vAlign w:val="center"/>
          </w:tcPr>
          <w:p w14:paraId="56F2E363" w14:textId="4DF954BA" w:rsidR="00385B57" w:rsidRPr="00BD0018" w:rsidRDefault="00FC316A" w:rsidP="00434EFD">
            <w:pPr>
              <w:spacing w:line="240" w:lineRule="auto"/>
              <w:jc w:val="center"/>
              <w:rPr>
                <w:rFonts w:ascii="Times New Roman" w:hAnsi="Times New Roman"/>
                <w:sz w:val="18"/>
                <w:szCs w:val="18"/>
              </w:rPr>
            </w:pPr>
            <w:r>
              <w:rPr>
                <w:rFonts w:ascii="Times New Roman" w:hAnsi="Times New Roman"/>
                <w:sz w:val="18"/>
                <w:szCs w:val="18"/>
              </w:rPr>
              <w:t>5</w:t>
            </w:r>
            <w:r w:rsidR="00434EFD">
              <w:rPr>
                <w:rFonts w:ascii="Times New Roman" w:hAnsi="Times New Roman"/>
                <w:sz w:val="18"/>
                <w:szCs w:val="18"/>
              </w:rPr>
              <w:t>5</w:t>
            </w:r>
          </w:p>
        </w:tc>
        <w:tc>
          <w:tcPr>
            <w:tcW w:w="630" w:type="dxa"/>
            <w:tcBorders>
              <w:top w:val="single" w:sz="18" w:space="0" w:color="auto"/>
              <w:bottom w:val="single" w:sz="18" w:space="0" w:color="auto"/>
            </w:tcBorders>
            <w:shd w:val="clear" w:color="auto" w:fill="FFFF00"/>
            <w:vAlign w:val="center"/>
          </w:tcPr>
          <w:p w14:paraId="3F0A3E7B"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630" w:type="dxa"/>
            <w:tcBorders>
              <w:top w:val="single" w:sz="18" w:space="0" w:color="auto"/>
              <w:bottom w:val="single" w:sz="18" w:space="0" w:color="auto"/>
            </w:tcBorders>
            <w:shd w:val="clear" w:color="auto" w:fill="FFFF00"/>
            <w:vAlign w:val="center"/>
          </w:tcPr>
          <w:p w14:paraId="070BD5A5"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13</w:t>
            </w:r>
          </w:p>
        </w:tc>
        <w:tc>
          <w:tcPr>
            <w:tcW w:w="630" w:type="dxa"/>
            <w:tcBorders>
              <w:top w:val="single" w:sz="18" w:space="0" w:color="auto"/>
              <w:bottom w:val="single" w:sz="18" w:space="0" w:color="auto"/>
            </w:tcBorders>
            <w:shd w:val="clear" w:color="auto" w:fill="FFFF00"/>
            <w:vAlign w:val="center"/>
          </w:tcPr>
          <w:p w14:paraId="6C0FD010"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42</w:t>
            </w:r>
          </w:p>
        </w:tc>
        <w:tc>
          <w:tcPr>
            <w:tcW w:w="630" w:type="dxa"/>
            <w:tcBorders>
              <w:top w:val="single" w:sz="18" w:space="0" w:color="auto"/>
              <w:bottom w:val="single" w:sz="18" w:space="0" w:color="auto"/>
            </w:tcBorders>
            <w:vAlign w:val="center"/>
          </w:tcPr>
          <w:p w14:paraId="35ADEDB3" w14:textId="71343FA8" w:rsidR="00385B57" w:rsidRPr="00BD0018" w:rsidRDefault="00FF3223" w:rsidP="00FF3223">
            <w:pPr>
              <w:spacing w:line="240" w:lineRule="auto"/>
              <w:jc w:val="center"/>
              <w:rPr>
                <w:rFonts w:ascii="Times New Roman" w:hAnsi="Times New Roman"/>
                <w:sz w:val="18"/>
                <w:szCs w:val="18"/>
              </w:rPr>
            </w:pPr>
            <w:r w:rsidRPr="00BD0018">
              <w:rPr>
                <w:rFonts w:ascii="Times New Roman" w:hAnsi="Times New Roman"/>
                <w:sz w:val="18"/>
                <w:szCs w:val="18"/>
              </w:rPr>
              <w:t>5</w:t>
            </w:r>
            <w:r>
              <w:rPr>
                <w:rFonts w:ascii="Times New Roman" w:hAnsi="Times New Roman"/>
                <w:sz w:val="18"/>
                <w:szCs w:val="18"/>
              </w:rPr>
              <w:t>5</w:t>
            </w:r>
          </w:p>
        </w:tc>
        <w:tc>
          <w:tcPr>
            <w:tcW w:w="630" w:type="dxa"/>
            <w:tcBorders>
              <w:top w:val="single" w:sz="18" w:space="0" w:color="auto"/>
              <w:bottom w:val="single" w:sz="18" w:space="0" w:color="auto"/>
            </w:tcBorders>
            <w:vAlign w:val="center"/>
          </w:tcPr>
          <w:p w14:paraId="6C84B77A" w14:textId="77777777" w:rsidR="00385B57" w:rsidRPr="00BD0018" w:rsidDel="00162290"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3</w:t>
            </w:r>
          </w:p>
        </w:tc>
        <w:tc>
          <w:tcPr>
            <w:tcW w:w="630" w:type="dxa"/>
            <w:tcBorders>
              <w:top w:val="single" w:sz="18" w:space="0" w:color="auto"/>
              <w:bottom w:val="single" w:sz="18" w:space="0" w:color="auto"/>
            </w:tcBorders>
            <w:vAlign w:val="center"/>
          </w:tcPr>
          <w:p w14:paraId="3A7FC027" w14:textId="77777777" w:rsidR="00385B57" w:rsidRPr="00BD0018" w:rsidDel="00162290"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13</w:t>
            </w:r>
          </w:p>
        </w:tc>
        <w:tc>
          <w:tcPr>
            <w:tcW w:w="630" w:type="dxa"/>
            <w:tcBorders>
              <w:top w:val="single" w:sz="18" w:space="0" w:color="auto"/>
              <w:bottom w:val="single" w:sz="18" w:space="0" w:color="auto"/>
            </w:tcBorders>
            <w:vAlign w:val="center"/>
          </w:tcPr>
          <w:p w14:paraId="51FB632C" w14:textId="77777777" w:rsidR="00385B57" w:rsidRPr="00BD0018" w:rsidDel="00162290"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42</w:t>
            </w:r>
          </w:p>
        </w:tc>
        <w:tc>
          <w:tcPr>
            <w:tcW w:w="630" w:type="dxa"/>
            <w:tcBorders>
              <w:top w:val="single" w:sz="18" w:space="0" w:color="auto"/>
              <w:bottom w:val="single" w:sz="18" w:space="0" w:color="auto"/>
            </w:tcBorders>
            <w:vAlign w:val="center"/>
          </w:tcPr>
          <w:p w14:paraId="34186202" w14:textId="77777777" w:rsidR="00385B57" w:rsidRPr="00BD0018" w:rsidDel="00162290"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42</w:t>
            </w:r>
          </w:p>
        </w:tc>
        <w:tc>
          <w:tcPr>
            <w:tcW w:w="540" w:type="dxa"/>
            <w:tcBorders>
              <w:top w:val="single" w:sz="18" w:space="0" w:color="auto"/>
              <w:bottom w:val="single" w:sz="18" w:space="0" w:color="auto"/>
            </w:tcBorders>
            <w:vAlign w:val="center"/>
          </w:tcPr>
          <w:p w14:paraId="2674A418" w14:textId="77777777" w:rsidR="00385B57" w:rsidRPr="00BD0018" w:rsidDel="00162290" w:rsidRDefault="00385B57" w:rsidP="00B67553">
            <w:pPr>
              <w:spacing w:line="240" w:lineRule="auto"/>
              <w:jc w:val="center"/>
              <w:rPr>
                <w:rFonts w:ascii="Times New Roman" w:hAnsi="Times New Roman"/>
                <w:sz w:val="18"/>
                <w:szCs w:val="18"/>
              </w:rPr>
            </w:pPr>
          </w:p>
        </w:tc>
        <w:tc>
          <w:tcPr>
            <w:tcW w:w="628" w:type="dxa"/>
            <w:tcBorders>
              <w:top w:val="single" w:sz="18" w:space="0" w:color="auto"/>
              <w:bottom w:val="single" w:sz="18" w:space="0" w:color="auto"/>
            </w:tcBorders>
            <w:vAlign w:val="center"/>
          </w:tcPr>
          <w:p w14:paraId="63C7FD7D" w14:textId="77777777" w:rsidR="00385B57" w:rsidRPr="00BD0018" w:rsidRDefault="00385B57" w:rsidP="00B67553">
            <w:pPr>
              <w:spacing w:line="240" w:lineRule="auto"/>
              <w:jc w:val="center"/>
              <w:rPr>
                <w:rFonts w:ascii="Times New Roman" w:hAnsi="Times New Roman"/>
                <w:sz w:val="18"/>
                <w:szCs w:val="18"/>
              </w:rPr>
            </w:pPr>
          </w:p>
        </w:tc>
        <w:tc>
          <w:tcPr>
            <w:tcW w:w="735" w:type="dxa"/>
            <w:tcBorders>
              <w:top w:val="single" w:sz="18" w:space="0" w:color="auto"/>
              <w:bottom w:val="single" w:sz="18" w:space="0" w:color="auto"/>
            </w:tcBorders>
            <w:vAlign w:val="center"/>
          </w:tcPr>
          <w:p w14:paraId="0A549D46"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44.5</w:t>
            </w:r>
          </w:p>
        </w:tc>
      </w:tr>
      <w:tr w:rsidR="00385B57" w:rsidRPr="00BD0018" w14:paraId="442F57F5" w14:textId="77777777" w:rsidTr="00B67553">
        <w:trPr>
          <w:trHeight w:val="288"/>
          <w:jc w:val="center"/>
        </w:trPr>
        <w:tc>
          <w:tcPr>
            <w:tcW w:w="2084" w:type="dxa"/>
            <w:tcBorders>
              <w:top w:val="single" w:sz="18" w:space="0" w:color="auto"/>
            </w:tcBorders>
            <w:vAlign w:val="center"/>
          </w:tcPr>
          <w:p w14:paraId="1B002BDC" w14:textId="77777777" w:rsidR="00385B57" w:rsidRPr="00BD0018" w:rsidRDefault="00385B57" w:rsidP="00B67553">
            <w:pPr>
              <w:spacing w:line="240" w:lineRule="auto"/>
              <w:rPr>
                <w:rFonts w:ascii="Times New Roman" w:hAnsi="Times New Roman"/>
                <w:b/>
                <w:sz w:val="18"/>
                <w:szCs w:val="18"/>
                <w:vertAlign w:val="superscript"/>
              </w:rPr>
            </w:pPr>
            <w:r w:rsidRPr="00BD0018">
              <w:rPr>
                <w:rFonts w:ascii="Times New Roman" w:hAnsi="Times New Roman"/>
                <w:b/>
                <w:sz w:val="18"/>
                <w:szCs w:val="18"/>
              </w:rPr>
              <w:t>Cumulative Volume</w:t>
            </w:r>
            <w:r w:rsidRPr="00BD0018">
              <w:rPr>
                <w:rFonts w:ascii="Times New Roman" w:hAnsi="Times New Roman"/>
                <w:b/>
                <w:sz w:val="18"/>
                <w:szCs w:val="18"/>
                <w:vertAlign w:val="superscript"/>
              </w:rPr>
              <w:t>5</w:t>
            </w:r>
          </w:p>
        </w:tc>
        <w:tc>
          <w:tcPr>
            <w:tcW w:w="810" w:type="dxa"/>
            <w:tcBorders>
              <w:top w:val="single" w:sz="18" w:space="0" w:color="auto"/>
            </w:tcBorders>
            <w:vAlign w:val="center"/>
          </w:tcPr>
          <w:p w14:paraId="709F66DE"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5</w:t>
            </w:r>
          </w:p>
        </w:tc>
        <w:tc>
          <w:tcPr>
            <w:tcW w:w="720" w:type="dxa"/>
            <w:tcBorders>
              <w:top w:val="single" w:sz="18" w:space="0" w:color="auto"/>
            </w:tcBorders>
            <w:vAlign w:val="center"/>
          </w:tcPr>
          <w:p w14:paraId="2E3A4B96"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20</w:t>
            </w:r>
          </w:p>
        </w:tc>
        <w:tc>
          <w:tcPr>
            <w:tcW w:w="720" w:type="dxa"/>
            <w:tcBorders>
              <w:top w:val="single" w:sz="18" w:space="0" w:color="auto"/>
            </w:tcBorders>
            <w:vAlign w:val="center"/>
          </w:tcPr>
          <w:p w14:paraId="0D72736A"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67.5</w:t>
            </w:r>
          </w:p>
        </w:tc>
        <w:tc>
          <w:tcPr>
            <w:tcW w:w="630" w:type="dxa"/>
            <w:tcBorders>
              <w:top w:val="single" w:sz="18" w:space="0" w:color="auto"/>
            </w:tcBorders>
            <w:vAlign w:val="center"/>
          </w:tcPr>
          <w:p w14:paraId="7AC26CA4"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70.5</w:t>
            </w:r>
          </w:p>
        </w:tc>
        <w:tc>
          <w:tcPr>
            <w:tcW w:w="630" w:type="dxa"/>
            <w:tcBorders>
              <w:top w:val="single" w:sz="18" w:space="0" w:color="auto"/>
            </w:tcBorders>
            <w:vAlign w:val="center"/>
          </w:tcPr>
          <w:p w14:paraId="0FCEC631"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83.5</w:t>
            </w:r>
          </w:p>
        </w:tc>
        <w:tc>
          <w:tcPr>
            <w:tcW w:w="720" w:type="dxa"/>
            <w:tcBorders>
              <w:top w:val="single" w:sz="18" w:space="0" w:color="auto"/>
            </w:tcBorders>
            <w:vAlign w:val="center"/>
          </w:tcPr>
          <w:p w14:paraId="0A960DF6" w14:textId="77777777" w:rsidR="00385B57" w:rsidRPr="00BD0018" w:rsidRDefault="00385B57" w:rsidP="00B67553">
            <w:pPr>
              <w:spacing w:line="240" w:lineRule="auto"/>
              <w:jc w:val="center"/>
              <w:rPr>
                <w:rFonts w:ascii="Times New Roman" w:hAnsi="Times New Roman"/>
                <w:sz w:val="18"/>
                <w:szCs w:val="18"/>
              </w:rPr>
            </w:pPr>
            <w:r w:rsidRPr="00BD0018">
              <w:rPr>
                <w:rFonts w:ascii="Times New Roman" w:hAnsi="Times New Roman"/>
                <w:sz w:val="18"/>
                <w:szCs w:val="18"/>
              </w:rPr>
              <w:t>125.5</w:t>
            </w:r>
          </w:p>
        </w:tc>
        <w:tc>
          <w:tcPr>
            <w:tcW w:w="630" w:type="dxa"/>
            <w:tcBorders>
              <w:top w:val="single" w:sz="18" w:space="0" w:color="auto"/>
            </w:tcBorders>
            <w:vAlign w:val="center"/>
          </w:tcPr>
          <w:p w14:paraId="39A246C6" w14:textId="49A68092" w:rsidR="00385B57" w:rsidRPr="00BD0018" w:rsidDel="00E1252F" w:rsidRDefault="00385B57" w:rsidP="00434EFD">
            <w:pPr>
              <w:spacing w:line="240" w:lineRule="auto"/>
              <w:jc w:val="center"/>
              <w:rPr>
                <w:rFonts w:ascii="Times New Roman" w:hAnsi="Times New Roman"/>
                <w:sz w:val="18"/>
                <w:szCs w:val="18"/>
              </w:rPr>
            </w:pPr>
            <w:r w:rsidRPr="00BD0018">
              <w:rPr>
                <w:rFonts w:ascii="Times New Roman" w:hAnsi="Times New Roman"/>
                <w:sz w:val="18"/>
                <w:szCs w:val="18"/>
              </w:rPr>
              <w:t>1</w:t>
            </w:r>
            <w:r w:rsidR="00434EFD">
              <w:rPr>
                <w:rFonts w:ascii="Times New Roman" w:hAnsi="Times New Roman"/>
                <w:sz w:val="18"/>
                <w:szCs w:val="18"/>
              </w:rPr>
              <w:t>80</w:t>
            </w:r>
            <w:r w:rsidRPr="00BD0018">
              <w:rPr>
                <w:rFonts w:ascii="Times New Roman" w:hAnsi="Times New Roman"/>
                <w:sz w:val="18"/>
                <w:szCs w:val="18"/>
              </w:rPr>
              <w:t>.5</w:t>
            </w:r>
          </w:p>
        </w:tc>
        <w:tc>
          <w:tcPr>
            <w:tcW w:w="630" w:type="dxa"/>
            <w:tcBorders>
              <w:top w:val="single" w:sz="18" w:space="0" w:color="auto"/>
            </w:tcBorders>
            <w:shd w:val="clear" w:color="auto" w:fill="auto"/>
            <w:vAlign w:val="center"/>
          </w:tcPr>
          <w:p w14:paraId="2181DA72" w14:textId="320DA3A3" w:rsidR="00385B57" w:rsidRPr="00BD0018" w:rsidDel="00E1252F" w:rsidRDefault="00385B57" w:rsidP="00FF3223">
            <w:pPr>
              <w:spacing w:line="240" w:lineRule="auto"/>
              <w:jc w:val="center"/>
              <w:rPr>
                <w:rFonts w:ascii="Times New Roman" w:hAnsi="Times New Roman"/>
                <w:sz w:val="18"/>
                <w:szCs w:val="18"/>
              </w:rPr>
            </w:pPr>
            <w:r>
              <w:rPr>
                <w:rFonts w:ascii="Times New Roman" w:hAnsi="Times New Roman"/>
                <w:sz w:val="18"/>
                <w:szCs w:val="18"/>
              </w:rPr>
              <w:t>18</w:t>
            </w:r>
            <w:r w:rsidR="00FF3223">
              <w:rPr>
                <w:rFonts w:ascii="Times New Roman" w:hAnsi="Times New Roman"/>
                <w:sz w:val="18"/>
                <w:szCs w:val="18"/>
              </w:rPr>
              <w:t>3</w:t>
            </w:r>
            <w:r>
              <w:rPr>
                <w:rFonts w:ascii="Times New Roman" w:hAnsi="Times New Roman"/>
                <w:sz w:val="18"/>
                <w:szCs w:val="18"/>
              </w:rPr>
              <w:t>.5</w:t>
            </w:r>
          </w:p>
        </w:tc>
        <w:tc>
          <w:tcPr>
            <w:tcW w:w="630" w:type="dxa"/>
            <w:tcBorders>
              <w:top w:val="single" w:sz="18" w:space="0" w:color="auto"/>
            </w:tcBorders>
            <w:shd w:val="clear" w:color="auto" w:fill="auto"/>
            <w:vAlign w:val="center"/>
          </w:tcPr>
          <w:p w14:paraId="0DA609F4" w14:textId="793E6721" w:rsidR="00385B57" w:rsidRPr="00BD0018" w:rsidDel="00E1252F" w:rsidRDefault="00385B57" w:rsidP="00FF3223">
            <w:pPr>
              <w:spacing w:line="240" w:lineRule="auto"/>
              <w:jc w:val="center"/>
              <w:rPr>
                <w:rFonts w:ascii="Times New Roman" w:hAnsi="Times New Roman"/>
                <w:sz w:val="18"/>
                <w:szCs w:val="18"/>
              </w:rPr>
            </w:pPr>
            <w:r>
              <w:rPr>
                <w:rFonts w:ascii="Times New Roman" w:hAnsi="Times New Roman"/>
                <w:sz w:val="18"/>
                <w:szCs w:val="18"/>
              </w:rPr>
              <w:t>19</w:t>
            </w:r>
            <w:r w:rsidR="00FF3223">
              <w:rPr>
                <w:rFonts w:ascii="Times New Roman" w:hAnsi="Times New Roman"/>
                <w:sz w:val="18"/>
                <w:szCs w:val="18"/>
              </w:rPr>
              <w:t>6</w:t>
            </w:r>
            <w:r>
              <w:rPr>
                <w:rFonts w:ascii="Times New Roman" w:hAnsi="Times New Roman"/>
                <w:sz w:val="18"/>
                <w:szCs w:val="18"/>
              </w:rPr>
              <w:t>.5</w:t>
            </w:r>
          </w:p>
        </w:tc>
        <w:tc>
          <w:tcPr>
            <w:tcW w:w="630" w:type="dxa"/>
            <w:tcBorders>
              <w:top w:val="single" w:sz="18" w:space="0" w:color="auto"/>
            </w:tcBorders>
            <w:shd w:val="clear" w:color="auto" w:fill="auto"/>
            <w:vAlign w:val="center"/>
          </w:tcPr>
          <w:p w14:paraId="35D89482" w14:textId="35196ECC" w:rsidR="00385B57" w:rsidRPr="00BD0018" w:rsidDel="00E1252F" w:rsidRDefault="00385B57" w:rsidP="00FF3223">
            <w:pPr>
              <w:spacing w:line="240" w:lineRule="auto"/>
              <w:jc w:val="center"/>
              <w:rPr>
                <w:rFonts w:ascii="Times New Roman" w:hAnsi="Times New Roman"/>
                <w:sz w:val="18"/>
                <w:szCs w:val="18"/>
              </w:rPr>
            </w:pPr>
            <w:r>
              <w:rPr>
                <w:rFonts w:ascii="Times New Roman" w:hAnsi="Times New Roman"/>
                <w:sz w:val="18"/>
                <w:szCs w:val="18"/>
              </w:rPr>
              <w:t>23</w:t>
            </w:r>
            <w:r w:rsidR="00FF3223">
              <w:rPr>
                <w:rFonts w:ascii="Times New Roman" w:hAnsi="Times New Roman"/>
                <w:sz w:val="18"/>
                <w:szCs w:val="18"/>
              </w:rPr>
              <w:t>8</w:t>
            </w:r>
            <w:r>
              <w:rPr>
                <w:rFonts w:ascii="Times New Roman" w:hAnsi="Times New Roman"/>
                <w:sz w:val="18"/>
                <w:szCs w:val="18"/>
              </w:rPr>
              <w:t>.5</w:t>
            </w:r>
          </w:p>
        </w:tc>
        <w:tc>
          <w:tcPr>
            <w:tcW w:w="630" w:type="dxa"/>
            <w:tcBorders>
              <w:top w:val="single" w:sz="18" w:space="0" w:color="auto"/>
            </w:tcBorders>
            <w:shd w:val="clear" w:color="auto" w:fill="auto"/>
            <w:vAlign w:val="center"/>
          </w:tcPr>
          <w:p w14:paraId="50C601E9" w14:textId="476FFADB" w:rsidR="00385B57" w:rsidRPr="00C22D8F" w:rsidRDefault="00385B57" w:rsidP="00FF3223">
            <w:pPr>
              <w:spacing w:line="240" w:lineRule="auto"/>
              <w:jc w:val="center"/>
              <w:rPr>
                <w:rFonts w:ascii="Times New Roman" w:hAnsi="Times New Roman"/>
                <w:sz w:val="18"/>
                <w:szCs w:val="18"/>
              </w:rPr>
            </w:pPr>
            <w:r w:rsidRPr="00C22D8F">
              <w:rPr>
                <w:rFonts w:ascii="Times New Roman" w:hAnsi="Times New Roman"/>
                <w:sz w:val="18"/>
                <w:szCs w:val="18"/>
              </w:rPr>
              <w:t>2</w:t>
            </w:r>
            <w:r w:rsidR="00FF3223">
              <w:rPr>
                <w:rFonts w:ascii="Times New Roman" w:hAnsi="Times New Roman"/>
                <w:sz w:val="18"/>
                <w:szCs w:val="18"/>
              </w:rPr>
              <w:t>93</w:t>
            </w:r>
            <w:r w:rsidRPr="00C22D8F">
              <w:rPr>
                <w:rFonts w:ascii="Times New Roman" w:hAnsi="Times New Roman"/>
                <w:sz w:val="18"/>
                <w:szCs w:val="18"/>
              </w:rPr>
              <w:t>.5</w:t>
            </w:r>
          </w:p>
        </w:tc>
        <w:tc>
          <w:tcPr>
            <w:tcW w:w="630" w:type="dxa"/>
            <w:tcBorders>
              <w:top w:val="single" w:sz="18" w:space="0" w:color="auto"/>
            </w:tcBorders>
            <w:shd w:val="clear" w:color="auto" w:fill="auto"/>
            <w:vAlign w:val="center"/>
          </w:tcPr>
          <w:p w14:paraId="57443ACF" w14:textId="5FF6A787" w:rsidR="00385B57" w:rsidRPr="00BD0018" w:rsidRDefault="00385B57" w:rsidP="002C0E39">
            <w:pPr>
              <w:spacing w:line="240" w:lineRule="auto"/>
              <w:jc w:val="center"/>
              <w:rPr>
                <w:rFonts w:ascii="Times New Roman" w:hAnsi="Times New Roman"/>
                <w:sz w:val="18"/>
                <w:szCs w:val="18"/>
              </w:rPr>
            </w:pPr>
            <w:r>
              <w:rPr>
                <w:rFonts w:ascii="Times New Roman" w:hAnsi="Times New Roman"/>
                <w:sz w:val="18"/>
                <w:szCs w:val="18"/>
              </w:rPr>
              <w:t>29</w:t>
            </w:r>
            <w:r w:rsidR="00AE1388">
              <w:rPr>
                <w:rFonts w:ascii="Times New Roman" w:hAnsi="Times New Roman"/>
                <w:sz w:val="18"/>
                <w:szCs w:val="18"/>
              </w:rPr>
              <w:t>6</w:t>
            </w:r>
            <w:r>
              <w:rPr>
                <w:rFonts w:ascii="Times New Roman" w:hAnsi="Times New Roman"/>
                <w:sz w:val="18"/>
                <w:szCs w:val="18"/>
              </w:rPr>
              <w:t>.5</w:t>
            </w:r>
          </w:p>
        </w:tc>
        <w:tc>
          <w:tcPr>
            <w:tcW w:w="630" w:type="dxa"/>
            <w:tcBorders>
              <w:top w:val="single" w:sz="18" w:space="0" w:color="auto"/>
            </w:tcBorders>
            <w:shd w:val="clear" w:color="auto" w:fill="auto"/>
            <w:vAlign w:val="center"/>
          </w:tcPr>
          <w:p w14:paraId="6F90F801" w14:textId="3D9913FB" w:rsidR="00385B57" w:rsidRPr="00BD0018" w:rsidRDefault="00385B57" w:rsidP="00AE1388">
            <w:pPr>
              <w:spacing w:line="240" w:lineRule="auto"/>
              <w:jc w:val="center"/>
              <w:rPr>
                <w:rFonts w:ascii="Times New Roman" w:hAnsi="Times New Roman"/>
                <w:sz w:val="18"/>
                <w:szCs w:val="18"/>
              </w:rPr>
            </w:pPr>
            <w:r>
              <w:rPr>
                <w:rFonts w:ascii="Times New Roman" w:hAnsi="Times New Roman"/>
                <w:sz w:val="18"/>
                <w:szCs w:val="18"/>
              </w:rPr>
              <w:t>30</w:t>
            </w:r>
            <w:r w:rsidR="00AE1388">
              <w:rPr>
                <w:rFonts w:ascii="Times New Roman" w:hAnsi="Times New Roman"/>
                <w:sz w:val="18"/>
                <w:szCs w:val="18"/>
              </w:rPr>
              <w:t>9</w:t>
            </w:r>
            <w:r>
              <w:rPr>
                <w:rFonts w:ascii="Times New Roman" w:hAnsi="Times New Roman"/>
                <w:sz w:val="18"/>
                <w:szCs w:val="18"/>
              </w:rPr>
              <w:t>.5</w:t>
            </w:r>
          </w:p>
        </w:tc>
        <w:tc>
          <w:tcPr>
            <w:tcW w:w="630" w:type="dxa"/>
            <w:tcBorders>
              <w:top w:val="single" w:sz="18" w:space="0" w:color="auto"/>
            </w:tcBorders>
            <w:shd w:val="clear" w:color="auto" w:fill="auto"/>
            <w:vAlign w:val="center"/>
          </w:tcPr>
          <w:p w14:paraId="27873247" w14:textId="1DBE8C71" w:rsidR="00385B57" w:rsidRPr="00BD0018" w:rsidRDefault="00385B57" w:rsidP="007900E4">
            <w:pPr>
              <w:spacing w:line="240" w:lineRule="auto"/>
              <w:jc w:val="center"/>
              <w:rPr>
                <w:rFonts w:ascii="Times New Roman" w:hAnsi="Times New Roman"/>
                <w:sz w:val="18"/>
                <w:szCs w:val="18"/>
              </w:rPr>
            </w:pPr>
            <w:r>
              <w:rPr>
                <w:rFonts w:ascii="Times New Roman" w:hAnsi="Times New Roman"/>
                <w:sz w:val="18"/>
                <w:szCs w:val="18"/>
              </w:rPr>
              <w:t>3</w:t>
            </w:r>
            <w:r w:rsidR="007900E4">
              <w:rPr>
                <w:rFonts w:ascii="Times New Roman" w:hAnsi="Times New Roman"/>
                <w:sz w:val="18"/>
                <w:szCs w:val="18"/>
              </w:rPr>
              <w:t>51</w:t>
            </w:r>
            <w:r>
              <w:rPr>
                <w:rFonts w:ascii="Times New Roman" w:hAnsi="Times New Roman"/>
                <w:sz w:val="18"/>
                <w:szCs w:val="18"/>
              </w:rPr>
              <w:t>.5</w:t>
            </w:r>
          </w:p>
        </w:tc>
        <w:tc>
          <w:tcPr>
            <w:tcW w:w="630" w:type="dxa"/>
            <w:tcBorders>
              <w:top w:val="single" w:sz="18" w:space="0" w:color="auto"/>
            </w:tcBorders>
            <w:shd w:val="clear" w:color="auto" w:fill="auto"/>
            <w:vAlign w:val="center"/>
          </w:tcPr>
          <w:p w14:paraId="08A0A7A3" w14:textId="427E1EF4" w:rsidR="00385B57" w:rsidRPr="00BD0018" w:rsidRDefault="00385B57" w:rsidP="007900E4">
            <w:pPr>
              <w:spacing w:line="240" w:lineRule="auto"/>
              <w:jc w:val="center"/>
              <w:rPr>
                <w:rFonts w:ascii="Times New Roman" w:hAnsi="Times New Roman"/>
                <w:sz w:val="18"/>
                <w:szCs w:val="18"/>
              </w:rPr>
            </w:pPr>
            <w:r>
              <w:rPr>
                <w:rFonts w:ascii="Times New Roman" w:hAnsi="Times New Roman"/>
                <w:sz w:val="18"/>
                <w:szCs w:val="18"/>
              </w:rPr>
              <w:t>3</w:t>
            </w:r>
            <w:r w:rsidR="007900E4">
              <w:rPr>
                <w:rFonts w:ascii="Times New Roman" w:hAnsi="Times New Roman"/>
                <w:sz w:val="18"/>
                <w:szCs w:val="18"/>
              </w:rPr>
              <w:t>93</w:t>
            </w:r>
            <w:r>
              <w:rPr>
                <w:rFonts w:ascii="Times New Roman" w:hAnsi="Times New Roman"/>
                <w:sz w:val="18"/>
                <w:szCs w:val="18"/>
              </w:rPr>
              <w:t>.5</w:t>
            </w:r>
          </w:p>
        </w:tc>
        <w:tc>
          <w:tcPr>
            <w:tcW w:w="540" w:type="dxa"/>
            <w:tcBorders>
              <w:top w:val="single" w:sz="18" w:space="0" w:color="auto"/>
            </w:tcBorders>
            <w:shd w:val="clear" w:color="auto" w:fill="auto"/>
            <w:vAlign w:val="center"/>
          </w:tcPr>
          <w:p w14:paraId="164BC387" w14:textId="77777777" w:rsidR="00385B57" w:rsidRPr="00BD0018" w:rsidRDefault="00385B57" w:rsidP="00B67553">
            <w:pPr>
              <w:spacing w:line="240" w:lineRule="auto"/>
              <w:jc w:val="center"/>
              <w:rPr>
                <w:rFonts w:ascii="Times New Roman" w:hAnsi="Times New Roman"/>
                <w:sz w:val="18"/>
                <w:szCs w:val="18"/>
                <w:highlight w:val="yellow"/>
              </w:rPr>
            </w:pPr>
          </w:p>
        </w:tc>
        <w:tc>
          <w:tcPr>
            <w:tcW w:w="628" w:type="dxa"/>
            <w:tcBorders>
              <w:top w:val="single" w:sz="18" w:space="0" w:color="auto"/>
            </w:tcBorders>
            <w:shd w:val="clear" w:color="auto" w:fill="auto"/>
            <w:vAlign w:val="center"/>
          </w:tcPr>
          <w:p w14:paraId="7398C511" w14:textId="77777777" w:rsidR="00385B57" w:rsidRPr="00BD0018" w:rsidRDefault="00385B57" w:rsidP="00B67553">
            <w:pPr>
              <w:spacing w:line="240" w:lineRule="auto"/>
              <w:jc w:val="center"/>
              <w:rPr>
                <w:rFonts w:ascii="Times New Roman" w:hAnsi="Times New Roman"/>
                <w:sz w:val="18"/>
                <w:szCs w:val="18"/>
                <w:highlight w:val="yellow"/>
              </w:rPr>
            </w:pPr>
          </w:p>
        </w:tc>
        <w:tc>
          <w:tcPr>
            <w:tcW w:w="735" w:type="dxa"/>
            <w:tcBorders>
              <w:top w:val="single" w:sz="18" w:space="0" w:color="auto"/>
            </w:tcBorders>
            <w:shd w:val="clear" w:color="auto" w:fill="auto"/>
            <w:vAlign w:val="center"/>
          </w:tcPr>
          <w:p w14:paraId="46CD11C4" w14:textId="073376C1" w:rsidR="00385B57" w:rsidRPr="00BD0018" w:rsidRDefault="00385B57" w:rsidP="007900E4">
            <w:pPr>
              <w:spacing w:line="240" w:lineRule="auto"/>
              <w:jc w:val="center"/>
              <w:rPr>
                <w:rFonts w:ascii="Times New Roman" w:hAnsi="Times New Roman"/>
                <w:sz w:val="18"/>
                <w:szCs w:val="18"/>
              </w:rPr>
            </w:pPr>
            <w:r>
              <w:rPr>
                <w:rFonts w:ascii="Times New Roman" w:hAnsi="Times New Roman"/>
                <w:sz w:val="18"/>
                <w:szCs w:val="18"/>
              </w:rPr>
              <w:t>43</w:t>
            </w:r>
            <w:r w:rsidR="007900E4">
              <w:rPr>
                <w:rFonts w:ascii="Times New Roman" w:hAnsi="Times New Roman"/>
                <w:sz w:val="18"/>
                <w:szCs w:val="18"/>
              </w:rPr>
              <w:t>8</w:t>
            </w:r>
          </w:p>
        </w:tc>
      </w:tr>
    </w:tbl>
    <w:p w14:paraId="3D01ABEE" w14:textId="77777777" w:rsidR="00E433E6" w:rsidRDefault="00E433E6" w:rsidP="00DB7C63"/>
    <w:p w14:paraId="6F328181" w14:textId="77777777" w:rsidR="000E0D7E" w:rsidRPr="000B0D03" w:rsidRDefault="00A95DD1" w:rsidP="004D51B7">
      <w:pPr>
        <w:ind w:left="1080"/>
        <w:rPr>
          <w:rFonts w:ascii="Times New Roman" w:hAnsi="Times New Roman"/>
          <w:sz w:val="20"/>
        </w:rPr>
      </w:pPr>
      <w:r w:rsidRPr="000B0D03">
        <w:rPr>
          <w:rFonts w:ascii="Times New Roman" w:hAnsi="Times New Roman"/>
          <w:sz w:val="20"/>
          <w:vertAlign w:val="superscript"/>
        </w:rPr>
        <w:t>1</w:t>
      </w:r>
      <w:r w:rsidR="003A3E07" w:rsidRPr="000B0D03">
        <w:rPr>
          <w:rFonts w:ascii="Times New Roman" w:hAnsi="Times New Roman"/>
          <w:sz w:val="20"/>
          <w:vertAlign w:val="superscript"/>
        </w:rPr>
        <w:t xml:space="preserve"> </w:t>
      </w:r>
      <w:r w:rsidRPr="000B0D03">
        <w:rPr>
          <w:rFonts w:ascii="Times New Roman" w:hAnsi="Times New Roman"/>
          <w:sz w:val="20"/>
        </w:rPr>
        <w:t>I</w:t>
      </w:r>
      <w:r w:rsidR="00234D03" w:rsidRPr="000B0D03">
        <w:rPr>
          <w:rFonts w:ascii="Times New Roman" w:hAnsi="Times New Roman"/>
          <w:sz w:val="20"/>
        </w:rPr>
        <w:t>ncludes CRP at baseline only</w:t>
      </w:r>
      <w:r w:rsidRPr="000B0D03">
        <w:rPr>
          <w:rFonts w:ascii="Times New Roman" w:hAnsi="Times New Roman"/>
          <w:sz w:val="20"/>
        </w:rPr>
        <w:t>.</w:t>
      </w:r>
      <w:r w:rsidR="004D51B7" w:rsidRPr="000B0D03">
        <w:rPr>
          <w:rFonts w:ascii="Times New Roman" w:hAnsi="Times New Roman"/>
          <w:sz w:val="20"/>
        </w:rPr>
        <w:t xml:space="preserve"> </w:t>
      </w:r>
    </w:p>
    <w:p w14:paraId="080C507F" w14:textId="5B1F2919" w:rsidR="003A3E07" w:rsidRPr="000B0D03" w:rsidRDefault="000E0D7E" w:rsidP="004D51B7">
      <w:pPr>
        <w:ind w:left="1080"/>
        <w:rPr>
          <w:rFonts w:ascii="Times New Roman" w:hAnsi="Times New Roman"/>
          <w:sz w:val="20"/>
        </w:rPr>
      </w:pPr>
      <w:r w:rsidRPr="000B0D03">
        <w:rPr>
          <w:rFonts w:ascii="Times New Roman" w:hAnsi="Times New Roman"/>
          <w:sz w:val="20"/>
          <w:vertAlign w:val="superscript"/>
        </w:rPr>
        <w:t xml:space="preserve">2 </w:t>
      </w:r>
      <w:r w:rsidR="005966A7" w:rsidRPr="000B0D03">
        <w:rPr>
          <w:rFonts w:ascii="Times New Roman" w:hAnsi="Times New Roman"/>
          <w:sz w:val="20"/>
        </w:rPr>
        <w:t xml:space="preserve">HIV serology only if discordant rapid HIV test. </w:t>
      </w:r>
      <w:r w:rsidRPr="000B0D03">
        <w:rPr>
          <w:rFonts w:ascii="Times New Roman" w:hAnsi="Times New Roman"/>
          <w:sz w:val="20"/>
        </w:rPr>
        <w:t>βHCG at screening only</w:t>
      </w:r>
      <w:r w:rsidR="0056589D" w:rsidRPr="000B0D03">
        <w:rPr>
          <w:rFonts w:ascii="Times New Roman" w:hAnsi="Times New Roman"/>
          <w:sz w:val="20"/>
        </w:rPr>
        <w:t xml:space="preserve"> </w:t>
      </w:r>
      <w:r w:rsidR="00463A85" w:rsidRPr="000B0D03">
        <w:rPr>
          <w:rFonts w:ascii="Times New Roman" w:hAnsi="Times New Roman"/>
          <w:sz w:val="20"/>
        </w:rPr>
        <w:t>for</w:t>
      </w:r>
      <w:r w:rsidR="00B6316B" w:rsidRPr="000B0D03">
        <w:rPr>
          <w:rFonts w:ascii="Times New Roman" w:hAnsi="Times New Roman"/>
          <w:sz w:val="20"/>
        </w:rPr>
        <w:t xml:space="preserve"> females of child be</w:t>
      </w:r>
      <w:r w:rsidR="0056589D" w:rsidRPr="000B0D03">
        <w:rPr>
          <w:rFonts w:ascii="Times New Roman" w:hAnsi="Times New Roman"/>
          <w:sz w:val="20"/>
        </w:rPr>
        <w:t>a</w:t>
      </w:r>
      <w:r w:rsidR="00B6316B" w:rsidRPr="000B0D03">
        <w:rPr>
          <w:rFonts w:ascii="Times New Roman" w:hAnsi="Times New Roman"/>
          <w:sz w:val="20"/>
        </w:rPr>
        <w:t>ring potential</w:t>
      </w:r>
    </w:p>
    <w:p w14:paraId="3C92A64E" w14:textId="0F2998D5" w:rsidR="003A3E07" w:rsidRPr="000B0D03" w:rsidRDefault="000E0D7E" w:rsidP="004D51B7">
      <w:pPr>
        <w:ind w:left="1080"/>
        <w:rPr>
          <w:rFonts w:ascii="Times New Roman" w:hAnsi="Times New Roman"/>
          <w:sz w:val="20"/>
        </w:rPr>
      </w:pPr>
      <w:r w:rsidRPr="000B0D03">
        <w:rPr>
          <w:rFonts w:ascii="Times New Roman" w:hAnsi="Times New Roman"/>
          <w:sz w:val="20"/>
          <w:vertAlign w:val="superscript"/>
        </w:rPr>
        <w:t>3</w:t>
      </w:r>
      <w:r w:rsidRPr="000B0D03">
        <w:rPr>
          <w:rFonts w:ascii="Times New Roman" w:hAnsi="Times New Roman"/>
          <w:sz w:val="20"/>
        </w:rPr>
        <w:t xml:space="preserve"> HIV PCR </w:t>
      </w:r>
      <w:r w:rsidR="008F36F2">
        <w:rPr>
          <w:rFonts w:ascii="Times New Roman" w:hAnsi="Times New Roman"/>
          <w:sz w:val="20"/>
        </w:rPr>
        <w:t xml:space="preserve">and gene signatures </w:t>
      </w:r>
      <w:r w:rsidRPr="000B0D03">
        <w:rPr>
          <w:rFonts w:ascii="Times New Roman" w:hAnsi="Times New Roman"/>
          <w:sz w:val="20"/>
        </w:rPr>
        <w:t>i</w:t>
      </w:r>
      <w:r w:rsidR="003400EE" w:rsidRPr="000B0D03">
        <w:rPr>
          <w:rFonts w:ascii="Times New Roman" w:hAnsi="Times New Roman"/>
          <w:sz w:val="20"/>
        </w:rPr>
        <w:t>n cases o</w:t>
      </w:r>
      <w:r w:rsidR="004D51B7" w:rsidRPr="000B0D03">
        <w:rPr>
          <w:rFonts w:ascii="Times New Roman" w:hAnsi="Times New Roman"/>
          <w:sz w:val="20"/>
        </w:rPr>
        <w:t>f TB recurrence.</w:t>
      </w:r>
      <w:r w:rsidR="00B54867" w:rsidRPr="000B0D03">
        <w:rPr>
          <w:rFonts w:ascii="Times New Roman" w:hAnsi="Times New Roman"/>
          <w:sz w:val="20"/>
        </w:rPr>
        <w:t xml:space="preserve"> </w:t>
      </w:r>
    </w:p>
    <w:p w14:paraId="1E43B857" w14:textId="7245F415" w:rsidR="00234D03" w:rsidRPr="000B0D03" w:rsidRDefault="000E0D7E" w:rsidP="004D51B7">
      <w:pPr>
        <w:ind w:left="1080"/>
        <w:rPr>
          <w:rFonts w:ascii="Times New Roman" w:hAnsi="Times New Roman"/>
          <w:sz w:val="20"/>
        </w:rPr>
      </w:pPr>
      <w:r w:rsidRPr="000B0D03">
        <w:rPr>
          <w:rFonts w:ascii="Times New Roman" w:hAnsi="Times New Roman"/>
          <w:b/>
          <w:sz w:val="20"/>
          <w:vertAlign w:val="superscript"/>
        </w:rPr>
        <w:t>4</w:t>
      </w:r>
      <w:r w:rsidRPr="000B0D03">
        <w:rPr>
          <w:rFonts w:ascii="Times New Roman" w:hAnsi="Times New Roman"/>
          <w:sz w:val="20"/>
        </w:rPr>
        <w:t xml:space="preserve"> </w:t>
      </w:r>
      <w:r w:rsidR="00234D03" w:rsidRPr="000B0D03">
        <w:rPr>
          <w:rFonts w:ascii="Times New Roman" w:hAnsi="Times New Roman"/>
          <w:sz w:val="20"/>
        </w:rPr>
        <w:t xml:space="preserve">Includes additional 2.5 mL to be banked for autoimmune testing if indicated. </w:t>
      </w:r>
    </w:p>
    <w:p w14:paraId="2CD15506" w14:textId="607E6512" w:rsidR="00A95DD1" w:rsidRDefault="000E0D7E" w:rsidP="004D51B7">
      <w:pPr>
        <w:ind w:left="1080"/>
        <w:rPr>
          <w:rFonts w:ascii="Times New Roman" w:hAnsi="Times New Roman"/>
          <w:sz w:val="20"/>
        </w:rPr>
      </w:pPr>
      <w:r w:rsidRPr="000B0D03">
        <w:rPr>
          <w:rFonts w:ascii="Times New Roman" w:hAnsi="Times New Roman"/>
          <w:sz w:val="20"/>
          <w:vertAlign w:val="superscript"/>
        </w:rPr>
        <w:t>5</w:t>
      </w:r>
      <w:r w:rsidR="007E2EDF" w:rsidRPr="000B0D03">
        <w:rPr>
          <w:rFonts w:ascii="Times New Roman" w:hAnsi="Times New Roman"/>
          <w:sz w:val="20"/>
          <w:vertAlign w:val="superscript"/>
        </w:rPr>
        <w:t xml:space="preserve"> </w:t>
      </w:r>
      <w:r w:rsidR="00234D03" w:rsidRPr="000B0D03">
        <w:rPr>
          <w:rFonts w:ascii="Times New Roman" w:hAnsi="Times New Roman"/>
          <w:sz w:val="20"/>
        </w:rPr>
        <w:t xml:space="preserve">Excluding footnote </w:t>
      </w:r>
      <w:r w:rsidRPr="000B0D03">
        <w:rPr>
          <w:rFonts w:ascii="Times New Roman" w:hAnsi="Times New Roman"/>
          <w:sz w:val="20"/>
          <w:vertAlign w:val="superscript"/>
        </w:rPr>
        <w:t>3</w:t>
      </w:r>
      <w:r w:rsidRPr="000B0D03">
        <w:rPr>
          <w:rFonts w:ascii="Times New Roman" w:hAnsi="Times New Roman"/>
          <w:sz w:val="20"/>
        </w:rPr>
        <w:t xml:space="preserve"> </w:t>
      </w:r>
      <w:r w:rsidR="00234D03" w:rsidRPr="000B0D03">
        <w:rPr>
          <w:rFonts w:ascii="Times New Roman" w:hAnsi="Times New Roman"/>
          <w:sz w:val="20"/>
        </w:rPr>
        <w:t>volumes.</w:t>
      </w:r>
    </w:p>
    <w:p w14:paraId="65D8EBB1" w14:textId="3BD6D248" w:rsidR="00385B57" w:rsidRPr="00F04064" w:rsidRDefault="00385B57" w:rsidP="004D51B7">
      <w:pPr>
        <w:ind w:left="1080"/>
        <w:rPr>
          <w:rFonts w:cs="Arial"/>
          <w:i/>
          <w:sz w:val="18"/>
          <w:szCs w:val="18"/>
        </w:rPr>
        <w:sectPr w:rsidR="00385B57" w:rsidRPr="00F04064" w:rsidSect="009B0277">
          <w:endnotePr>
            <w:numFmt w:val="decimal"/>
          </w:endnotePr>
          <w:pgSz w:w="15840" w:h="12240" w:orient="landscape" w:code="1"/>
          <w:pgMar w:top="1440" w:right="1440" w:bottom="1440" w:left="1440" w:header="1152" w:footer="864" w:gutter="0"/>
          <w:cols w:space="720"/>
          <w:noEndnote/>
          <w:docGrid w:linePitch="360"/>
        </w:sectPr>
      </w:pPr>
      <w:r w:rsidRPr="000A0071">
        <w:rPr>
          <w:rFonts w:ascii="Times New Roman" w:hAnsi="Times New Roman"/>
          <w:sz w:val="18"/>
          <w:szCs w:val="18"/>
          <w:shd w:val="clear" w:color="auto" w:fill="FFFF00"/>
        </w:rPr>
        <w:t>NOTE:</w:t>
      </w:r>
      <w:r>
        <w:rPr>
          <w:rFonts w:ascii="Times New Roman" w:hAnsi="Times New Roman"/>
          <w:sz w:val="18"/>
          <w:szCs w:val="18"/>
        </w:rPr>
        <w:t xml:space="preserve"> </w:t>
      </w:r>
      <w:r w:rsidRPr="004838A4">
        <w:rPr>
          <w:rFonts w:ascii="Times New Roman" w:hAnsi="Times New Roman"/>
          <w:sz w:val="18"/>
          <w:szCs w:val="18"/>
          <w:shd w:val="clear" w:color="auto" w:fill="FFFF00"/>
        </w:rPr>
        <w:t xml:space="preserve">Yellow denotes Cohort 3 </w:t>
      </w:r>
      <w:r>
        <w:rPr>
          <w:rFonts w:ascii="Times New Roman" w:hAnsi="Times New Roman"/>
          <w:sz w:val="18"/>
          <w:szCs w:val="18"/>
          <w:shd w:val="clear" w:color="auto" w:fill="FFFF00"/>
        </w:rPr>
        <w:t>only visits and pr</w:t>
      </w:r>
      <w:r w:rsidRPr="004838A4">
        <w:rPr>
          <w:rFonts w:ascii="Times New Roman" w:hAnsi="Times New Roman"/>
          <w:sz w:val="18"/>
          <w:szCs w:val="18"/>
          <w:shd w:val="clear" w:color="auto" w:fill="FFFF00"/>
        </w:rPr>
        <w:t>ocedures</w:t>
      </w:r>
    </w:p>
    <w:p w14:paraId="7B367B5A" w14:textId="40A9947F" w:rsidR="00DB7C63" w:rsidRPr="005E13C1" w:rsidRDefault="001B50A7" w:rsidP="005E13C1">
      <w:pPr>
        <w:pStyle w:val="Heading1"/>
        <w:numPr>
          <w:ilvl w:val="0"/>
          <w:numId w:val="0"/>
        </w:numPr>
        <w:spacing w:before="0" w:line="240" w:lineRule="auto"/>
        <w:jc w:val="center"/>
        <w:rPr>
          <w:caps w:val="0"/>
        </w:rPr>
      </w:pPr>
      <w:bookmarkStart w:id="512" w:name="_Ref387336015"/>
      <w:bookmarkStart w:id="513" w:name="_Ref389468943"/>
      <w:bookmarkStart w:id="514" w:name="_Toc389130060"/>
      <w:bookmarkStart w:id="515" w:name="_Toc389130119"/>
      <w:bookmarkStart w:id="516" w:name="_Toc440906363"/>
      <w:r w:rsidRPr="005E13C1">
        <w:rPr>
          <w:caps w:val="0"/>
          <w:sz w:val="22"/>
          <w:szCs w:val="22"/>
        </w:rPr>
        <w:t>Appendix</w:t>
      </w:r>
      <w:bookmarkEnd w:id="512"/>
      <w:r w:rsidRPr="005E13C1">
        <w:rPr>
          <w:caps w:val="0"/>
          <w:sz w:val="22"/>
          <w:szCs w:val="22"/>
        </w:rPr>
        <w:t xml:space="preserve"> </w:t>
      </w:r>
      <w:r w:rsidR="00347B69" w:rsidRPr="005E13C1">
        <w:rPr>
          <w:caps w:val="0"/>
          <w:sz w:val="22"/>
          <w:szCs w:val="22"/>
        </w:rPr>
        <w:fldChar w:fldCharType="begin"/>
      </w:r>
      <w:r w:rsidR="00347B69" w:rsidRPr="005E13C1">
        <w:rPr>
          <w:caps w:val="0"/>
          <w:sz w:val="22"/>
          <w:szCs w:val="22"/>
        </w:rPr>
        <w:instrText xml:space="preserve"> SEQ Appendix \* ARABIC </w:instrText>
      </w:r>
      <w:r w:rsidR="00347B69" w:rsidRPr="005E13C1">
        <w:rPr>
          <w:caps w:val="0"/>
          <w:sz w:val="22"/>
          <w:szCs w:val="22"/>
        </w:rPr>
        <w:fldChar w:fldCharType="separate"/>
      </w:r>
      <w:r w:rsidR="00024E24">
        <w:rPr>
          <w:caps w:val="0"/>
          <w:noProof/>
          <w:sz w:val="22"/>
          <w:szCs w:val="22"/>
        </w:rPr>
        <w:t>3</w:t>
      </w:r>
      <w:r w:rsidR="00347B69" w:rsidRPr="005E13C1">
        <w:rPr>
          <w:caps w:val="0"/>
          <w:noProof/>
          <w:sz w:val="22"/>
          <w:szCs w:val="22"/>
        </w:rPr>
        <w:fldChar w:fldCharType="end"/>
      </w:r>
      <w:bookmarkEnd w:id="513"/>
      <w:r w:rsidRPr="005E13C1">
        <w:rPr>
          <w:caps w:val="0"/>
          <w:sz w:val="22"/>
          <w:szCs w:val="22"/>
        </w:rPr>
        <w:t xml:space="preserve">: Schedule </w:t>
      </w:r>
      <w:r w:rsidR="008A360D">
        <w:rPr>
          <w:caps w:val="0"/>
          <w:sz w:val="22"/>
          <w:szCs w:val="22"/>
        </w:rPr>
        <w:t xml:space="preserve">of </w:t>
      </w:r>
      <w:r w:rsidR="00FF5478">
        <w:rPr>
          <w:caps w:val="0"/>
          <w:sz w:val="22"/>
          <w:szCs w:val="22"/>
        </w:rPr>
        <w:t>physical exam, directed physical exam</w:t>
      </w:r>
      <w:r w:rsidR="008A360D">
        <w:rPr>
          <w:caps w:val="0"/>
          <w:sz w:val="22"/>
          <w:szCs w:val="22"/>
        </w:rPr>
        <w:t xml:space="preserve">, TB </w:t>
      </w:r>
      <w:r w:rsidR="00FF5478">
        <w:rPr>
          <w:caps w:val="0"/>
          <w:sz w:val="22"/>
          <w:szCs w:val="22"/>
        </w:rPr>
        <w:t>sc</w:t>
      </w:r>
      <w:r w:rsidR="008A360D">
        <w:rPr>
          <w:caps w:val="0"/>
          <w:sz w:val="22"/>
          <w:szCs w:val="22"/>
        </w:rPr>
        <w:t xml:space="preserve">reen and </w:t>
      </w:r>
      <w:r w:rsidRPr="005E13C1">
        <w:rPr>
          <w:caps w:val="0"/>
          <w:sz w:val="22"/>
          <w:szCs w:val="22"/>
        </w:rPr>
        <w:t>sputum sampling tests</w:t>
      </w:r>
      <w:bookmarkEnd w:id="514"/>
      <w:bookmarkEnd w:id="515"/>
      <w:bookmarkEnd w:id="516"/>
    </w:p>
    <w:p w14:paraId="5795E598" w14:textId="64F2E5AA" w:rsidR="006855F1" w:rsidRPr="007020D4" w:rsidRDefault="006855F1">
      <w:pPr>
        <w:spacing w:line="240" w:lineRule="auto"/>
        <w:rPr>
          <w:rFonts w:ascii="Times New Roman" w:hAnsi="Times New Roman"/>
          <w:b/>
          <w:cap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1662"/>
        <w:gridCol w:w="809"/>
        <w:gridCol w:w="900"/>
        <w:gridCol w:w="814"/>
        <w:gridCol w:w="629"/>
        <w:gridCol w:w="449"/>
        <w:gridCol w:w="540"/>
        <w:gridCol w:w="540"/>
        <w:gridCol w:w="540"/>
        <w:gridCol w:w="451"/>
        <w:gridCol w:w="449"/>
        <w:gridCol w:w="451"/>
        <w:gridCol w:w="540"/>
        <w:gridCol w:w="449"/>
        <w:gridCol w:w="540"/>
        <w:gridCol w:w="629"/>
        <w:gridCol w:w="540"/>
        <w:gridCol w:w="731"/>
        <w:gridCol w:w="723"/>
        <w:gridCol w:w="660"/>
      </w:tblGrid>
      <w:tr w:rsidR="00385B57" w:rsidRPr="00596F94" w14:paraId="744F63E2" w14:textId="77777777" w:rsidTr="00B67553">
        <w:trPr>
          <w:trHeight w:val="288"/>
        </w:trPr>
        <w:tc>
          <w:tcPr>
            <w:tcW w:w="637" w:type="pct"/>
            <w:vMerge w:val="restart"/>
            <w:tcBorders>
              <w:top w:val="double" w:sz="4" w:space="0" w:color="auto"/>
              <w:left w:val="double" w:sz="4" w:space="0" w:color="auto"/>
              <w:right w:val="double" w:sz="4" w:space="0" w:color="auto"/>
            </w:tcBorders>
            <w:shd w:val="clear" w:color="auto" w:fill="E0E0E0"/>
            <w:vAlign w:val="center"/>
          </w:tcPr>
          <w:p w14:paraId="50900537" w14:textId="77777777" w:rsidR="00385B57" w:rsidRPr="00596F94" w:rsidRDefault="00385B57" w:rsidP="00B67553">
            <w:pPr>
              <w:keepNext/>
              <w:spacing w:line="240" w:lineRule="auto"/>
              <w:rPr>
                <w:rFonts w:ascii="Times New Roman" w:hAnsi="Times New Roman"/>
                <w:b/>
                <w:sz w:val="20"/>
              </w:rPr>
            </w:pPr>
          </w:p>
        </w:tc>
        <w:tc>
          <w:tcPr>
            <w:tcW w:w="967" w:type="pct"/>
            <w:gridSpan w:val="3"/>
            <w:tcBorders>
              <w:top w:val="double" w:sz="4" w:space="0" w:color="auto"/>
              <w:left w:val="double" w:sz="4" w:space="0" w:color="auto"/>
              <w:bottom w:val="single" w:sz="4" w:space="0" w:color="auto"/>
              <w:right w:val="double" w:sz="4" w:space="0" w:color="auto"/>
            </w:tcBorders>
            <w:shd w:val="clear" w:color="auto" w:fill="F2F2F2" w:themeFill="background1" w:themeFillShade="F2"/>
            <w:vAlign w:val="center"/>
          </w:tcPr>
          <w:p w14:paraId="4024F33C" w14:textId="77777777" w:rsidR="00385B57" w:rsidRPr="00596F94" w:rsidRDefault="00385B57" w:rsidP="00B67553">
            <w:pPr>
              <w:keepNext/>
              <w:spacing w:line="240" w:lineRule="auto"/>
              <w:jc w:val="center"/>
              <w:rPr>
                <w:rFonts w:ascii="Times New Roman" w:hAnsi="Times New Roman"/>
                <w:b/>
                <w:sz w:val="20"/>
              </w:rPr>
            </w:pPr>
            <w:r w:rsidRPr="00596F94">
              <w:rPr>
                <w:rFonts w:ascii="Times New Roman" w:hAnsi="Times New Roman"/>
                <w:b/>
                <w:sz w:val="20"/>
              </w:rPr>
              <w:t>Screening</w:t>
            </w:r>
          </w:p>
        </w:tc>
        <w:tc>
          <w:tcPr>
            <w:tcW w:w="2586" w:type="pct"/>
            <w:gridSpan w:val="13"/>
            <w:vMerge w:val="restart"/>
            <w:tcBorders>
              <w:top w:val="double" w:sz="4" w:space="0" w:color="auto"/>
              <w:left w:val="double" w:sz="4" w:space="0" w:color="auto"/>
              <w:right w:val="single" w:sz="2" w:space="0" w:color="auto"/>
            </w:tcBorders>
            <w:shd w:val="clear" w:color="auto" w:fill="E0E0E0"/>
            <w:vAlign w:val="center"/>
          </w:tcPr>
          <w:p w14:paraId="64941FFC" w14:textId="77777777" w:rsidR="00385B57" w:rsidRPr="00596F94" w:rsidRDefault="00385B57" w:rsidP="00B67553">
            <w:pPr>
              <w:keepNext/>
              <w:spacing w:line="240" w:lineRule="auto"/>
              <w:jc w:val="center"/>
              <w:rPr>
                <w:rFonts w:ascii="Times New Roman" w:hAnsi="Times New Roman"/>
                <w:b/>
                <w:sz w:val="20"/>
              </w:rPr>
            </w:pPr>
            <w:r w:rsidRPr="00596F94">
              <w:rPr>
                <w:rFonts w:ascii="Times New Roman" w:hAnsi="Times New Roman"/>
                <w:b/>
                <w:sz w:val="20"/>
              </w:rPr>
              <w:t>Schedule for Study Injection Phase</w:t>
            </w:r>
          </w:p>
        </w:tc>
        <w:tc>
          <w:tcPr>
            <w:tcW w:w="810" w:type="pct"/>
            <w:gridSpan w:val="3"/>
            <w:vMerge w:val="restart"/>
            <w:tcBorders>
              <w:top w:val="double" w:sz="4" w:space="0" w:color="auto"/>
              <w:right w:val="double" w:sz="4" w:space="0" w:color="auto"/>
            </w:tcBorders>
            <w:shd w:val="clear" w:color="auto" w:fill="F3F3F3"/>
            <w:vAlign w:val="center"/>
          </w:tcPr>
          <w:p w14:paraId="219BE290" w14:textId="77777777" w:rsidR="00385B57" w:rsidRPr="00596F94" w:rsidRDefault="00385B57" w:rsidP="00B67553">
            <w:pPr>
              <w:keepNext/>
              <w:spacing w:line="240" w:lineRule="auto"/>
              <w:jc w:val="center"/>
              <w:rPr>
                <w:rFonts w:ascii="Times New Roman" w:hAnsi="Times New Roman"/>
                <w:b/>
                <w:sz w:val="20"/>
              </w:rPr>
            </w:pPr>
            <w:r w:rsidRPr="00596F94">
              <w:rPr>
                <w:rFonts w:ascii="Times New Roman" w:hAnsi="Times New Roman"/>
                <w:b/>
                <w:sz w:val="20"/>
              </w:rPr>
              <w:t>Follow-up Visits</w:t>
            </w:r>
          </w:p>
        </w:tc>
      </w:tr>
      <w:tr w:rsidR="00385B57" w:rsidRPr="00596F94" w14:paraId="585772D3" w14:textId="77777777" w:rsidTr="00B67553">
        <w:trPr>
          <w:trHeight w:val="288"/>
        </w:trPr>
        <w:tc>
          <w:tcPr>
            <w:tcW w:w="637" w:type="pct"/>
            <w:vMerge/>
            <w:tcBorders>
              <w:left w:val="double" w:sz="4" w:space="0" w:color="auto"/>
              <w:bottom w:val="nil"/>
              <w:right w:val="double" w:sz="4" w:space="0" w:color="auto"/>
            </w:tcBorders>
            <w:shd w:val="clear" w:color="auto" w:fill="E0E0E0"/>
            <w:vAlign w:val="center"/>
          </w:tcPr>
          <w:p w14:paraId="24B7D06F" w14:textId="77777777" w:rsidR="00385B57" w:rsidRPr="00596F94" w:rsidRDefault="00385B57" w:rsidP="00B67553">
            <w:pPr>
              <w:keepNext/>
              <w:spacing w:line="240" w:lineRule="auto"/>
              <w:rPr>
                <w:rFonts w:ascii="Times New Roman" w:hAnsi="Times New Roman"/>
                <w:b/>
                <w:sz w:val="20"/>
              </w:rPr>
            </w:pPr>
          </w:p>
        </w:tc>
        <w:tc>
          <w:tcPr>
            <w:tcW w:w="310" w:type="pct"/>
            <w:tcBorders>
              <w:top w:val="single" w:sz="4" w:space="0" w:color="auto"/>
              <w:left w:val="double" w:sz="4" w:space="0" w:color="auto"/>
              <w:right w:val="single" w:sz="4" w:space="0" w:color="auto"/>
            </w:tcBorders>
            <w:shd w:val="clear" w:color="auto" w:fill="F2F2F2" w:themeFill="background1" w:themeFillShade="F2"/>
            <w:vAlign w:val="center"/>
          </w:tcPr>
          <w:p w14:paraId="3AC40B6A" w14:textId="77777777" w:rsidR="00385B57" w:rsidRPr="00596F94" w:rsidRDefault="00385B57" w:rsidP="00B67553">
            <w:pPr>
              <w:keepNext/>
              <w:spacing w:line="240" w:lineRule="auto"/>
              <w:jc w:val="center"/>
              <w:rPr>
                <w:rFonts w:ascii="Times New Roman" w:hAnsi="Times New Roman"/>
                <w:b/>
                <w:sz w:val="20"/>
              </w:rPr>
            </w:pPr>
            <w:r w:rsidRPr="00596F94">
              <w:rPr>
                <w:rFonts w:ascii="Times New Roman" w:hAnsi="Times New Roman"/>
                <w:b/>
                <w:sz w:val="20"/>
              </w:rPr>
              <w:t>1</w:t>
            </w:r>
            <w:r w:rsidRPr="00596F94">
              <w:rPr>
                <w:rFonts w:ascii="Times New Roman" w:hAnsi="Times New Roman"/>
                <w:b/>
                <w:sz w:val="20"/>
                <w:vertAlign w:val="superscript"/>
              </w:rPr>
              <w:t>st</w:t>
            </w:r>
            <w:r w:rsidRPr="00596F94">
              <w:rPr>
                <w:rFonts w:ascii="Times New Roman" w:hAnsi="Times New Roman"/>
                <w:b/>
                <w:sz w:val="20"/>
              </w:rPr>
              <w:t xml:space="preserve"> Screen</w:t>
            </w:r>
          </w:p>
        </w:tc>
        <w:tc>
          <w:tcPr>
            <w:tcW w:w="34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DF6BA3A" w14:textId="77777777" w:rsidR="00385B57" w:rsidRPr="00596F94" w:rsidRDefault="00385B57" w:rsidP="00B67553">
            <w:pPr>
              <w:keepNext/>
              <w:spacing w:line="240" w:lineRule="auto"/>
              <w:jc w:val="center"/>
              <w:rPr>
                <w:rFonts w:ascii="Times New Roman" w:hAnsi="Times New Roman"/>
                <w:b/>
                <w:sz w:val="20"/>
              </w:rPr>
            </w:pPr>
            <w:r w:rsidRPr="00596F94">
              <w:rPr>
                <w:rFonts w:ascii="Times New Roman" w:hAnsi="Times New Roman"/>
                <w:b/>
                <w:sz w:val="20"/>
              </w:rPr>
              <w:t>2</w:t>
            </w:r>
            <w:r w:rsidRPr="00596F94">
              <w:rPr>
                <w:rFonts w:ascii="Times New Roman" w:hAnsi="Times New Roman"/>
                <w:b/>
                <w:sz w:val="20"/>
                <w:vertAlign w:val="superscript"/>
              </w:rPr>
              <w:t>nd</w:t>
            </w:r>
            <w:r w:rsidRPr="00596F94">
              <w:rPr>
                <w:rFonts w:ascii="Times New Roman" w:hAnsi="Times New Roman"/>
                <w:b/>
                <w:sz w:val="20"/>
              </w:rPr>
              <w:t xml:space="preserve"> Screen</w:t>
            </w:r>
          </w:p>
        </w:tc>
        <w:tc>
          <w:tcPr>
            <w:tcW w:w="312" w:type="pct"/>
            <w:tcBorders>
              <w:top w:val="single" w:sz="4" w:space="0" w:color="auto"/>
              <w:left w:val="single" w:sz="4" w:space="0" w:color="auto"/>
              <w:right w:val="double" w:sz="4" w:space="0" w:color="auto"/>
            </w:tcBorders>
            <w:shd w:val="clear" w:color="auto" w:fill="F2F2F2" w:themeFill="background1" w:themeFillShade="F2"/>
            <w:vAlign w:val="center"/>
          </w:tcPr>
          <w:p w14:paraId="4D52F8F1" w14:textId="77777777" w:rsidR="00385B57" w:rsidRPr="00596F94" w:rsidRDefault="00385B57" w:rsidP="00B67553">
            <w:pPr>
              <w:keepNext/>
              <w:spacing w:line="240" w:lineRule="auto"/>
              <w:jc w:val="center"/>
              <w:rPr>
                <w:rFonts w:ascii="Times New Roman" w:hAnsi="Times New Roman"/>
                <w:b/>
                <w:sz w:val="20"/>
              </w:rPr>
            </w:pPr>
            <w:r w:rsidRPr="00596F94">
              <w:rPr>
                <w:rFonts w:ascii="Times New Roman" w:hAnsi="Times New Roman"/>
                <w:b/>
                <w:sz w:val="20"/>
              </w:rPr>
              <w:t>3rd Screen</w:t>
            </w:r>
          </w:p>
        </w:tc>
        <w:tc>
          <w:tcPr>
            <w:tcW w:w="2586" w:type="pct"/>
            <w:gridSpan w:val="13"/>
            <w:vMerge/>
            <w:tcBorders>
              <w:left w:val="double" w:sz="4" w:space="0" w:color="auto"/>
              <w:right w:val="single" w:sz="2" w:space="0" w:color="auto"/>
            </w:tcBorders>
            <w:shd w:val="clear" w:color="auto" w:fill="E0E0E0"/>
            <w:vAlign w:val="center"/>
          </w:tcPr>
          <w:p w14:paraId="03252666" w14:textId="77777777" w:rsidR="00385B57" w:rsidRPr="00596F94" w:rsidRDefault="00385B57" w:rsidP="00B67553">
            <w:pPr>
              <w:keepNext/>
              <w:spacing w:line="240" w:lineRule="auto"/>
              <w:jc w:val="center"/>
              <w:rPr>
                <w:rFonts w:ascii="Times New Roman" w:hAnsi="Times New Roman"/>
                <w:b/>
                <w:sz w:val="20"/>
              </w:rPr>
            </w:pPr>
          </w:p>
        </w:tc>
        <w:tc>
          <w:tcPr>
            <w:tcW w:w="810" w:type="pct"/>
            <w:gridSpan w:val="3"/>
            <w:vMerge/>
            <w:tcBorders>
              <w:right w:val="double" w:sz="4" w:space="0" w:color="auto"/>
            </w:tcBorders>
            <w:shd w:val="clear" w:color="auto" w:fill="F3F3F3"/>
            <w:vAlign w:val="center"/>
          </w:tcPr>
          <w:p w14:paraId="433EB94C" w14:textId="77777777" w:rsidR="00385B57" w:rsidRPr="00596F94" w:rsidRDefault="00385B57" w:rsidP="00B67553">
            <w:pPr>
              <w:keepNext/>
              <w:spacing w:line="240" w:lineRule="auto"/>
              <w:ind w:left="612"/>
              <w:jc w:val="center"/>
              <w:rPr>
                <w:rFonts w:ascii="Times New Roman" w:hAnsi="Times New Roman"/>
                <w:b/>
                <w:sz w:val="20"/>
              </w:rPr>
            </w:pPr>
          </w:p>
        </w:tc>
      </w:tr>
      <w:tr w:rsidR="00385B57" w:rsidRPr="00596F94" w14:paraId="78356593" w14:textId="77777777" w:rsidTr="00B67553">
        <w:trPr>
          <w:trHeight w:val="288"/>
        </w:trPr>
        <w:tc>
          <w:tcPr>
            <w:tcW w:w="637" w:type="pct"/>
            <w:tcBorders>
              <w:top w:val="nil"/>
              <w:left w:val="double" w:sz="4" w:space="0" w:color="auto"/>
              <w:right w:val="double" w:sz="4" w:space="0" w:color="auto"/>
            </w:tcBorders>
            <w:shd w:val="clear" w:color="auto" w:fill="E0E0E0"/>
            <w:vAlign w:val="center"/>
          </w:tcPr>
          <w:p w14:paraId="2DDCEDCF" w14:textId="77777777" w:rsidR="00385B57" w:rsidRPr="00596F94" w:rsidRDefault="00385B57" w:rsidP="00B67553">
            <w:pPr>
              <w:keepNext/>
              <w:spacing w:line="240" w:lineRule="auto"/>
              <w:rPr>
                <w:rFonts w:ascii="Times New Roman" w:hAnsi="Times New Roman"/>
                <w:b/>
                <w:sz w:val="20"/>
              </w:rPr>
            </w:pPr>
          </w:p>
        </w:tc>
        <w:tc>
          <w:tcPr>
            <w:tcW w:w="310" w:type="pct"/>
            <w:tcBorders>
              <w:left w:val="double" w:sz="4" w:space="0" w:color="auto"/>
              <w:right w:val="single" w:sz="4" w:space="0" w:color="auto"/>
            </w:tcBorders>
            <w:shd w:val="clear" w:color="auto" w:fill="F2F2F2" w:themeFill="background1" w:themeFillShade="F2"/>
          </w:tcPr>
          <w:p w14:paraId="0F9BD9EC" w14:textId="77777777" w:rsidR="00385B57" w:rsidRPr="00596F94" w:rsidRDefault="00385B57" w:rsidP="00B67553">
            <w:pPr>
              <w:keepNext/>
              <w:spacing w:line="240" w:lineRule="auto"/>
              <w:jc w:val="center"/>
              <w:rPr>
                <w:rFonts w:ascii="Times New Roman" w:hAnsi="Times New Roman"/>
                <w:b/>
                <w:sz w:val="20"/>
              </w:rPr>
            </w:pPr>
            <w:r w:rsidRPr="00596F94">
              <w:rPr>
                <w:rFonts w:ascii="Times New Roman" w:hAnsi="Times New Roman"/>
                <w:sz w:val="20"/>
              </w:rPr>
              <w:t>16 weeks (+/- 1 week) of</w:t>
            </w:r>
            <w:r w:rsidRPr="00596F94">
              <w:rPr>
                <w:rFonts w:ascii="Times New Roman" w:hAnsi="Times New Roman"/>
                <w:b/>
                <w:sz w:val="20"/>
              </w:rPr>
              <w:t xml:space="preserve"> </w:t>
            </w:r>
            <w:r w:rsidRPr="00596F94">
              <w:rPr>
                <w:rFonts w:ascii="Times New Roman" w:hAnsi="Times New Roman"/>
                <w:sz w:val="20"/>
              </w:rPr>
              <w:t>TB</w:t>
            </w:r>
            <w:r w:rsidRPr="00596F94">
              <w:rPr>
                <w:rFonts w:ascii="Times New Roman" w:hAnsi="Times New Roman"/>
                <w:b/>
                <w:sz w:val="20"/>
              </w:rPr>
              <w:t xml:space="preserve"> </w:t>
            </w:r>
            <w:r w:rsidRPr="00596F94">
              <w:rPr>
                <w:rFonts w:ascii="Times New Roman" w:hAnsi="Times New Roman"/>
                <w:sz w:val="20"/>
              </w:rPr>
              <w:t>Rx</w:t>
            </w:r>
          </w:p>
        </w:tc>
        <w:tc>
          <w:tcPr>
            <w:tcW w:w="345" w:type="pct"/>
            <w:tcBorders>
              <w:left w:val="single" w:sz="4" w:space="0" w:color="auto"/>
              <w:right w:val="single" w:sz="4" w:space="0" w:color="auto"/>
            </w:tcBorders>
            <w:shd w:val="clear" w:color="auto" w:fill="F2F2F2" w:themeFill="background1" w:themeFillShade="F2"/>
          </w:tcPr>
          <w:p w14:paraId="6903DD4B" w14:textId="77777777" w:rsidR="00385B57" w:rsidRPr="00596F94" w:rsidRDefault="00385B57" w:rsidP="00B67553">
            <w:pPr>
              <w:keepNext/>
              <w:spacing w:line="240" w:lineRule="auto"/>
              <w:jc w:val="center"/>
              <w:rPr>
                <w:rFonts w:ascii="Times New Roman" w:hAnsi="Times New Roman"/>
                <w:b/>
                <w:sz w:val="20"/>
              </w:rPr>
            </w:pPr>
            <w:r w:rsidRPr="00596F94" w:rsidDel="000E0D7E">
              <w:rPr>
                <w:rFonts w:ascii="Times New Roman" w:hAnsi="Times New Roman"/>
                <w:b/>
                <w:sz w:val="20"/>
              </w:rPr>
              <w:t xml:space="preserve"> </w:t>
            </w:r>
            <w:r w:rsidRPr="00596F94">
              <w:rPr>
                <w:rFonts w:ascii="Times New Roman" w:hAnsi="Times New Roman"/>
                <w:sz w:val="20"/>
              </w:rPr>
              <w:t xml:space="preserve"> 14 - 28 days after 1</w:t>
            </w:r>
            <w:r w:rsidRPr="00596F94">
              <w:rPr>
                <w:rFonts w:ascii="Times New Roman" w:hAnsi="Times New Roman"/>
                <w:sz w:val="20"/>
                <w:vertAlign w:val="superscript"/>
              </w:rPr>
              <w:t>st</w:t>
            </w:r>
            <w:r w:rsidRPr="00596F94">
              <w:rPr>
                <w:rFonts w:ascii="Times New Roman" w:hAnsi="Times New Roman"/>
                <w:sz w:val="20"/>
              </w:rPr>
              <w:t xml:space="preserve"> screen</w:t>
            </w:r>
          </w:p>
        </w:tc>
        <w:tc>
          <w:tcPr>
            <w:tcW w:w="312" w:type="pct"/>
            <w:tcBorders>
              <w:left w:val="single" w:sz="4" w:space="0" w:color="auto"/>
              <w:right w:val="double" w:sz="4" w:space="0" w:color="auto"/>
            </w:tcBorders>
            <w:shd w:val="clear" w:color="auto" w:fill="F2F2F2" w:themeFill="background1" w:themeFillShade="F2"/>
          </w:tcPr>
          <w:p w14:paraId="544D66AE"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Within</w:t>
            </w:r>
          </w:p>
          <w:p w14:paraId="3868F249"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 xml:space="preserve"> -28 days of Day 0</w:t>
            </w:r>
          </w:p>
        </w:tc>
        <w:tc>
          <w:tcPr>
            <w:tcW w:w="241" w:type="pct"/>
            <w:tcBorders>
              <w:left w:val="double" w:sz="4" w:space="0" w:color="auto"/>
            </w:tcBorders>
            <w:shd w:val="clear" w:color="auto" w:fill="E0E0E0"/>
          </w:tcPr>
          <w:p w14:paraId="2D23A287" w14:textId="77777777" w:rsidR="00385B57" w:rsidRPr="00596F94" w:rsidRDefault="00385B57" w:rsidP="00B67553">
            <w:pPr>
              <w:keepNext/>
              <w:spacing w:line="240" w:lineRule="auto"/>
              <w:jc w:val="center"/>
              <w:rPr>
                <w:rFonts w:ascii="Times New Roman" w:hAnsi="Times New Roman"/>
                <w:b/>
                <w:sz w:val="20"/>
              </w:rPr>
            </w:pPr>
            <w:r w:rsidRPr="00596F94">
              <w:rPr>
                <w:rFonts w:ascii="Times New Roman" w:hAnsi="Times New Roman"/>
                <w:b/>
                <w:sz w:val="20"/>
              </w:rPr>
              <w:t xml:space="preserve">Day </w:t>
            </w:r>
          </w:p>
          <w:p w14:paraId="4B1EDDDF" w14:textId="77777777" w:rsidR="00385B57" w:rsidRPr="00596F94" w:rsidRDefault="00385B57" w:rsidP="00B67553">
            <w:pPr>
              <w:keepNext/>
              <w:spacing w:line="240" w:lineRule="auto"/>
              <w:jc w:val="center"/>
              <w:rPr>
                <w:rFonts w:ascii="Times New Roman" w:hAnsi="Times New Roman"/>
                <w:b/>
                <w:sz w:val="20"/>
              </w:rPr>
            </w:pPr>
            <w:r w:rsidRPr="00596F94">
              <w:rPr>
                <w:rFonts w:ascii="Times New Roman" w:hAnsi="Times New Roman"/>
                <w:b/>
                <w:sz w:val="20"/>
              </w:rPr>
              <w:t>0</w:t>
            </w:r>
          </w:p>
        </w:tc>
        <w:tc>
          <w:tcPr>
            <w:tcW w:w="172" w:type="pct"/>
            <w:shd w:val="clear" w:color="auto" w:fill="E0E0E0"/>
          </w:tcPr>
          <w:p w14:paraId="7A32A321"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Day 3</w:t>
            </w:r>
          </w:p>
        </w:tc>
        <w:tc>
          <w:tcPr>
            <w:tcW w:w="207" w:type="pct"/>
            <w:shd w:val="clear" w:color="auto" w:fill="E0E0E0"/>
          </w:tcPr>
          <w:p w14:paraId="03A91125"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 xml:space="preserve">Day </w:t>
            </w:r>
          </w:p>
          <w:p w14:paraId="080357FD"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 xml:space="preserve">7 </w:t>
            </w:r>
          </w:p>
          <w:p w14:paraId="03534A73"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(±1)</w:t>
            </w:r>
          </w:p>
        </w:tc>
        <w:tc>
          <w:tcPr>
            <w:tcW w:w="207" w:type="pct"/>
            <w:shd w:val="clear" w:color="auto" w:fill="E0E0E0"/>
          </w:tcPr>
          <w:p w14:paraId="2D5BC078"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 xml:space="preserve">Day </w:t>
            </w:r>
          </w:p>
          <w:p w14:paraId="33F39942"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14</w:t>
            </w:r>
          </w:p>
          <w:p w14:paraId="234B4568"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(±1)</w:t>
            </w:r>
          </w:p>
        </w:tc>
        <w:tc>
          <w:tcPr>
            <w:tcW w:w="207" w:type="pct"/>
            <w:shd w:val="clear" w:color="auto" w:fill="E0E0E0"/>
          </w:tcPr>
          <w:p w14:paraId="19B264C0" w14:textId="77777777" w:rsidR="00385B57" w:rsidRPr="00596F94" w:rsidRDefault="00385B57" w:rsidP="00B67553">
            <w:pPr>
              <w:keepNext/>
              <w:spacing w:line="240" w:lineRule="auto"/>
              <w:jc w:val="center"/>
              <w:rPr>
                <w:rFonts w:ascii="Times New Roman" w:hAnsi="Times New Roman"/>
                <w:b/>
                <w:bCs/>
                <w:sz w:val="20"/>
              </w:rPr>
            </w:pPr>
            <w:r w:rsidRPr="00596F94">
              <w:rPr>
                <w:rFonts w:ascii="Times New Roman" w:hAnsi="Times New Roman"/>
                <w:b/>
                <w:sz w:val="20"/>
              </w:rPr>
              <w:t>Day 28 (±3)</w:t>
            </w:r>
          </w:p>
        </w:tc>
        <w:tc>
          <w:tcPr>
            <w:tcW w:w="173" w:type="pct"/>
            <w:shd w:val="clear" w:color="auto" w:fill="FFFF00"/>
          </w:tcPr>
          <w:p w14:paraId="6BCFD58A"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Day 31</w:t>
            </w:r>
          </w:p>
        </w:tc>
        <w:tc>
          <w:tcPr>
            <w:tcW w:w="172" w:type="pct"/>
            <w:shd w:val="clear" w:color="auto" w:fill="FFFF00"/>
          </w:tcPr>
          <w:p w14:paraId="1F400D64"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 xml:space="preserve">Day </w:t>
            </w:r>
          </w:p>
          <w:p w14:paraId="774E6B59"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 xml:space="preserve">35 </w:t>
            </w:r>
          </w:p>
          <w:p w14:paraId="1679341D"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(±1)</w:t>
            </w:r>
          </w:p>
        </w:tc>
        <w:tc>
          <w:tcPr>
            <w:tcW w:w="173" w:type="pct"/>
            <w:shd w:val="clear" w:color="auto" w:fill="FFFF00"/>
          </w:tcPr>
          <w:p w14:paraId="42D0FCE6"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 xml:space="preserve">Day </w:t>
            </w:r>
          </w:p>
          <w:p w14:paraId="6682DE84"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42</w:t>
            </w:r>
          </w:p>
          <w:p w14:paraId="459F5B6C"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(±1)</w:t>
            </w:r>
          </w:p>
        </w:tc>
        <w:tc>
          <w:tcPr>
            <w:tcW w:w="207" w:type="pct"/>
            <w:shd w:val="clear" w:color="auto" w:fill="E0E0E0"/>
          </w:tcPr>
          <w:p w14:paraId="0D83268A"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
                <w:sz w:val="20"/>
              </w:rPr>
              <w:t>Day 56 (±3)</w:t>
            </w:r>
          </w:p>
        </w:tc>
        <w:tc>
          <w:tcPr>
            <w:tcW w:w="172" w:type="pct"/>
            <w:shd w:val="clear" w:color="auto" w:fill="E0E0E0"/>
          </w:tcPr>
          <w:p w14:paraId="7B6A299C"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Day 59</w:t>
            </w:r>
          </w:p>
        </w:tc>
        <w:tc>
          <w:tcPr>
            <w:tcW w:w="207" w:type="pct"/>
            <w:shd w:val="clear" w:color="auto" w:fill="E0E0E0"/>
          </w:tcPr>
          <w:p w14:paraId="32CB4FB1"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Day 63 (±1)</w:t>
            </w:r>
          </w:p>
        </w:tc>
        <w:tc>
          <w:tcPr>
            <w:tcW w:w="241" w:type="pct"/>
            <w:shd w:val="clear" w:color="auto" w:fill="E0E0E0"/>
          </w:tcPr>
          <w:p w14:paraId="3CBD031B"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 xml:space="preserve">Day 70 </w:t>
            </w:r>
          </w:p>
          <w:p w14:paraId="3A2CF96D"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Cs/>
                <w:sz w:val="20"/>
              </w:rPr>
              <w:t>(±1)</w:t>
            </w:r>
          </w:p>
        </w:tc>
        <w:tc>
          <w:tcPr>
            <w:tcW w:w="207" w:type="pct"/>
            <w:shd w:val="clear" w:color="auto" w:fill="E0E0E0"/>
          </w:tcPr>
          <w:p w14:paraId="6A69A389" w14:textId="77777777" w:rsidR="00385B57" w:rsidRPr="00596F94" w:rsidRDefault="00385B57" w:rsidP="00B67553">
            <w:pPr>
              <w:keepNext/>
              <w:spacing w:line="240" w:lineRule="auto"/>
              <w:jc w:val="center"/>
              <w:rPr>
                <w:rFonts w:ascii="Times New Roman" w:hAnsi="Times New Roman"/>
                <w:bCs/>
                <w:sz w:val="20"/>
              </w:rPr>
            </w:pPr>
            <w:r w:rsidRPr="00596F94">
              <w:rPr>
                <w:rFonts w:ascii="Times New Roman" w:hAnsi="Times New Roman"/>
                <w:b/>
                <w:sz w:val="20"/>
              </w:rPr>
              <w:t>Day 84 (±3)</w:t>
            </w:r>
          </w:p>
        </w:tc>
        <w:tc>
          <w:tcPr>
            <w:tcW w:w="280" w:type="pct"/>
            <w:shd w:val="clear" w:color="auto" w:fill="F3F3F3"/>
          </w:tcPr>
          <w:p w14:paraId="71B3AFE9" w14:textId="77777777" w:rsidR="00385B57" w:rsidRPr="00596F94" w:rsidRDefault="00385B57" w:rsidP="00B67553">
            <w:pPr>
              <w:keepNext/>
              <w:spacing w:line="240" w:lineRule="auto"/>
              <w:jc w:val="center"/>
              <w:rPr>
                <w:rFonts w:ascii="Times New Roman" w:hAnsi="Times New Roman"/>
                <w:b/>
                <w:sz w:val="20"/>
              </w:rPr>
            </w:pPr>
            <w:r w:rsidRPr="00596F94">
              <w:rPr>
                <w:rFonts w:ascii="Times New Roman" w:hAnsi="Times New Roman"/>
                <w:b/>
                <w:sz w:val="20"/>
              </w:rPr>
              <w:t>Day 112 (±5)</w:t>
            </w:r>
          </w:p>
        </w:tc>
        <w:tc>
          <w:tcPr>
            <w:tcW w:w="277" w:type="pct"/>
            <w:shd w:val="clear" w:color="auto" w:fill="F3F3F3"/>
          </w:tcPr>
          <w:p w14:paraId="15706220" w14:textId="77777777" w:rsidR="00385B57" w:rsidRPr="00596F94" w:rsidRDefault="00385B57" w:rsidP="00B67553">
            <w:pPr>
              <w:keepNext/>
              <w:spacing w:line="240" w:lineRule="auto"/>
              <w:jc w:val="center"/>
              <w:rPr>
                <w:rFonts w:ascii="Times New Roman" w:hAnsi="Times New Roman"/>
                <w:b/>
                <w:sz w:val="20"/>
              </w:rPr>
            </w:pPr>
            <w:r w:rsidRPr="00596F94">
              <w:rPr>
                <w:rFonts w:ascii="Times New Roman" w:hAnsi="Times New Roman"/>
                <w:b/>
                <w:sz w:val="20"/>
              </w:rPr>
              <w:t>Day 168 (±10)</w:t>
            </w:r>
          </w:p>
        </w:tc>
        <w:tc>
          <w:tcPr>
            <w:tcW w:w="253" w:type="pct"/>
            <w:tcBorders>
              <w:right w:val="double" w:sz="4" w:space="0" w:color="auto"/>
            </w:tcBorders>
            <w:shd w:val="clear" w:color="auto" w:fill="F3F3F3"/>
          </w:tcPr>
          <w:p w14:paraId="13712F6F" w14:textId="77777777" w:rsidR="00385B57" w:rsidRPr="00596F94" w:rsidRDefault="00385B57" w:rsidP="00B67553">
            <w:pPr>
              <w:keepNext/>
              <w:spacing w:line="240" w:lineRule="auto"/>
              <w:jc w:val="center"/>
              <w:rPr>
                <w:rFonts w:ascii="Times New Roman" w:hAnsi="Times New Roman"/>
                <w:b/>
                <w:bCs/>
                <w:sz w:val="20"/>
              </w:rPr>
            </w:pPr>
            <w:r w:rsidRPr="00596F94">
              <w:rPr>
                <w:rFonts w:ascii="Times New Roman" w:hAnsi="Times New Roman"/>
                <w:b/>
                <w:sz w:val="20"/>
              </w:rPr>
              <w:t xml:space="preserve">Day 224 </w:t>
            </w:r>
            <w:r w:rsidRPr="00596F94">
              <w:rPr>
                <w:rFonts w:ascii="Times New Roman" w:hAnsi="Times New Roman"/>
                <w:b/>
                <w:sz w:val="20"/>
              </w:rPr>
              <w:br/>
              <w:t>(±10)</w:t>
            </w:r>
          </w:p>
        </w:tc>
      </w:tr>
      <w:tr w:rsidR="00385B57" w:rsidRPr="00596F94" w14:paraId="4FA5092B" w14:textId="77777777" w:rsidTr="00B67553">
        <w:trPr>
          <w:trHeight w:val="288"/>
        </w:trPr>
        <w:tc>
          <w:tcPr>
            <w:tcW w:w="637" w:type="pct"/>
            <w:tcBorders>
              <w:left w:val="double" w:sz="4" w:space="0" w:color="auto"/>
              <w:right w:val="double" w:sz="4" w:space="0" w:color="auto"/>
            </w:tcBorders>
            <w:vAlign w:val="center"/>
          </w:tcPr>
          <w:p w14:paraId="3386B7B5" w14:textId="77777777" w:rsidR="00385B57" w:rsidRPr="00596F94" w:rsidRDefault="00385B57" w:rsidP="00B67553">
            <w:pPr>
              <w:keepNext/>
              <w:spacing w:line="240" w:lineRule="auto"/>
              <w:ind w:left="-11" w:firstLine="11"/>
              <w:rPr>
                <w:rFonts w:ascii="Times New Roman" w:hAnsi="Times New Roman"/>
                <w:sz w:val="20"/>
              </w:rPr>
            </w:pPr>
            <w:r w:rsidRPr="00596F94">
              <w:rPr>
                <w:rFonts w:ascii="Times New Roman" w:hAnsi="Times New Roman"/>
                <w:sz w:val="20"/>
              </w:rPr>
              <w:t>TB Symptoms Screen</w:t>
            </w:r>
          </w:p>
        </w:tc>
        <w:tc>
          <w:tcPr>
            <w:tcW w:w="310" w:type="pct"/>
            <w:tcBorders>
              <w:left w:val="double" w:sz="4" w:space="0" w:color="auto"/>
              <w:right w:val="single" w:sz="4" w:space="0" w:color="auto"/>
            </w:tcBorders>
            <w:shd w:val="clear" w:color="auto" w:fill="auto"/>
            <w:vAlign w:val="center"/>
          </w:tcPr>
          <w:p w14:paraId="5242659B"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345" w:type="pct"/>
            <w:tcBorders>
              <w:left w:val="single" w:sz="4" w:space="0" w:color="auto"/>
              <w:right w:val="single" w:sz="4" w:space="0" w:color="auto"/>
            </w:tcBorders>
            <w:shd w:val="clear" w:color="auto" w:fill="auto"/>
            <w:vAlign w:val="center"/>
          </w:tcPr>
          <w:p w14:paraId="5840D6C1"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312" w:type="pct"/>
            <w:tcBorders>
              <w:left w:val="single" w:sz="4" w:space="0" w:color="auto"/>
              <w:right w:val="double" w:sz="4" w:space="0" w:color="auto"/>
            </w:tcBorders>
            <w:vAlign w:val="center"/>
          </w:tcPr>
          <w:p w14:paraId="4A7B9616"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241" w:type="pct"/>
            <w:tcBorders>
              <w:left w:val="double" w:sz="4" w:space="0" w:color="auto"/>
            </w:tcBorders>
            <w:vAlign w:val="center"/>
          </w:tcPr>
          <w:p w14:paraId="02399A05"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172" w:type="pct"/>
            <w:vAlign w:val="center"/>
          </w:tcPr>
          <w:p w14:paraId="76D664FD" w14:textId="77777777" w:rsidR="00385B57" w:rsidRPr="00596F94" w:rsidRDefault="00385B57" w:rsidP="00B67553">
            <w:pPr>
              <w:keepNext/>
              <w:spacing w:line="240" w:lineRule="auto"/>
              <w:jc w:val="center"/>
              <w:rPr>
                <w:rFonts w:ascii="Times New Roman" w:hAnsi="Times New Roman"/>
                <w:sz w:val="20"/>
              </w:rPr>
            </w:pPr>
          </w:p>
        </w:tc>
        <w:tc>
          <w:tcPr>
            <w:tcW w:w="207" w:type="pct"/>
            <w:vAlign w:val="center"/>
          </w:tcPr>
          <w:p w14:paraId="19ED4071"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207" w:type="pct"/>
            <w:vAlign w:val="center"/>
          </w:tcPr>
          <w:p w14:paraId="3DCDE320"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207" w:type="pct"/>
            <w:shd w:val="clear" w:color="auto" w:fill="auto"/>
            <w:vAlign w:val="center"/>
          </w:tcPr>
          <w:p w14:paraId="1E8F25AF"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173" w:type="pct"/>
            <w:shd w:val="clear" w:color="auto" w:fill="FFFF00"/>
            <w:vAlign w:val="center"/>
          </w:tcPr>
          <w:p w14:paraId="74A562FE"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172" w:type="pct"/>
            <w:shd w:val="clear" w:color="auto" w:fill="FFFF00"/>
            <w:vAlign w:val="center"/>
          </w:tcPr>
          <w:p w14:paraId="07D3A1DD"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173" w:type="pct"/>
            <w:shd w:val="clear" w:color="auto" w:fill="FFFF00"/>
            <w:vAlign w:val="center"/>
          </w:tcPr>
          <w:p w14:paraId="5CF54ADD"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207" w:type="pct"/>
            <w:shd w:val="clear" w:color="auto" w:fill="auto"/>
            <w:vAlign w:val="center"/>
          </w:tcPr>
          <w:p w14:paraId="4945E73D"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172" w:type="pct"/>
            <w:shd w:val="clear" w:color="auto" w:fill="auto"/>
            <w:vAlign w:val="center"/>
          </w:tcPr>
          <w:p w14:paraId="19C4D8AB"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207" w:type="pct"/>
            <w:shd w:val="clear" w:color="auto" w:fill="auto"/>
            <w:vAlign w:val="center"/>
          </w:tcPr>
          <w:p w14:paraId="2FB8D2DE"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241" w:type="pct"/>
            <w:shd w:val="clear" w:color="auto" w:fill="auto"/>
            <w:vAlign w:val="center"/>
          </w:tcPr>
          <w:p w14:paraId="607E51B5"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207" w:type="pct"/>
            <w:shd w:val="clear" w:color="auto" w:fill="auto"/>
            <w:vAlign w:val="center"/>
          </w:tcPr>
          <w:p w14:paraId="69117C65"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280" w:type="pct"/>
            <w:vAlign w:val="center"/>
          </w:tcPr>
          <w:p w14:paraId="5EDE2141"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277" w:type="pct"/>
            <w:vAlign w:val="center"/>
          </w:tcPr>
          <w:p w14:paraId="0AAEB067"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253" w:type="pct"/>
            <w:tcBorders>
              <w:right w:val="double" w:sz="4" w:space="0" w:color="auto"/>
            </w:tcBorders>
            <w:shd w:val="clear" w:color="auto" w:fill="auto"/>
            <w:vAlign w:val="center"/>
          </w:tcPr>
          <w:p w14:paraId="6AB22792"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r>
      <w:tr w:rsidR="00385B57" w:rsidRPr="00596F94" w14:paraId="1663E214" w14:textId="77777777" w:rsidTr="00385B57">
        <w:trPr>
          <w:trHeight w:val="288"/>
        </w:trPr>
        <w:tc>
          <w:tcPr>
            <w:tcW w:w="637" w:type="pct"/>
            <w:tcBorders>
              <w:left w:val="double" w:sz="4" w:space="0" w:color="auto"/>
              <w:bottom w:val="single" w:sz="4" w:space="0" w:color="auto"/>
              <w:right w:val="double" w:sz="4" w:space="0" w:color="auto"/>
            </w:tcBorders>
            <w:vAlign w:val="center"/>
          </w:tcPr>
          <w:p w14:paraId="095D9D80" w14:textId="77777777" w:rsidR="00385B57" w:rsidRPr="00596F94" w:rsidRDefault="00385B57" w:rsidP="00B67553">
            <w:pPr>
              <w:keepNext/>
              <w:spacing w:line="240" w:lineRule="auto"/>
              <w:ind w:left="-11" w:firstLine="11"/>
              <w:rPr>
                <w:rFonts w:ascii="Times New Roman" w:hAnsi="Times New Roman"/>
                <w:sz w:val="20"/>
              </w:rPr>
            </w:pPr>
            <w:r w:rsidRPr="00596F94">
              <w:rPr>
                <w:rFonts w:ascii="Times New Roman" w:hAnsi="Times New Roman"/>
                <w:sz w:val="20"/>
              </w:rPr>
              <w:t>Full Physical Exam</w:t>
            </w:r>
          </w:p>
        </w:tc>
        <w:tc>
          <w:tcPr>
            <w:tcW w:w="310" w:type="pct"/>
            <w:tcBorders>
              <w:left w:val="double" w:sz="4" w:space="0" w:color="auto"/>
              <w:right w:val="single" w:sz="4" w:space="0" w:color="auto"/>
            </w:tcBorders>
            <w:shd w:val="clear" w:color="auto" w:fill="auto"/>
            <w:vAlign w:val="center"/>
          </w:tcPr>
          <w:p w14:paraId="676FFA09" w14:textId="77777777" w:rsidR="00385B57" w:rsidRPr="00596F94" w:rsidRDefault="00385B57" w:rsidP="00B67553">
            <w:pPr>
              <w:keepNext/>
              <w:spacing w:line="240" w:lineRule="auto"/>
              <w:jc w:val="center"/>
              <w:rPr>
                <w:rFonts w:ascii="Times New Roman" w:hAnsi="Times New Roman"/>
                <w:sz w:val="20"/>
              </w:rPr>
            </w:pPr>
          </w:p>
        </w:tc>
        <w:tc>
          <w:tcPr>
            <w:tcW w:w="345" w:type="pct"/>
            <w:tcBorders>
              <w:left w:val="single" w:sz="4" w:space="0" w:color="auto"/>
              <w:right w:val="single" w:sz="4" w:space="0" w:color="auto"/>
            </w:tcBorders>
            <w:shd w:val="clear" w:color="auto" w:fill="auto"/>
            <w:vAlign w:val="center"/>
          </w:tcPr>
          <w:p w14:paraId="4DD8107F" w14:textId="77777777" w:rsidR="00385B57" w:rsidRPr="00596F94" w:rsidRDefault="00385B57" w:rsidP="00B67553">
            <w:pPr>
              <w:keepNext/>
              <w:spacing w:line="240" w:lineRule="auto"/>
              <w:jc w:val="center"/>
              <w:rPr>
                <w:rFonts w:ascii="Times New Roman" w:hAnsi="Times New Roman"/>
                <w:sz w:val="20"/>
              </w:rPr>
            </w:pPr>
          </w:p>
        </w:tc>
        <w:tc>
          <w:tcPr>
            <w:tcW w:w="312" w:type="pct"/>
            <w:tcBorders>
              <w:left w:val="single" w:sz="4" w:space="0" w:color="auto"/>
              <w:bottom w:val="single" w:sz="4" w:space="0" w:color="auto"/>
              <w:right w:val="double" w:sz="4" w:space="0" w:color="auto"/>
            </w:tcBorders>
            <w:vAlign w:val="center"/>
          </w:tcPr>
          <w:p w14:paraId="74FDC12F" w14:textId="77777777" w:rsidR="00385B57" w:rsidRPr="00596F94" w:rsidRDefault="00385B57" w:rsidP="00B67553">
            <w:pPr>
              <w:keepNext/>
              <w:spacing w:line="240" w:lineRule="auto"/>
              <w:jc w:val="center"/>
              <w:rPr>
                <w:rFonts w:ascii="Times New Roman" w:hAnsi="Times New Roman"/>
                <w:sz w:val="20"/>
              </w:rPr>
            </w:pPr>
          </w:p>
        </w:tc>
        <w:tc>
          <w:tcPr>
            <w:tcW w:w="241" w:type="pct"/>
            <w:tcBorders>
              <w:left w:val="double" w:sz="4" w:space="0" w:color="auto"/>
              <w:bottom w:val="single" w:sz="4" w:space="0" w:color="auto"/>
            </w:tcBorders>
            <w:vAlign w:val="center"/>
          </w:tcPr>
          <w:p w14:paraId="45E91B3D"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172" w:type="pct"/>
            <w:tcBorders>
              <w:bottom w:val="single" w:sz="4" w:space="0" w:color="auto"/>
            </w:tcBorders>
            <w:vAlign w:val="center"/>
          </w:tcPr>
          <w:p w14:paraId="1AC6D40C" w14:textId="77777777" w:rsidR="00385B57" w:rsidRPr="00596F94" w:rsidRDefault="00385B57" w:rsidP="00B67553">
            <w:pPr>
              <w:keepNext/>
              <w:spacing w:line="240" w:lineRule="auto"/>
              <w:jc w:val="center"/>
              <w:rPr>
                <w:rFonts w:ascii="Times New Roman" w:hAnsi="Times New Roman"/>
                <w:sz w:val="20"/>
              </w:rPr>
            </w:pPr>
          </w:p>
        </w:tc>
        <w:tc>
          <w:tcPr>
            <w:tcW w:w="207" w:type="pct"/>
            <w:tcBorders>
              <w:bottom w:val="single" w:sz="4" w:space="0" w:color="auto"/>
            </w:tcBorders>
            <w:vAlign w:val="center"/>
          </w:tcPr>
          <w:p w14:paraId="58C17E84" w14:textId="77777777" w:rsidR="00385B57" w:rsidRPr="00596F94" w:rsidRDefault="00385B57" w:rsidP="00B67553">
            <w:pPr>
              <w:keepNext/>
              <w:spacing w:line="240" w:lineRule="auto"/>
              <w:jc w:val="center"/>
              <w:rPr>
                <w:rFonts w:ascii="Times New Roman" w:hAnsi="Times New Roman"/>
                <w:sz w:val="20"/>
              </w:rPr>
            </w:pPr>
          </w:p>
        </w:tc>
        <w:tc>
          <w:tcPr>
            <w:tcW w:w="207" w:type="pct"/>
            <w:tcBorders>
              <w:bottom w:val="single" w:sz="4" w:space="0" w:color="auto"/>
            </w:tcBorders>
            <w:vAlign w:val="center"/>
          </w:tcPr>
          <w:p w14:paraId="121F6399" w14:textId="77777777" w:rsidR="00385B57" w:rsidRPr="00596F94" w:rsidRDefault="00385B57" w:rsidP="00B67553">
            <w:pPr>
              <w:keepNext/>
              <w:spacing w:line="240" w:lineRule="auto"/>
              <w:jc w:val="center"/>
              <w:rPr>
                <w:rFonts w:ascii="Times New Roman" w:hAnsi="Times New Roman"/>
                <w:sz w:val="20"/>
              </w:rPr>
            </w:pPr>
          </w:p>
        </w:tc>
        <w:tc>
          <w:tcPr>
            <w:tcW w:w="207" w:type="pct"/>
            <w:shd w:val="clear" w:color="auto" w:fill="auto"/>
            <w:vAlign w:val="center"/>
          </w:tcPr>
          <w:p w14:paraId="593CAFA9" w14:textId="77777777" w:rsidR="00385B57" w:rsidRPr="00596F94" w:rsidRDefault="00385B57" w:rsidP="00B67553">
            <w:pPr>
              <w:keepNext/>
              <w:spacing w:line="240" w:lineRule="auto"/>
              <w:jc w:val="center"/>
              <w:rPr>
                <w:rFonts w:ascii="Times New Roman" w:hAnsi="Times New Roman"/>
                <w:sz w:val="20"/>
              </w:rPr>
            </w:pPr>
          </w:p>
        </w:tc>
        <w:tc>
          <w:tcPr>
            <w:tcW w:w="173" w:type="pct"/>
            <w:shd w:val="clear" w:color="auto" w:fill="FFFF00"/>
            <w:vAlign w:val="center"/>
          </w:tcPr>
          <w:p w14:paraId="082BC063" w14:textId="77777777" w:rsidR="00385B57" w:rsidRPr="00596F94" w:rsidRDefault="00385B57" w:rsidP="00B67553">
            <w:pPr>
              <w:keepNext/>
              <w:spacing w:line="240" w:lineRule="auto"/>
              <w:jc w:val="center"/>
              <w:rPr>
                <w:rFonts w:ascii="Times New Roman" w:hAnsi="Times New Roman"/>
                <w:sz w:val="20"/>
              </w:rPr>
            </w:pPr>
          </w:p>
        </w:tc>
        <w:tc>
          <w:tcPr>
            <w:tcW w:w="172" w:type="pct"/>
            <w:shd w:val="clear" w:color="auto" w:fill="FFFF00"/>
            <w:vAlign w:val="center"/>
          </w:tcPr>
          <w:p w14:paraId="11804F37" w14:textId="77777777" w:rsidR="00385B57" w:rsidRPr="00596F94" w:rsidRDefault="00385B57" w:rsidP="00B67553">
            <w:pPr>
              <w:keepNext/>
              <w:spacing w:line="240" w:lineRule="auto"/>
              <w:jc w:val="center"/>
              <w:rPr>
                <w:rFonts w:ascii="Times New Roman" w:hAnsi="Times New Roman"/>
                <w:sz w:val="20"/>
              </w:rPr>
            </w:pPr>
          </w:p>
        </w:tc>
        <w:tc>
          <w:tcPr>
            <w:tcW w:w="173" w:type="pct"/>
            <w:shd w:val="clear" w:color="auto" w:fill="FFFF00"/>
            <w:vAlign w:val="center"/>
          </w:tcPr>
          <w:p w14:paraId="026B9BC5" w14:textId="77777777" w:rsidR="00385B57" w:rsidRPr="00596F94" w:rsidRDefault="00385B57" w:rsidP="00B67553">
            <w:pPr>
              <w:keepNext/>
              <w:spacing w:line="240" w:lineRule="auto"/>
              <w:jc w:val="center"/>
              <w:rPr>
                <w:rFonts w:ascii="Times New Roman" w:hAnsi="Times New Roman"/>
                <w:sz w:val="20"/>
              </w:rPr>
            </w:pPr>
          </w:p>
        </w:tc>
        <w:tc>
          <w:tcPr>
            <w:tcW w:w="207" w:type="pct"/>
            <w:shd w:val="clear" w:color="auto" w:fill="auto"/>
            <w:vAlign w:val="center"/>
          </w:tcPr>
          <w:p w14:paraId="75437D2D" w14:textId="77777777" w:rsidR="00385B57" w:rsidRPr="00596F94" w:rsidRDefault="00385B57" w:rsidP="00B67553">
            <w:pPr>
              <w:keepNext/>
              <w:spacing w:line="240" w:lineRule="auto"/>
              <w:jc w:val="center"/>
              <w:rPr>
                <w:rFonts w:ascii="Times New Roman" w:hAnsi="Times New Roman"/>
                <w:sz w:val="20"/>
              </w:rPr>
            </w:pPr>
          </w:p>
        </w:tc>
        <w:tc>
          <w:tcPr>
            <w:tcW w:w="172" w:type="pct"/>
            <w:shd w:val="clear" w:color="auto" w:fill="auto"/>
            <w:vAlign w:val="center"/>
          </w:tcPr>
          <w:p w14:paraId="3926126C" w14:textId="77777777" w:rsidR="00385B57" w:rsidRPr="00596F94" w:rsidRDefault="00385B57" w:rsidP="00B67553">
            <w:pPr>
              <w:keepNext/>
              <w:spacing w:line="240" w:lineRule="auto"/>
              <w:jc w:val="center"/>
              <w:rPr>
                <w:rFonts w:ascii="Times New Roman" w:hAnsi="Times New Roman"/>
                <w:sz w:val="20"/>
              </w:rPr>
            </w:pPr>
          </w:p>
        </w:tc>
        <w:tc>
          <w:tcPr>
            <w:tcW w:w="207" w:type="pct"/>
            <w:shd w:val="clear" w:color="auto" w:fill="auto"/>
            <w:vAlign w:val="center"/>
          </w:tcPr>
          <w:p w14:paraId="049D995F" w14:textId="77777777" w:rsidR="00385B57" w:rsidRPr="00596F94" w:rsidRDefault="00385B57" w:rsidP="00B67553">
            <w:pPr>
              <w:keepNext/>
              <w:spacing w:line="240" w:lineRule="auto"/>
              <w:jc w:val="center"/>
              <w:rPr>
                <w:rFonts w:ascii="Times New Roman" w:hAnsi="Times New Roman"/>
                <w:sz w:val="20"/>
              </w:rPr>
            </w:pPr>
          </w:p>
        </w:tc>
        <w:tc>
          <w:tcPr>
            <w:tcW w:w="241" w:type="pct"/>
            <w:shd w:val="clear" w:color="auto" w:fill="auto"/>
            <w:vAlign w:val="center"/>
          </w:tcPr>
          <w:p w14:paraId="2D1186B6" w14:textId="77777777" w:rsidR="00385B57" w:rsidRPr="00596F94" w:rsidRDefault="00385B57" w:rsidP="00B67553">
            <w:pPr>
              <w:keepNext/>
              <w:spacing w:line="240" w:lineRule="auto"/>
              <w:jc w:val="center"/>
              <w:rPr>
                <w:rFonts w:ascii="Times New Roman" w:hAnsi="Times New Roman"/>
                <w:sz w:val="20"/>
              </w:rPr>
            </w:pPr>
          </w:p>
        </w:tc>
        <w:tc>
          <w:tcPr>
            <w:tcW w:w="207" w:type="pct"/>
            <w:shd w:val="clear" w:color="auto" w:fill="auto"/>
            <w:vAlign w:val="center"/>
          </w:tcPr>
          <w:p w14:paraId="1469CC9C" w14:textId="77777777" w:rsidR="00385B57" w:rsidRPr="00596F94" w:rsidRDefault="00385B57" w:rsidP="00B67553">
            <w:pPr>
              <w:keepNext/>
              <w:spacing w:line="240" w:lineRule="auto"/>
              <w:jc w:val="center"/>
              <w:rPr>
                <w:rFonts w:ascii="Times New Roman" w:hAnsi="Times New Roman"/>
                <w:sz w:val="20"/>
              </w:rPr>
            </w:pPr>
          </w:p>
        </w:tc>
        <w:tc>
          <w:tcPr>
            <w:tcW w:w="280" w:type="pct"/>
            <w:tcBorders>
              <w:bottom w:val="single" w:sz="4" w:space="0" w:color="auto"/>
            </w:tcBorders>
            <w:vAlign w:val="center"/>
          </w:tcPr>
          <w:p w14:paraId="39DB4401" w14:textId="77777777" w:rsidR="00385B57" w:rsidRPr="00596F94" w:rsidRDefault="00385B57" w:rsidP="00B67553">
            <w:pPr>
              <w:keepNext/>
              <w:spacing w:line="240" w:lineRule="auto"/>
              <w:jc w:val="center"/>
              <w:rPr>
                <w:rFonts w:ascii="Times New Roman" w:hAnsi="Times New Roman"/>
                <w:sz w:val="20"/>
              </w:rPr>
            </w:pPr>
          </w:p>
        </w:tc>
        <w:tc>
          <w:tcPr>
            <w:tcW w:w="277" w:type="pct"/>
            <w:tcBorders>
              <w:bottom w:val="single" w:sz="4" w:space="0" w:color="auto"/>
            </w:tcBorders>
            <w:vAlign w:val="center"/>
          </w:tcPr>
          <w:p w14:paraId="2BCCB135" w14:textId="77777777" w:rsidR="00385B57" w:rsidRPr="00596F94" w:rsidRDefault="00385B57" w:rsidP="00B67553">
            <w:pPr>
              <w:keepNext/>
              <w:spacing w:line="240" w:lineRule="auto"/>
              <w:jc w:val="center"/>
              <w:rPr>
                <w:rFonts w:ascii="Times New Roman" w:hAnsi="Times New Roman"/>
                <w:sz w:val="20"/>
              </w:rPr>
            </w:pPr>
          </w:p>
        </w:tc>
        <w:tc>
          <w:tcPr>
            <w:tcW w:w="253" w:type="pct"/>
            <w:tcBorders>
              <w:right w:val="double" w:sz="4" w:space="0" w:color="auto"/>
            </w:tcBorders>
            <w:shd w:val="clear" w:color="auto" w:fill="auto"/>
            <w:vAlign w:val="center"/>
          </w:tcPr>
          <w:p w14:paraId="66B705BC" w14:textId="77777777" w:rsidR="00385B57" w:rsidRPr="00596F94" w:rsidRDefault="00385B57" w:rsidP="00B67553">
            <w:pPr>
              <w:keepNext/>
              <w:spacing w:line="240" w:lineRule="auto"/>
              <w:jc w:val="center"/>
              <w:rPr>
                <w:rFonts w:ascii="Times New Roman" w:hAnsi="Times New Roman"/>
                <w:sz w:val="20"/>
              </w:rPr>
            </w:pPr>
          </w:p>
        </w:tc>
      </w:tr>
      <w:tr w:rsidR="00385B57" w:rsidRPr="00596F94" w14:paraId="022188DA" w14:textId="77777777" w:rsidTr="00385B57">
        <w:trPr>
          <w:trHeight w:val="288"/>
        </w:trPr>
        <w:tc>
          <w:tcPr>
            <w:tcW w:w="637" w:type="pct"/>
            <w:tcBorders>
              <w:left w:val="double" w:sz="4" w:space="0" w:color="auto"/>
              <w:bottom w:val="single" w:sz="4" w:space="0" w:color="auto"/>
              <w:right w:val="double" w:sz="4" w:space="0" w:color="auto"/>
            </w:tcBorders>
            <w:vAlign w:val="center"/>
          </w:tcPr>
          <w:p w14:paraId="10E4D882" w14:textId="77777777" w:rsidR="00385B57" w:rsidRPr="00596F94" w:rsidRDefault="00385B57" w:rsidP="00B67553">
            <w:pPr>
              <w:keepNext/>
              <w:spacing w:line="240" w:lineRule="auto"/>
              <w:ind w:left="-11" w:firstLine="11"/>
              <w:rPr>
                <w:rFonts w:ascii="Times New Roman" w:hAnsi="Times New Roman"/>
                <w:sz w:val="20"/>
              </w:rPr>
            </w:pPr>
            <w:r w:rsidRPr="00596F94">
              <w:rPr>
                <w:rFonts w:ascii="Times New Roman" w:hAnsi="Times New Roman"/>
                <w:sz w:val="20"/>
              </w:rPr>
              <w:t>Symptom Directed Physical Exam and vital signs</w:t>
            </w:r>
          </w:p>
        </w:tc>
        <w:tc>
          <w:tcPr>
            <w:tcW w:w="310" w:type="pct"/>
            <w:tcBorders>
              <w:left w:val="double" w:sz="4" w:space="0" w:color="auto"/>
              <w:right w:val="single" w:sz="4" w:space="0" w:color="auto"/>
            </w:tcBorders>
            <w:shd w:val="clear" w:color="auto" w:fill="auto"/>
            <w:vAlign w:val="center"/>
          </w:tcPr>
          <w:p w14:paraId="3652B264"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345" w:type="pct"/>
            <w:tcBorders>
              <w:left w:val="single" w:sz="4" w:space="0" w:color="auto"/>
              <w:right w:val="single" w:sz="4" w:space="0" w:color="auto"/>
            </w:tcBorders>
            <w:shd w:val="clear" w:color="auto" w:fill="auto"/>
            <w:vAlign w:val="center"/>
          </w:tcPr>
          <w:p w14:paraId="1D9284E4"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312" w:type="pct"/>
            <w:tcBorders>
              <w:left w:val="single" w:sz="4" w:space="0" w:color="auto"/>
              <w:bottom w:val="single" w:sz="4" w:space="0" w:color="auto"/>
              <w:right w:val="double" w:sz="4" w:space="0" w:color="auto"/>
            </w:tcBorders>
            <w:vAlign w:val="center"/>
          </w:tcPr>
          <w:p w14:paraId="1900DB26"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241" w:type="pct"/>
            <w:tcBorders>
              <w:left w:val="double" w:sz="4" w:space="0" w:color="auto"/>
              <w:bottom w:val="single" w:sz="4" w:space="0" w:color="auto"/>
            </w:tcBorders>
            <w:vAlign w:val="center"/>
          </w:tcPr>
          <w:p w14:paraId="50E3FCBF" w14:textId="77777777" w:rsidR="00385B57" w:rsidRPr="00596F94" w:rsidRDefault="00385B57" w:rsidP="00B67553">
            <w:pPr>
              <w:keepNext/>
              <w:spacing w:line="240" w:lineRule="auto"/>
              <w:jc w:val="center"/>
              <w:rPr>
                <w:rFonts w:ascii="Times New Roman" w:hAnsi="Times New Roman"/>
                <w:sz w:val="20"/>
              </w:rPr>
            </w:pPr>
          </w:p>
        </w:tc>
        <w:tc>
          <w:tcPr>
            <w:tcW w:w="172" w:type="pct"/>
            <w:tcBorders>
              <w:bottom w:val="single" w:sz="4" w:space="0" w:color="auto"/>
            </w:tcBorders>
            <w:vAlign w:val="center"/>
          </w:tcPr>
          <w:p w14:paraId="55641137" w14:textId="77777777" w:rsidR="00385B57" w:rsidRPr="00596F94" w:rsidRDefault="00385B57" w:rsidP="00B67553">
            <w:pPr>
              <w:keepNext/>
              <w:spacing w:line="240" w:lineRule="auto"/>
              <w:jc w:val="center"/>
              <w:rPr>
                <w:rFonts w:ascii="Times New Roman" w:hAnsi="Times New Roman"/>
                <w:sz w:val="20"/>
              </w:rPr>
            </w:pPr>
          </w:p>
        </w:tc>
        <w:tc>
          <w:tcPr>
            <w:tcW w:w="207" w:type="pct"/>
            <w:tcBorders>
              <w:bottom w:val="single" w:sz="4" w:space="0" w:color="auto"/>
            </w:tcBorders>
            <w:vAlign w:val="center"/>
          </w:tcPr>
          <w:p w14:paraId="7AF53F0C" w14:textId="77777777" w:rsidR="00385B57" w:rsidRPr="00596F94" w:rsidRDefault="00385B57" w:rsidP="00B67553">
            <w:pPr>
              <w:keepNext/>
              <w:spacing w:line="240" w:lineRule="auto"/>
              <w:jc w:val="center"/>
              <w:rPr>
                <w:rFonts w:ascii="Times New Roman" w:hAnsi="Times New Roman"/>
                <w:sz w:val="20"/>
              </w:rPr>
            </w:pPr>
          </w:p>
        </w:tc>
        <w:tc>
          <w:tcPr>
            <w:tcW w:w="207" w:type="pct"/>
            <w:tcBorders>
              <w:bottom w:val="single" w:sz="4" w:space="0" w:color="auto"/>
            </w:tcBorders>
            <w:vAlign w:val="center"/>
          </w:tcPr>
          <w:p w14:paraId="2D80A7EC" w14:textId="77777777" w:rsidR="00385B57" w:rsidRPr="00596F94" w:rsidRDefault="00385B57" w:rsidP="00B67553">
            <w:pPr>
              <w:keepNext/>
              <w:spacing w:line="240" w:lineRule="auto"/>
              <w:jc w:val="center"/>
              <w:rPr>
                <w:rFonts w:ascii="Times New Roman" w:hAnsi="Times New Roman"/>
                <w:sz w:val="20"/>
              </w:rPr>
            </w:pPr>
          </w:p>
        </w:tc>
        <w:tc>
          <w:tcPr>
            <w:tcW w:w="207" w:type="pct"/>
            <w:shd w:val="clear" w:color="auto" w:fill="auto"/>
            <w:vAlign w:val="center"/>
          </w:tcPr>
          <w:p w14:paraId="3BB6C640"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173" w:type="pct"/>
            <w:shd w:val="clear" w:color="auto" w:fill="FFFF00"/>
            <w:vAlign w:val="center"/>
          </w:tcPr>
          <w:p w14:paraId="6DE063F5" w14:textId="77777777" w:rsidR="00385B57" w:rsidRPr="00596F94" w:rsidRDefault="00385B57" w:rsidP="00B67553">
            <w:pPr>
              <w:keepNext/>
              <w:spacing w:line="240" w:lineRule="auto"/>
              <w:jc w:val="center"/>
              <w:rPr>
                <w:rFonts w:ascii="Times New Roman" w:hAnsi="Times New Roman"/>
                <w:sz w:val="20"/>
              </w:rPr>
            </w:pPr>
          </w:p>
        </w:tc>
        <w:tc>
          <w:tcPr>
            <w:tcW w:w="172" w:type="pct"/>
            <w:shd w:val="clear" w:color="auto" w:fill="FFFF00"/>
            <w:vAlign w:val="center"/>
          </w:tcPr>
          <w:p w14:paraId="54679E9F" w14:textId="77777777" w:rsidR="00385B57" w:rsidRPr="00596F94" w:rsidRDefault="00385B57" w:rsidP="00B67553">
            <w:pPr>
              <w:keepNext/>
              <w:spacing w:line="240" w:lineRule="auto"/>
              <w:jc w:val="center"/>
              <w:rPr>
                <w:rFonts w:ascii="Times New Roman" w:hAnsi="Times New Roman"/>
                <w:sz w:val="20"/>
              </w:rPr>
            </w:pPr>
          </w:p>
        </w:tc>
        <w:tc>
          <w:tcPr>
            <w:tcW w:w="173" w:type="pct"/>
            <w:shd w:val="clear" w:color="auto" w:fill="FFFF00"/>
            <w:vAlign w:val="center"/>
          </w:tcPr>
          <w:p w14:paraId="263D13E7" w14:textId="77777777" w:rsidR="00385B57" w:rsidRPr="00596F94" w:rsidRDefault="00385B57" w:rsidP="00B67553">
            <w:pPr>
              <w:keepNext/>
              <w:spacing w:line="240" w:lineRule="auto"/>
              <w:jc w:val="center"/>
              <w:rPr>
                <w:rFonts w:ascii="Times New Roman" w:hAnsi="Times New Roman"/>
                <w:sz w:val="20"/>
              </w:rPr>
            </w:pPr>
          </w:p>
        </w:tc>
        <w:tc>
          <w:tcPr>
            <w:tcW w:w="207" w:type="pct"/>
            <w:shd w:val="clear" w:color="auto" w:fill="auto"/>
            <w:vAlign w:val="center"/>
          </w:tcPr>
          <w:p w14:paraId="10314C1A"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172" w:type="pct"/>
            <w:shd w:val="clear" w:color="auto" w:fill="auto"/>
            <w:vAlign w:val="center"/>
          </w:tcPr>
          <w:p w14:paraId="4E414A5A" w14:textId="77777777" w:rsidR="00385B57" w:rsidRPr="00596F94" w:rsidRDefault="00385B57" w:rsidP="00B67553">
            <w:pPr>
              <w:keepNext/>
              <w:spacing w:line="240" w:lineRule="auto"/>
              <w:jc w:val="center"/>
              <w:rPr>
                <w:rFonts w:ascii="Times New Roman" w:hAnsi="Times New Roman"/>
                <w:sz w:val="20"/>
              </w:rPr>
            </w:pPr>
          </w:p>
        </w:tc>
        <w:tc>
          <w:tcPr>
            <w:tcW w:w="207" w:type="pct"/>
            <w:shd w:val="clear" w:color="auto" w:fill="auto"/>
            <w:vAlign w:val="center"/>
          </w:tcPr>
          <w:p w14:paraId="39CE2E6B" w14:textId="77777777" w:rsidR="00385B57" w:rsidRPr="00596F94" w:rsidRDefault="00385B57" w:rsidP="00B67553">
            <w:pPr>
              <w:keepNext/>
              <w:spacing w:line="240" w:lineRule="auto"/>
              <w:jc w:val="center"/>
              <w:rPr>
                <w:rFonts w:ascii="Times New Roman" w:hAnsi="Times New Roman"/>
                <w:sz w:val="20"/>
              </w:rPr>
            </w:pPr>
          </w:p>
        </w:tc>
        <w:tc>
          <w:tcPr>
            <w:tcW w:w="241" w:type="pct"/>
            <w:shd w:val="clear" w:color="auto" w:fill="auto"/>
            <w:vAlign w:val="center"/>
          </w:tcPr>
          <w:p w14:paraId="35D7A2E7" w14:textId="77777777" w:rsidR="00385B57" w:rsidRPr="00596F94" w:rsidRDefault="00385B57" w:rsidP="00B67553">
            <w:pPr>
              <w:keepNext/>
              <w:spacing w:line="240" w:lineRule="auto"/>
              <w:jc w:val="center"/>
              <w:rPr>
                <w:rFonts w:ascii="Times New Roman" w:hAnsi="Times New Roman"/>
                <w:sz w:val="20"/>
              </w:rPr>
            </w:pPr>
          </w:p>
        </w:tc>
        <w:tc>
          <w:tcPr>
            <w:tcW w:w="207" w:type="pct"/>
            <w:shd w:val="clear" w:color="auto" w:fill="auto"/>
            <w:vAlign w:val="center"/>
          </w:tcPr>
          <w:p w14:paraId="2C913E34"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c>
          <w:tcPr>
            <w:tcW w:w="280" w:type="pct"/>
            <w:tcBorders>
              <w:bottom w:val="single" w:sz="4" w:space="0" w:color="auto"/>
            </w:tcBorders>
            <w:vAlign w:val="center"/>
          </w:tcPr>
          <w:p w14:paraId="5B0C12E7"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1</w:t>
            </w:r>
          </w:p>
        </w:tc>
        <w:tc>
          <w:tcPr>
            <w:tcW w:w="277" w:type="pct"/>
            <w:tcBorders>
              <w:bottom w:val="single" w:sz="4" w:space="0" w:color="auto"/>
            </w:tcBorders>
            <w:vAlign w:val="center"/>
          </w:tcPr>
          <w:p w14:paraId="793E02BA"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1</w:t>
            </w:r>
          </w:p>
        </w:tc>
        <w:tc>
          <w:tcPr>
            <w:tcW w:w="253" w:type="pct"/>
            <w:tcBorders>
              <w:right w:val="double" w:sz="4" w:space="0" w:color="auto"/>
            </w:tcBorders>
            <w:shd w:val="clear" w:color="auto" w:fill="auto"/>
            <w:vAlign w:val="center"/>
          </w:tcPr>
          <w:p w14:paraId="5AFB9F77"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p>
        </w:tc>
      </w:tr>
      <w:tr w:rsidR="00385B57" w:rsidRPr="00596F94" w14:paraId="3FD170BF" w14:textId="77777777" w:rsidTr="00385B57">
        <w:trPr>
          <w:trHeight w:val="288"/>
        </w:trPr>
        <w:tc>
          <w:tcPr>
            <w:tcW w:w="637" w:type="pct"/>
            <w:tcBorders>
              <w:left w:val="double" w:sz="4" w:space="0" w:color="auto"/>
              <w:bottom w:val="double" w:sz="4" w:space="0" w:color="auto"/>
              <w:right w:val="double" w:sz="4" w:space="0" w:color="auto"/>
            </w:tcBorders>
            <w:vAlign w:val="center"/>
          </w:tcPr>
          <w:p w14:paraId="5B8BC6E5" w14:textId="77777777" w:rsidR="00385B57" w:rsidRPr="00596F94" w:rsidRDefault="00385B57" w:rsidP="00B67553">
            <w:pPr>
              <w:keepNext/>
              <w:spacing w:line="240" w:lineRule="auto"/>
              <w:ind w:left="-11" w:firstLine="11"/>
              <w:rPr>
                <w:rFonts w:ascii="Times New Roman" w:hAnsi="Times New Roman"/>
                <w:sz w:val="20"/>
              </w:rPr>
            </w:pPr>
            <w:r w:rsidRPr="00596F94">
              <w:rPr>
                <w:rFonts w:ascii="Times New Roman" w:hAnsi="Times New Roman"/>
                <w:sz w:val="20"/>
              </w:rPr>
              <w:t>Sputum Samples (x2)</w:t>
            </w:r>
          </w:p>
        </w:tc>
        <w:tc>
          <w:tcPr>
            <w:tcW w:w="310" w:type="pct"/>
            <w:tcBorders>
              <w:left w:val="double" w:sz="4" w:space="0" w:color="auto"/>
              <w:bottom w:val="double" w:sz="4" w:space="0" w:color="auto"/>
              <w:right w:val="single" w:sz="4" w:space="0" w:color="auto"/>
            </w:tcBorders>
            <w:shd w:val="clear" w:color="auto" w:fill="auto"/>
            <w:vAlign w:val="center"/>
          </w:tcPr>
          <w:p w14:paraId="1C5A25C6"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2</w:t>
            </w:r>
          </w:p>
        </w:tc>
        <w:tc>
          <w:tcPr>
            <w:tcW w:w="345" w:type="pct"/>
            <w:tcBorders>
              <w:left w:val="single" w:sz="4" w:space="0" w:color="auto"/>
              <w:bottom w:val="double" w:sz="4" w:space="0" w:color="auto"/>
              <w:right w:val="single" w:sz="4" w:space="0" w:color="auto"/>
            </w:tcBorders>
            <w:shd w:val="clear" w:color="auto" w:fill="auto"/>
            <w:vAlign w:val="center"/>
          </w:tcPr>
          <w:p w14:paraId="4967DA98"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2</w:t>
            </w:r>
          </w:p>
        </w:tc>
        <w:tc>
          <w:tcPr>
            <w:tcW w:w="312" w:type="pct"/>
            <w:tcBorders>
              <w:left w:val="single" w:sz="4" w:space="0" w:color="auto"/>
              <w:bottom w:val="double" w:sz="4" w:space="0" w:color="auto"/>
              <w:right w:val="double" w:sz="4" w:space="0" w:color="auto"/>
            </w:tcBorders>
            <w:vAlign w:val="center"/>
          </w:tcPr>
          <w:p w14:paraId="3039E5DE"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2</w:t>
            </w:r>
          </w:p>
        </w:tc>
        <w:tc>
          <w:tcPr>
            <w:tcW w:w="241" w:type="pct"/>
            <w:tcBorders>
              <w:left w:val="double" w:sz="4" w:space="0" w:color="auto"/>
              <w:bottom w:val="double" w:sz="4" w:space="0" w:color="auto"/>
            </w:tcBorders>
            <w:vAlign w:val="center"/>
          </w:tcPr>
          <w:p w14:paraId="383437A9"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3</w:t>
            </w:r>
          </w:p>
        </w:tc>
        <w:tc>
          <w:tcPr>
            <w:tcW w:w="172" w:type="pct"/>
            <w:tcBorders>
              <w:bottom w:val="double" w:sz="4" w:space="0" w:color="auto"/>
            </w:tcBorders>
            <w:vAlign w:val="center"/>
          </w:tcPr>
          <w:p w14:paraId="46482935" w14:textId="77777777" w:rsidR="00385B57" w:rsidRPr="00596F94" w:rsidRDefault="00385B57" w:rsidP="00B67553">
            <w:pPr>
              <w:keepNext/>
              <w:spacing w:line="240" w:lineRule="auto"/>
              <w:jc w:val="center"/>
              <w:rPr>
                <w:rFonts w:ascii="Times New Roman" w:hAnsi="Times New Roman"/>
                <w:sz w:val="20"/>
              </w:rPr>
            </w:pPr>
          </w:p>
        </w:tc>
        <w:tc>
          <w:tcPr>
            <w:tcW w:w="207" w:type="pct"/>
            <w:tcBorders>
              <w:bottom w:val="double" w:sz="4" w:space="0" w:color="auto"/>
            </w:tcBorders>
            <w:vAlign w:val="center"/>
          </w:tcPr>
          <w:p w14:paraId="5961B5C9"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4</w:t>
            </w:r>
          </w:p>
        </w:tc>
        <w:tc>
          <w:tcPr>
            <w:tcW w:w="207" w:type="pct"/>
            <w:tcBorders>
              <w:bottom w:val="double" w:sz="4" w:space="0" w:color="auto"/>
            </w:tcBorders>
            <w:vAlign w:val="center"/>
          </w:tcPr>
          <w:p w14:paraId="1487D091"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4</w:t>
            </w:r>
          </w:p>
        </w:tc>
        <w:tc>
          <w:tcPr>
            <w:tcW w:w="207" w:type="pct"/>
            <w:tcBorders>
              <w:bottom w:val="double" w:sz="4" w:space="0" w:color="auto"/>
            </w:tcBorders>
            <w:shd w:val="clear" w:color="auto" w:fill="auto"/>
            <w:vAlign w:val="center"/>
          </w:tcPr>
          <w:p w14:paraId="3958F769"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4</w:t>
            </w:r>
          </w:p>
        </w:tc>
        <w:tc>
          <w:tcPr>
            <w:tcW w:w="173" w:type="pct"/>
            <w:tcBorders>
              <w:bottom w:val="double" w:sz="4" w:space="0" w:color="auto"/>
            </w:tcBorders>
            <w:shd w:val="clear" w:color="auto" w:fill="FFFF00"/>
            <w:vAlign w:val="center"/>
          </w:tcPr>
          <w:p w14:paraId="25183B7B"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4</w:t>
            </w:r>
          </w:p>
        </w:tc>
        <w:tc>
          <w:tcPr>
            <w:tcW w:w="172" w:type="pct"/>
            <w:tcBorders>
              <w:bottom w:val="double" w:sz="4" w:space="0" w:color="auto"/>
            </w:tcBorders>
            <w:shd w:val="clear" w:color="auto" w:fill="FFFF00"/>
            <w:vAlign w:val="center"/>
          </w:tcPr>
          <w:p w14:paraId="2DAEAA56"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4</w:t>
            </w:r>
          </w:p>
        </w:tc>
        <w:tc>
          <w:tcPr>
            <w:tcW w:w="173" w:type="pct"/>
            <w:tcBorders>
              <w:bottom w:val="double" w:sz="4" w:space="0" w:color="auto"/>
            </w:tcBorders>
            <w:shd w:val="clear" w:color="auto" w:fill="FFFF00"/>
            <w:vAlign w:val="center"/>
          </w:tcPr>
          <w:p w14:paraId="20C9781D"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4</w:t>
            </w:r>
          </w:p>
        </w:tc>
        <w:tc>
          <w:tcPr>
            <w:tcW w:w="207" w:type="pct"/>
            <w:tcBorders>
              <w:bottom w:val="double" w:sz="4" w:space="0" w:color="auto"/>
            </w:tcBorders>
            <w:shd w:val="clear" w:color="auto" w:fill="auto"/>
            <w:vAlign w:val="center"/>
          </w:tcPr>
          <w:p w14:paraId="6C11C653"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4</w:t>
            </w:r>
          </w:p>
        </w:tc>
        <w:tc>
          <w:tcPr>
            <w:tcW w:w="172" w:type="pct"/>
            <w:tcBorders>
              <w:bottom w:val="double" w:sz="4" w:space="0" w:color="auto"/>
            </w:tcBorders>
            <w:shd w:val="clear" w:color="auto" w:fill="auto"/>
            <w:vAlign w:val="center"/>
          </w:tcPr>
          <w:p w14:paraId="00F25D89"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4</w:t>
            </w:r>
          </w:p>
        </w:tc>
        <w:tc>
          <w:tcPr>
            <w:tcW w:w="207" w:type="pct"/>
            <w:tcBorders>
              <w:bottom w:val="double" w:sz="4" w:space="0" w:color="auto"/>
            </w:tcBorders>
            <w:shd w:val="clear" w:color="auto" w:fill="auto"/>
            <w:vAlign w:val="center"/>
          </w:tcPr>
          <w:p w14:paraId="6CFAFC27"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4</w:t>
            </w:r>
          </w:p>
        </w:tc>
        <w:tc>
          <w:tcPr>
            <w:tcW w:w="241" w:type="pct"/>
            <w:tcBorders>
              <w:bottom w:val="double" w:sz="4" w:space="0" w:color="auto"/>
            </w:tcBorders>
            <w:shd w:val="clear" w:color="auto" w:fill="auto"/>
            <w:vAlign w:val="center"/>
          </w:tcPr>
          <w:p w14:paraId="73A84486"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4</w:t>
            </w:r>
          </w:p>
        </w:tc>
        <w:tc>
          <w:tcPr>
            <w:tcW w:w="207" w:type="pct"/>
            <w:tcBorders>
              <w:bottom w:val="double" w:sz="4" w:space="0" w:color="auto"/>
            </w:tcBorders>
            <w:shd w:val="clear" w:color="auto" w:fill="auto"/>
            <w:vAlign w:val="center"/>
          </w:tcPr>
          <w:p w14:paraId="1959C4B0"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4</w:t>
            </w:r>
          </w:p>
        </w:tc>
        <w:tc>
          <w:tcPr>
            <w:tcW w:w="280" w:type="pct"/>
            <w:tcBorders>
              <w:bottom w:val="double" w:sz="4" w:space="0" w:color="auto"/>
            </w:tcBorders>
            <w:vAlign w:val="center"/>
          </w:tcPr>
          <w:p w14:paraId="23DB5F18"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4</w:t>
            </w:r>
          </w:p>
        </w:tc>
        <w:tc>
          <w:tcPr>
            <w:tcW w:w="277" w:type="pct"/>
            <w:tcBorders>
              <w:bottom w:val="double" w:sz="4" w:space="0" w:color="auto"/>
            </w:tcBorders>
            <w:vAlign w:val="center"/>
          </w:tcPr>
          <w:p w14:paraId="31DBD650"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4</w:t>
            </w:r>
          </w:p>
        </w:tc>
        <w:tc>
          <w:tcPr>
            <w:tcW w:w="253" w:type="pct"/>
            <w:tcBorders>
              <w:bottom w:val="double" w:sz="4" w:space="0" w:color="auto"/>
              <w:right w:val="double" w:sz="4" w:space="0" w:color="auto"/>
            </w:tcBorders>
            <w:shd w:val="clear" w:color="auto" w:fill="auto"/>
            <w:vAlign w:val="center"/>
          </w:tcPr>
          <w:p w14:paraId="59B9968C" w14:textId="77777777" w:rsidR="00385B57" w:rsidRPr="00596F94" w:rsidRDefault="00385B57" w:rsidP="00B67553">
            <w:pPr>
              <w:keepNext/>
              <w:spacing w:line="240" w:lineRule="auto"/>
              <w:jc w:val="center"/>
              <w:rPr>
                <w:rFonts w:ascii="Times New Roman" w:hAnsi="Times New Roman"/>
                <w:sz w:val="20"/>
              </w:rPr>
            </w:pPr>
            <w:r w:rsidRPr="00596F94">
              <w:rPr>
                <w:rFonts w:ascii="Times New Roman" w:hAnsi="Times New Roman"/>
                <w:sz w:val="20"/>
              </w:rPr>
              <w:t>X</w:t>
            </w:r>
            <w:r w:rsidRPr="00596F94">
              <w:rPr>
                <w:rFonts w:ascii="Times New Roman" w:hAnsi="Times New Roman"/>
                <w:sz w:val="20"/>
                <w:vertAlign w:val="superscript"/>
              </w:rPr>
              <w:t>4</w:t>
            </w:r>
          </w:p>
        </w:tc>
      </w:tr>
    </w:tbl>
    <w:p w14:paraId="5F8B5C75" w14:textId="77777777" w:rsidR="00385B57" w:rsidRPr="001818A0" w:rsidRDefault="00385B57" w:rsidP="00385B57">
      <w:pPr>
        <w:rPr>
          <w:rFonts w:ascii="Times New Roman" w:hAnsi="Times New Roman"/>
          <w:sz w:val="20"/>
        </w:rPr>
      </w:pPr>
      <w:r w:rsidRPr="001818A0">
        <w:rPr>
          <w:rFonts w:ascii="Times New Roman" w:hAnsi="Times New Roman"/>
          <w:sz w:val="20"/>
          <w:vertAlign w:val="superscript"/>
        </w:rPr>
        <w:t>1</w:t>
      </w:r>
      <w:r w:rsidRPr="001818A0">
        <w:rPr>
          <w:rFonts w:ascii="Times New Roman" w:hAnsi="Times New Roman"/>
          <w:sz w:val="20"/>
        </w:rPr>
        <w:t xml:space="preserve"> Directed physical exam in-clinic if indicated by presence of unexplained or persistent symptoms for 14 days or longer, or any hemoptysis.</w:t>
      </w:r>
    </w:p>
    <w:p w14:paraId="0066E8CC" w14:textId="77777777" w:rsidR="00385B57" w:rsidRPr="001818A0" w:rsidRDefault="00385B57" w:rsidP="00385B57">
      <w:pPr>
        <w:rPr>
          <w:rFonts w:ascii="Times New Roman" w:hAnsi="Times New Roman"/>
          <w:sz w:val="20"/>
        </w:rPr>
      </w:pPr>
      <w:r w:rsidRPr="001818A0">
        <w:rPr>
          <w:rFonts w:ascii="Times New Roman" w:hAnsi="Times New Roman"/>
          <w:sz w:val="20"/>
          <w:vertAlign w:val="superscript"/>
        </w:rPr>
        <w:t xml:space="preserve">2 </w:t>
      </w:r>
      <w:r w:rsidRPr="001818A0">
        <w:rPr>
          <w:rFonts w:ascii="Times New Roman" w:hAnsi="Times New Roman"/>
          <w:sz w:val="20"/>
        </w:rPr>
        <w:t xml:space="preserve">Sputum Xpert MTB/RIF and MGIT culture. </w:t>
      </w:r>
    </w:p>
    <w:p w14:paraId="06FD89FE" w14:textId="77777777" w:rsidR="00385B57" w:rsidRPr="001818A0" w:rsidRDefault="00385B57" w:rsidP="00385B57">
      <w:pPr>
        <w:rPr>
          <w:rFonts w:ascii="Times New Roman" w:hAnsi="Times New Roman"/>
          <w:sz w:val="20"/>
        </w:rPr>
      </w:pPr>
      <w:r w:rsidRPr="001818A0">
        <w:rPr>
          <w:rFonts w:ascii="Times New Roman" w:hAnsi="Times New Roman"/>
          <w:sz w:val="20"/>
          <w:vertAlign w:val="superscript"/>
        </w:rPr>
        <w:t xml:space="preserve">3 </w:t>
      </w:r>
      <w:r w:rsidRPr="001818A0">
        <w:rPr>
          <w:rFonts w:ascii="Times New Roman" w:hAnsi="Times New Roman"/>
          <w:sz w:val="20"/>
        </w:rPr>
        <w:t>Sputum Xpert MTB/RIF and MGIT culture if not already done so at the 3</w:t>
      </w:r>
      <w:r w:rsidRPr="001818A0">
        <w:rPr>
          <w:rFonts w:ascii="Times New Roman" w:hAnsi="Times New Roman"/>
          <w:sz w:val="20"/>
          <w:vertAlign w:val="superscript"/>
        </w:rPr>
        <w:t>rd</w:t>
      </w:r>
      <w:r w:rsidRPr="001818A0">
        <w:rPr>
          <w:rFonts w:ascii="Times New Roman" w:hAnsi="Times New Roman"/>
          <w:sz w:val="20"/>
        </w:rPr>
        <w:t xml:space="preserve"> screening visit.</w:t>
      </w:r>
    </w:p>
    <w:p w14:paraId="47A38B5F" w14:textId="77777777" w:rsidR="00385B57" w:rsidRPr="001818A0" w:rsidRDefault="00385B57" w:rsidP="00385B57">
      <w:pPr>
        <w:rPr>
          <w:rFonts w:ascii="Times New Roman" w:hAnsi="Times New Roman"/>
          <w:sz w:val="20"/>
        </w:rPr>
      </w:pPr>
      <w:r w:rsidRPr="001818A0">
        <w:rPr>
          <w:rFonts w:ascii="Times New Roman" w:hAnsi="Times New Roman"/>
          <w:sz w:val="20"/>
          <w:vertAlign w:val="superscript"/>
        </w:rPr>
        <w:t xml:space="preserve">4 </w:t>
      </w:r>
      <w:r w:rsidRPr="001818A0">
        <w:rPr>
          <w:rFonts w:ascii="Times New Roman" w:hAnsi="Times New Roman"/>
          <w:sz w:val="20"/>
        </w:rPr>
        <w:t>Sputum Xpert MTB/RIF and MGIT culture for suspected recurrent TB only (symptom directed, unexplained or persistent symptoms for 14 days or longer, or any hemoptysis).</w:t>
      </w:r>
    </w:p>
    <w:p w14:paraId="2E38B0F5" w14:textId="77777777" w:rsidR="00385B57" w:rsidRPr="00596F94" w:rsidRDefault="00385B57" w:rsidP="00385B57">
      <w:pPr>
        <w:rPr>
          <w:rFonts w:ascii="Times New Roman" w:hAnsi="Times New Roman"/>
          <w:szCs w:val="22"/>
        </w:rPr>
      </w:pPr>
      <w:r w:rsidRPr="00596F94">
        <w:rPr>
          <w:rFonts w:ascii="Times New Roman" w:hAnsi="Times New Roman"/>
          <w:szCs w:val="22"/>
        </w:rPr>
        <w:t xml:space="preserve">Sputum sampling will always include two samples. </w:t>
      </w:r>
    </w:p>
    <w:p w14:paraId="4FE96844" w14:textId="77777777" w:rsidR="00385B57" w:rsidRPr="00596F94" w:rsidRDefault="00385B57" w:rsidP="00385B57">
      <w:pPr>
        <w:rPr>
          <w:rFonts w:ascii="Times New Roman" w:hAnsi="Times New Roman"/>
          <w:szCs w:val="22"/>
        </w:rPr>
      </w:pPr>
      <w:r w:rsidRPr="00596F94">
        <w:rPr>
          <w:rFonts w:ascii="Times New Roman" w:hAnsi="Times New Roman"/>
          <w:szCs w:val="22"/>
        </w:rPr>
        <w:t>The tests to be performed on sputum samples at different time points will be as follows:</w:t>
      </w:r>
    </w:p>
    <w:p w14:paraId="4851DA8F" w14:textId="77777777" w:rsidR="00385B57" w:rsidRPr="00596F94" w:rsidRDefault="00385B57" w:rsidP="00385B57">
      <w:pPr>
        <w:rPr>
          <w:rFonts w:ascii="Times New Roman" w:hAnsi="Times New Roman"/>
          <w:szCs w:val="22"/>
        </w:rPr>
      </w:pPr>
      <w:r w:rsidRPr="00596F94">
        <w:rPr>
          <w:rFonts w:ascii="Times New Roman" w:hAnsi="Times New Roman"/>
          <w:b/>
          <w:szCs w:val="22"/>
        </w:rPr>
        <w:t>First Screening Visit (</w:t>
      </w:r>
      <w:r w:rsidRPr="00596F94">
        <w:rPr>
          <w:rFonts w:ascii="Times New Roman" w:hAnsi="Times New Roman"/>
          <w:szCs w:val="22"/>
        </w:rPr>
        <w:t>at 16 weeks (+/- 1 week) of Rx</w:t>
      </w:r>
      <w:r w:rsidRPr="00596F94">
        <w:rPr>
          <w:rFonts w:ascii="Times New Roman" w:hAnsi="Times New Roman"/>
          <w:b/>
          <w:szCs w:val="22"/>
        </w:rPr>
        <w:t>):</w:t>
      </w:r>
      <w:r w:rsidRPr="00596F94">
        <w:rPr>
          <w:rFonts w:ascii="Times New Roman" w:hAnsi="Times New Roman"/>
          <w:szCs w:val="22"/>
        </w:rPr>
        <w:t xml:space="preserve"> Sputum Xpert MTB/RIF and MGIT culture.</w:t>
      </w:r>
    </w:p>
    <w:p w14:paraId="073A8255" w14:textId="77777777" w:rsidR="00385B57" w:rsidRPr="00596F94" w:rsidRDefault="00385B57" w:rsidP="00385B57">
      <w:pPr>
        <w:rPr>
          <w:rFonts w:ascii="Times New Roman" w:hAnsi="Times New Roman"/>
          <w:szCs w:val="22"/>
        </w:rPr>
      </w:pPr>
      <w:r w:rsidRPr="00596F94">
        <w:rPr>
          <w:rFonts w:ascii="Times New Roman" w:hAnsi="Times New Roman"/>
          <w:b/>
          <w:szCs w:val="22"/>
        </w:rPr>
        <w:t>Second Screening Visit (</w:t>
      </w:r>
      <w:r w:rsidRPr="00596F94">
        <w:rPr>
          <w:rFonts w:ascii="Times New Roman" w:hAnsi="Times New Roman"/>
          <w:szCs w:val="22"/>
        </w:rPr>
        <w:t>at 18 weeks (+ 3 weeks) of Rx and  ≥ 14 days after first screen</w:t>
      </w:r>
      <w:r w:rsidRPr="00596F94">
        <w:rPr>
          <w:rFonts w:ascii="Times New Roman" w:hAnsi="Times New Roman"/>
          <w:b/>
          <w:szCs w:val="22"/>
        </w:rPr>
        <w:t>):</w:t>
      </w:r>
      <w:r w:rsidRPr="00596F94">
        <w:rPr>
          <w:rFonts w:ascii="Times New Roman" w:hAnsi="Times New Roman"/>
          <w:szCs w:val="22"/>
        </w:rPr>
        <w:t xml:space="preserve"> Sputum Xpert MTB/RIF and MGIT culture.</w:t>
      </w:r>
    </w:p>
    <w:p w14:paraId="6AA6BD4F" w14:textId="77777777" w:rsidR="00385B57" w:rsidRPr="00596F94" w:rsidRDefault="00385B57" w:rsidP="00385B57">
      <w:pPr>
        <w:rPr>
          <w:rFonts w:ascii="Times New Roman" w:hAnsi="Times New Roman"/>
          <w:b/>
          <w:szCs w:val="22"/>
        </w:rPr>
      </w:pPr>
      <w:r w:rsidRPr="00596F94">
        <w:rPr>
          <w:rFonts w:ascii="Times New Roman" w:hAnsi="Times New Roman"/>
          <w:b/>
          <w:szCs w:val="22"/>
        </w:rPr>
        <w:t>Third Screening Visit (or on Day 0):</w:t>
      </w:r>
      <w:r w:rsidRPr="00596F94">
        <w:rPr>
          <w:rFonts w:ascii="Times New Roman" w:hAnsi="Times New Roman"/>
          <w:szCs w:val="22"/>
        </w:rPr>
        <w:t xml:space="preserve"> Sputum Xpert MTB/RIF and MGIT culture </w:t>
      </w:r>
    </w:p>
    <w:p w14:paraId="19B97603" w14:textId="77777777" w:rsidR="00385B57" w:rsidRPr="00596F94" w:rsidRDefault="00385B57" w:rsidP="00385B57">
      <w:pPr>
        <w:rPr>
          <w:rFonts w:ascii="Times New Roman" w:hAnsi="Times New Roman"/>
          <w:szCs w:val="22"/>
        </w:rPr>
      </w:pPr>
      <w:r w:rsidRPr="00596F94">
        <w:rPr>
          <w:rFonts w:ascii="Times New Roman" w:hAnsi="Times New Roman"/>
          <w:b/>
          <w:szCs w:val="22"/>
        </w:rPr>
        <w:t>On study after Day 0</w:t>
      </w:r>
      <w:r w:rsidRPr="00596F94">
        <w:rPr>
          <w:rFonts w:ascii="Times New Roman" w:hAnsi="Times New Roman"/>
          <w:szCs w:val="22"/>
        </w:rPr>
        <w:t>: Sputum Xpert MTB/RIF and MGIT culture for suspected recurrent TB only (symptom directed by presence of unexplained or persistent TB symptoms for 14 days or longer, or any hemoptysis).</w:t>
      </w:r>
    </w:p>
    <w:p w14:paraId="7AF123A8" w14:textId="77777777" w:rsidR="00385B57" w:rsidRPr="00596F94" w:rsidRDefault="00385B57" w:rsidP="00385B57">
      <w:pPr>
        <w:rPr>
          <w:rFonts w:cs="Arial"/>
          <w:szCs w:val="22"/>
        </w:rPr>
      </w:pPr>
      <w:r w:rsidRPr="00596F94">
        <w:rPr>
          <w:rFonts w:ascii="Times New Roman" w:hAnsi="Times New Roman"/>
          <w:szCs w:val="22"/>
          <w:shd w:val="clear" w:color="auto" w:fill="FFFF00"/>
        </w:rPr>
        <w:t>NOTE:</w:t>
      </w:r>
      <w:r w:rsidRPr="00596F94">
        <w:rPr>
          <w:rFonts w:ascii="Times New Roman" w:hAnsi="Times New Roman"/>
          <w:szCs w:val="22"/>
        </w:rPr>
        <w:t xml:space="preserve"> </w:t>
      </w:r>
      <w:r w:rsidRPr="00596F94">
        <w:rPr>
          <w:rFonts w:ascii="Times New Roman" w:hAnsi="Times New Roman"/>
          <w:szCs w:val="22"/>
          <w:shd w:val="clear" w:color="auto" w:fill="FFFF00"/>
        </w:rPr>
        <w:t>Yellow denotes Cohort 3 only visits and procedures</w:t>
      </w:r>
    </w:p>
    <w:p w14:paraId="08669AF2" w14:textId="77777777" w:rsidR="006855F1" w:rsidRPr="009B0277" w:rsidRDefault="006855F1">
      <w:pPr>
        <w:pStyle w:val="SchemaTitle"/>
        <w:jc w:val="left"/>
        <w:rPr>
          <w:rFonts w:ascii="Times New Roman" w:hAnsi="Times New Roman"/>
          <w:sz w:val="22"/>
          <w:szCs w:val="22"/>
        </w:rPr>
        <w:sectPr w:rsidR="006855F1" w:rsidRPr="009B0277" w:rsidSect="00DB7C63">
          <w:endnotePr>
            <w:numFmt w:val="decimal"/>
          </w:endnotePr>
          <w:pgSz w:w="15840" w:h="12240" w:orient="landscape" w:code="1"/>
          <w:pgMar w:top="1440" w:right="1440" w:bottom="1440" w:left="1440" w:header="1152" w:footer="864" w:gutter="0"/>
          <w:cols w:space="720"/>
          <w:noEndnote/>
          <w:docGrid w:linePitch="360"/>
        </w:sectPr>
      </w:pPr>
    </w:p>
    <w:p w14:paraId="34765D6B" w14:textId="72C2BDE0" w:rsidR="006855F1" w:rsidRPr="005E13C1" w:rsidRDefault="001B50A7" w:rsidP="005E13C1">
      <w:pPr>
        <w:pStyle w:val="Heading1"/>
        <w:numPr>
          <w:ilvl w:val="0"/>
          <w:numId w:val="0"/>
        </w:numPr>
        <w:spacing w:before="0" w:line="240" w:lineRule="auto"/>
        <w:jc w:val="center"/>
        <w:rPr>
          <w:caps w:val="0"/>
        </w:rPr>
      </w:pPr>
      <w:bookmarkStart w:id="517" w:name="_Ref387344434"/>
      <w:bookmarkStart w:id="518" w:name="_Ref376868873"/>
      <w:bookmarkStart w:id="519" w:name="_Toc389130061"/>
      <w:bookmarkStart w:id="520" w:name="_Toc389130120"/>
      <w:bookmarkStart w:id="521" w:name="_Toc440906364"/>
      <w:r w:rsidRPr="005E13C1">
        <w:rPr>
          <w:caps w:val="0"/>
          <w:sz w:val="22"/>
          <w:szCs w:val="22"/>
        </w:rPr>
        <w:t xml:space="preserve">Appendix </w:t>
      </w:r>
      <w:r w:rsidR="00347B69" w:rsidRPr="005E13C1">
        <w:rPr>
          <w:caps w:val="0"/>
          <w:sz w:val="22"/>
          <w:szCs w:val="22"/>
        </w:rPr>
        <w:fldChar w:fldCharType="begin"/>
      </w:r>
      <w:r w:rsidR="00347B69" w:rsidRPr="005E13C1">
        <w:rPr>
          <w:caps w:val="0"/>
          <w:sz w:val="22"/>
          <w:szCs w:val="22"/>
        </w:rPr>
        <w:instrText xml:space="preserve"> SEQ Appendix \* ARABIC </w:instrText>
      </w:r>
      <w:r w:rsidR="00347B69" w:rsidRPr="005E13C1">
        <w:rPr>
          <w:caps w:val="0"/>
          <w:sz w:val="22"/>
          <w:szCs w:val="22"/>
        </w:rPr>
        <w:fldChar w:fldCharType="separate"/>
      </w:r>
      <w:r w:rsidR="00024E24">
        <w:rPr>
          <w:caps w:val="0"/>
          <w:noProof/>
          <w:sz w:val="22"/>
          <w:szCs w:val="22"/>
        </w:rPr>
        <w:t>4</w:t>
      </w:r>
      <w:r w:rsidR="00347B69" w:rsidRPr="005E13C1">
        <w:rPr>
          <w:caps w:val="0"/>
          <w:noProof/>
          <w:sz w:val="22"/>
          <w:szCs w:val="22"/>
        </w:rPr>
        <w:fldChar w:fldCharType="end"/>
      </w:r>
      <w:bookmarkEnd w:id="517"/>
      <w:bookmarkEnd w:id="518"/>
      <w:r w:rsidRPr="005E13C1">
        <w:rPr>
          <w:caps w:val="0"/>
          <w:sz w:val="22"/>
          <w:szCs w:val="22"/>
        </w:rPr>
        <w:t>: Grading scale for clinical laboratory values</w:t>
      </w:r>
      <w:bookmarkEnd w:id="519"/>
      <w:bookmarkEnd w:id="520"/>
      <w:bookmarkEnd w:id="521"/>
    </w:p>
    <w:tbl>
      <w:tblPr>
        <w:tblW w:w="12322" w:type="dxa"/>
        <w:jc w:val="center"/>
        <w:tblLayout w:type="fixed"/>
        <w:tblCellMar>
          <w:left w:w="62" w:type="dxa"/>
          <w:right w:w="62" w:type="dxa"/>
        </w:tblCellMar>
        <w:tblLook w:val="0000" w:firstRow="0" w:lastRow="0" w:firstColumn="0" w:lastColumn="0" w:noHBand="0" w:noVBand="0"/>
      </w:tblPr>
      <w:tblGrid>
        <w:gridCol w:w="2196"/>
        <w:gridCol w:w="2750"/>
        <w:gridCol w:w="2610"/>
        <w:gridCol w:w="2078"/>
        <w:gridCol w:w="14"/>
        <w:gridCol w:w="2674"/>
      </w:tblGrid>
      <w:tr w:rsidR="002C589F" w:rsidRPr="00D2603B" w14:paraId="48C6F516" w14:textId="77777777" w:rsidTr="00D2603B">
        <w:trPr>
          <w:cantSplit/>
          <w:trHeight w:val="360"/>
          <w:jc w:val="center"/>
        </w:trPr>
        <w:tc>
          <w:tcPr>
            <w:tcW w:w="2196" w:type="dxa"/>
            <w:tcBorders>
              <w:top w:val="double" w:sz="6" w:space="0" w:color="auto"/>
              <w:left w:val="double" w:sz="6" w:space="0" w:color="auto"/>
              <w:right w:val="single" w:sz="4" w:space="0" w:color="auto"/>
            </w:tcBorders>
            <w:shd w:val="pct10" w:color="auto" w:fill="FFFFFF"/>
            <w:vAlign w:val="center"/>
          </w:tcPr>
          <w:p w14:paraId="3BEA9994" w14:textId="77777777" w:rsidR="002C589F" w:rsidRPr="00D2603B" w:rsidRDefault="002C589F" w:rsidP="00D2603B">
            <w:pPr>
              <w:keepNext/>
              <w:spacing w:line="240" w:lineRule="auto"/>
              <w:jc w:val="center"/>
              <w:rPr>
                <w:rFonts w:cs="Arial"/>
                <w:b/>
                <w:sz w:val="18"/>
                <w:szCs w:val="18"/>
              </w:rPr>
            </w:pPr>
          </w:p>
        </w:tc>
        <w:tc>
          <w:tcPr>
            <w:tcW w:w="10126" w:type="dxa"/>
            <w:gridSpan w:val="5"/>
            <w:tcBorders>
              <w:top w:val="double" w:sz="6" w:space="0" w:color="auto"/>
              <w:left w:val="single" w:sz="4" w:space="0" w:color="auto"/>
              <w:bottom w:val="single" w:sz="4" w:space="0" w:color="auto"/>
              <w:right w:val="double" w:sz="6" w:space="0" w:color="auto"/>
            </w:tcBorders>
            <w:shd w:val="pct10" w:color="auto" w:fill="FFFFFF"/>
            <w:vAlign w:val="center"/>
          </w:tcPr>
          <w:p w14:paraId="0E14A33C" w14:textId="77777777" w:rsidR="002C589F" w:rsidRPr="00D2603B" w:rsidRDefault="002C589F" w:rsidP="00D2603B">
            <w:pPr>
              <w:keepNext/>
              <w:spacing w:line="240" w:lineRule="auto"/>
              <w:jc w:val="center"/>
              <w:rPr>
                <w:rFonts w:cs="Arial"/>
                <w:b/>
                <w:sz w:val="18"/>
                <w:szCs w:val="18"/>
              </w:rPr>
            </w:pPr>
            <w:r w:rsidRPr="00D2603B">
              <w:rPr>
                <w:rFonts w:cs="Arial"/>
                <w:b/>
                <w:sz w:val="18"/>
                <w:szCs w:val="18"/>
              </w:rPr>
              <w:t>Grade for Abnormal Results (Value or Change from Reference)*</w:t>
            </w:r>
          </w:p>
        </w:tc>
      </w:tr>
      <w:tr w:rsidR="002C589F" w:rsidRPr="00D2603B" w14:paraId="30675700" w14:textId="77777777" w:rsidTr="00D2603B">
        <w:trPr>
          <w:cantSplit/>
          <w:trHeight w:val="360"/>
          <w:jc w:val="center"/>
        </w:trPr>
        <w:tc>
          <w:tcPr>
            <w:tcW w:w="2196" w:type="dxa"/>
            <w:tcBorders>
              <w:left w:val="double" w:sz="6" w:space="0" w:color="auto"/>
              <w:bottom w:val="single" w:sz="4" w:space="0" w:color="auto"/>
              <w:right w:val="single" w:sz="4" w:space="0" w:color="auto"/>
            </w:tcBorders>
            <w:shd w:val="pct10" w:color="auto" w:fill="FFFFFF"/>
            <w:vAlign w:val="center"/>
          </w:tcPr>
          <w:p w14:paraId="13B520FD" w14:textId="77777777" w:rsidR="002C589F" w:rsidRPr="00D2603B" w:rsidRDefault="002C589F" w:rsidP="00D2603B">
            <w:pPr>
              <w:keepNext/>
              <w:spacing w:line="240" w:lineRule="auto"/>
              <w:jc w:val="center"/>
              <w:rPr>
                <w:rFonts w:cs="Arial"/>
                <w:b/>
                <w:sz w:val="18"/>
                <w:szCs w:val="18"/>
              </w:rPr>
            </w:pPr>
            <w:r w:rsidRPr="00D2603B">
              <w:rPr>
                <w:rFonts w:cs="Arial"/>
                <w:b/>
                <w:sz w:val="18"/>
                <w:szCs w:val="18"/>
              </w:rPr>
              <w:t>Parameter</w:t>
            </w:r>
          </w:p>
        </w:tc>
        <w:tc>
          <w:tcPr>
            <w:tcW w:w="2750" w:type="dxa"/>
            <w:tcBorders>
              <w:top w:val="single" w:sz="4" w:space="0" w:color="auto"/>
              <w:left w:val="single" w:sz="4" w:space="0" w:color="auto"/>
              <w:bottom w:val="single" w:sz="4" w:space="0" w:color="auto"/>
              <w:right w:val="single" w:sz="4" w:space="0" w:color="auto"/>
            </w:tcBorders>
            <w:shd w:val="pct10" w:color="auto" w:fill="FFFFFF"/>
            <w:vAlign w:val="center"/>
          </w:tcPr>
          <w:p w14:paraId="3E0249A6" w14:textId="77777777" w:rsidR="00D2603B" w:rsidRDefault="002C589F" w:rsidP="00D2603B">
            <w:pPr>
              <w:keepNext/>
              <w:spacing w:line="240" w:lineRule="auto"/>
              <w:jc w:val="center"/>
              <w:rPr>
                <w:rFonts w:cs="Arial"/>
                <w:b/>
                <w:sz w:val="18"/>
                <w:szCs w:val="18"/>
              </w:rPr>
            </w:pPr>
            <w:r w:rsidRPr="00D2603B">
              <w:rPr>
                <w:rFonts w:cs="Arial"/>
                <w:b/>
                <w:sz w:val="18"/>
                <w:szCs w:val="18"/>
              </w:rPr>
              <w:t xml:space="preserve">Mild </w:t>
            </w:r>
          </w:p>
          <w:p w14:paraId="153207A5" w14:textId="78D02C55" w:rsidR="002C589F" w:rsidRPr="00D2603B" w:rsidRDefault="002C589F" w:rsidP="00D2603B">
            <w:pPr>
              <w:keepNext/>
              <w:spacing w:line="240" w:lineRule="auto"/>
              <w:jc w:val="center"/>
              <w:rPr>
                <w:rFonts w:cs="Arial"/>
                <w:b/>
                <w:sz w:val="18"/>
                <w:szCs w:val="18"/>
              </w:rPr>
            </w:pPr>
            <w:r w:rsidRPr="00D2603B">
              <w:rPr>
                <w:rFonts w:cs="Arial"/>
                <w:b/>
                <w:sz w:val="18"/>
                <w:szCs w:val="18"/>
              </w:rPr>
              <w:t>(Grade 1)</w:t>
            </w:r>
          </w:p>
        </w:tc>
        <w:tc>
          <w:tcPr>
            <w:tcW w:w="2610" w:type="dxa"/>
            <w:tcBorders>
              <w:top w:val="single" w:sz="4" w:space="0" w:color="auto"/>
              <w:left w:val="single" w:sz="4" w:space="0" w:color="auto"/>
              <w:bottom w:val="single" w:sz="4" w:space="0" w:color="auto"/>
              <w:right w:val="single" w:sz="4" w:space="0" w:color="auto"/>
            </w:tcBorders>
            <w:shd w:val="pct10" w:color="auto" w:fill="FFFFFF"/>
            <w:vAlign w:val="center"/>
          </w:tcPr>
          <w:p w14:paraId="6541C092" w14:textId="77777777" w:rsidR="00D2603B" w:rsidRDefault="002C589F" w:rsidP="00D2603B">
            <w:pPr>
              <w:keepNext/>
              <w:spacing w:line="240" w:lineRule="auto"/>
              <w:jc w:val="center"/>
              <w:rPr>
                <w:rFonts w:cs="Arial"/>
                <w:b/>
                <w:sz w:val="18"/>
                <w:szCs w:val="18"/>
              </w:rPr>
            </w:pPr>
            <w:r w:rsidRPr="00D2603B">
              <w:rPr>
                <w:rFonts w:cs="Arial"/>
                <w:b/>
                <w:sz w:val="18"/>
                <w:szCs w:val="18"/>
              </w:rPr>
              <w:t xml:space="preserve">Moderate </w:t>
            </w:r>
          </w:p>
          <w:p w14:paraId="3B5BF5F2" w14:textId="26859F72" w:rsidR="002C589F" w:rsidRPr="00D2603B" w:rsidRDefault="002C589F" w:rsidP="00D2603B">
            <w:pPr>
              <w:keepNext/>
              <w:spacing w:line="240" w:lineRule="auto"/>
              <w:jc w:val="center"/>
              <w:rPr>
                <w:rFonts w:cs="Arial"/>
                <w:b/>
                <w:sz w:val="18"/>
                <w:szCs w:val="18"/>
              </w:rPr>
            </w:pPr>
            <w:r w:rsidRPr="00D2603B">
              <w:rPr>
                <w:rFonts w:cs="Arial"/>
                <w:b/>
                <w:sz w:val="18"/>
                <w:szCs w:val="18"/>
              </w:rPr>
              <w:t>(Grade 2)</w:t>
            </w:r>
          </w:p>
        </w:tc>
        <w:tc>
          <w:tcPr>
            <w:tcW w:w="2078" w:type="dxa"/>
            <w:tcBorders>
              <w:top w:val="single" w:sz="4" w:space="0" w:color="auto"/>
              <w:left w:val="single" w:sz="4" w:space="0" w:color="auto"/>
              <w:bottom w:val="single" w:sz="4" w:space="0" w:color="auto"/>
              <w:right w:val="single" w:sz="4" w:space="0" w:color="auto"/>
            </w:tcBorders>
            <w:shd w:val="pct10" w:color="auto" w:fill="FFFFFF"/>
            <w:vAlign w:val="center"/>
          </w:tcPr>
          <w:p w14:paraId="6F429C4C" w14:textId="77777777" w:rsidR="00D2603B" w:rsidRDefault="002C589F" w:rsidP="00D2603B">
            <w:pPr>
              <w:keepNext/>
              <w:spacing w:line="240" w:lineRule="auto"/>
              <w:jc w:val="center"/>
              <w:rPr>
                <w:rFonts w:cs="Arial"/>
                <w:b/>
                <w:sz w:val="18"/>
                <w:szCs w:val="18"/>
              </w:rPr>
            </w:pPr>
            <w:r w:rsidRPr="00D2603B">
              <w:rPr>
                <w:rFonts w:cs="Arial"/>
                <w:b/>
                <w:sz w:val="18"/>
                <w:szCs w:val="18"/>
              </w:rPr>
              <w:t xml:space="preserve">Severe </w:t>
            </w:r>
          </w:p>
          <w:p w14:paraId="51F716CF" w14:textId="6972FF2D" w:rsidR="002C589F" w:rsidRPr="00D2603B" w:rsidRDefault="002C589F" w:rsidP="00D2603B">
            <w:pPr>
              <w:keepNext/>
              <w:spacing w:line="240" w:lineRule="auto"/>
              <w:jc w:val="center"/>
              <w:rPr>
                <w:rFonts w:cs="Arial"/>
                <w:b/>
                <w:sz w:val="18"/>
                <w:szCs w:val="18"/>
              </w:rPr>
            </w:pPr>
            <w:r w:rsidRPr="00D2603B">
              <w:rPr>
                <w:rFonts w:cs="Arial"/>
                <w:b/>
                <w:sz w:val="18"/>
                <w:szCs w:val="18"/>
              </w:rPr>
              <w:t>(Grade 3)</w:t>
            </w:r>
          </w:p>
        </w:tc>
        <w:tc>
          <w:tcPr>
            <w:tcW w:w="2688" w:type="dxa"/>
            <w:gridSpan w:val="2"/>
            <w:tcBorders>
              <w:top w:val="single" w:sz="4" w:space="0" w:color="auto"/>
              <w:left w:val="single" w:sz="4" w:space="0" w:color="auto"/>
              <w:bottom w:val="single" w:sz="4" w:space="0" w:color="auto"/>
              <w:right w:val="double" w:sz="6" w:space="0" w:color="auto"/>
            </w:tcBorders>
            <w:shd w:val="pct10" w:color="auto" w:fill="FFFFFF"/>
            <w:vAlign w:val="center"/>
          </w:tcPr>
          <w:p w14:paraId="0F32F17F" w14:textId="77777777" w:rsidR="002C589F" w:rsidRPr="00D2603B" w:rsidRDefault="002C589F" w:rsidP="00D2603B">
            <w:pPr>
              <w:keepNext/>
              <w:spacing w:line="240" w:lineRule="auto"/>
              <w:jc w:val="center"/>
              <w:rPr>
                <w:rFonts w:cs="Arial"/>
                <w:b/>
                <w:sz w:val="18"/>
                <w:szCs w:val="18"/>
              </w:rPr>
            </w:pPr>
            <w:r w:rsidRPr="00D2603B">
              <w:rPr>
                <w:rFonts w:cs="Arial"/>
                <w:b/>
                <w:sz w:val="18"/>
                <w:szCs w:val="18"/>
              </w:rPr>
              <w:t>Potentially Life-threatening (Grade 4)</w:t>
            </w:r>
          </w:p>
        </w:tc>
      </w:tr>
      <w:tr w:rsidR="002C589F" w:rsidRPr="00D2603B" w14:paraId="7D4F73E8" w14:textId="77777777" w:rsidTr="00D2603B">
        <w:trPr>
          <w:cantSplit/>
          <w:jc w:val="center"/>
        </w:trPr>
        <w:tc>
          <w:tcPr>
            <w:tcW w:w="2196" w:type="dxa"/>
            <w:tcBorders>
              <w:top w:val="single" w:sz="4" w:space="0" w:color="auto"/>
              <w:left w:val="double" w:sz="6" w:space="0" w:color="auto"/>
              <w:bottom w:val="single" w:sz="4" w:space="0" w:color="auto"/>
              <w:right w:val="single" w:sz="4" w:space="0" w:color="auto"/>
            </w:tcBorders>
            <w:shd w:val="clear" w:color="auto" w:fill="FFFFFF"/>
          </w:tcPr>
          <w:p w14:paraId="09CC8A8F" w14:textId="61AB9AC6"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Creatinine</w:t>
            </w:r>
            <w:r w:rsidR="00C86663">
              <w:rPr>
                <w:rFonts w:cs="Arial"/>
                <w:sz w:val="18"/>
                <w:szCs w:val="18"/>
              </w:rPr>
              <w:t xml:space="preserve"> (</w:t>
            </w:r>
            <w:r w:rsidR="00C86663" w:rsidRPr="00D2603B">
              <w:rPr>
                <w:rFonts w:cs="Arial"/>
                <w:sz w:val="18"/>
                <w:szCs w:val="18"/>
              </w:rPr>
              <w:t>mg/dL</w:t>
            </w:r>
            <w:r w:rsidR="00C86663">
              <w:rPr>
                <w:rFonts w:cs="Arial"/>
                <w:sz w:val="18"/>
                <w:szCs w:val="18"/>
              </w:rPr>
              <w:t>)</w:t>
            </w:r>
          </w:p>
        </w:tc>
        <w:tc>
          <w:tcPr>
            <w:tcW w:w="2750" w:type="dxa"/>
            <w:tcBorders>
              <w:top w:val="single" w:sz="4" w:space="0" w:color="auto"/>
              <w:left w:val="single" w:sz="4" w:space="0" w:color="auto"/>
              <w:bottom w:val="single" w:sz="4" w:space="0" w:color="auto"/>
              <w:right w:val="single" w:sz="4" w:space="0" w:color="auto"/>
            </w:tcBorders>
            <w:shd w:val="clear" w:color="auto" w:fill="FFFFFF"/>
          </w:tcPr>
          <w:p w14:paraId="1D5F7317" w14:textId="2424F7B6" w:rsidR="002C589F" w:rsidRPr="00D2603B" w:rsidRDefault="002C589F" w:rsidP="00C86663">
            <w:pPr>
              <w:keepNext/>
              <w:spacing w:before="40" w:after="40" w:line="240" w:lineRule="auto"/>
              <w:ind w:left="216" w:hanging="216"/>
              <w:rPr>
                <w:rFonts w:cs="Arial"/>
                <w:sz w:val="18"/>
                <w:szCs w:val="18"/>
              </w:rPr>
            </w:pPr>
            <w:r w:rsidRPr="00D2603B">
              <w:rPr>
                <w:rFonts w:cs="Arial"/>
                <w:sz w:val="18"/>
                <w:szCs w:val="18"/>
              </w:rPr>
              <w:t>&gt;1.5 - 1.7 mg/dL</w:t>
            </w:r>
          </w:p>
        </w:tc>
        <w:tc>
          <w:tcPr>
            <w:tcW w:w="2610" w:type="dxa"/>
            <w:tcBorders>
              <w:top w:val="single" w:sz="4" w:space="0" w:color="auto"/>
              <w:left w:val="single" w:sz="4" w:space="0" w:color="auto"/>
              <w:bottom w:val="single" w:sz="4" w:space="0" w:color="auto"/>
              <w:right w:val="single" w:sz="4" w:space="0" w:color="auto"/>
            </w:tcBorders>
            <w:shd w:val="clear" w:color="auto" w:fill="FFFFFF"/>
          </w:tcPr>
          <w:p w14:paraId="71CF0495" w14:textId="63706B06" w:rsidR="002C589F" w:rsidRPr="00D2603B" w:rsidRDefault="002C589F" w:rsidP="00C86663">
            <w:pPr>
              <w:keepNext/>
              <w:spacing w:before="40" w:after="40" w:line="240" w:lineRule="auto"/>
              <w:ind w:left="216" w:hanging="216"/>
              <w:rPr>
                <w:rFonts w:cs="Arial"/>
                <w:sz w:val="18"/>
                <w:szCs w:val="18"/>
              </w:rPr>
            </w:pPr>
            <w:r w:rsidRPr="00D2603B">
              <w:rPr>
                <w:rFonts w:cs="Arial"/>
                <w:sz w:val="18"/>
                <w:szCs w:val="18"/>
              </w:rPr>
              <w:t>1.8 - 2.0 mg/dL</w:t>
            </w:r>
          </w:p>
        </w:tc>
        <w:tc>
          <w:tcPr>
            <w:tcW w:w="2092" w:type="dxa"/>
            <w:gridSpan w:val="2"/>
            <w:tcBorders>
              <w:top w:val="single" w:sz="4" w:space="0" w:color="auto"/>
              <w:left w:val="single" w:sz="4" w:space="0" w:color="auto"/>
              <w:bottom w:val="single" w:sz="4" w:space="0" w:color="auto"/>
              <w:right w:val="single" w:sz="4" w:space="0" w:color="auto"/>
            </w:tcBorders>
            <w:shd w:val="clear" w:color="auto" w:fill="FFFFFF"/>
          </w:tcPr>
          <w:p w14:paraId="2DEFB00E" w14:textId="6AC6ADA1" w:rsidR="002C589F" w:rsidRPr="00D2603B" w:rsidRDefault="002C589F" w:rsidP="00C86663">
            <w:pPr>
              <w:keepNext/>
              <w:spacing w:before="40" w:after="40" w:line="240" w:lineRule="auto"/>
              <w:ind w:left="216" w:hanging="216"/>
              <w:rPr>
                <w:rFonts w:cs="Arial"/>
                <w:sz w:val="18"/>
                <w:szCs w:val="18"/>
              </w:rPr>
            </w:pPr>
            <w:r w:rsidRPr="00D2603B">
              <w:rPr>
                <w:rFonts w:cs="Arial"/>
                <w:sz w:val="18"/>
                <w:szCs w:val="18"/>
              </w:rPr>
              <w:t>2.1 - 2.5 mg/dL</w:t>
            </w:r>
          </w:p>
        </w:tc>
        <w:tc>
          <w:tcPr>
            <w:tcW w:w="2674" w:type="dxa"/>
            <w:tcBorders>
              <w:top w:val="single" w:sz="4" w:space="0" w:color="auto"/>
              <w:left w:val="single" w:sz="4" w:space="0" w:color="auto"/>
              <w:bottom w:val="single" w:sz="4" w:space="0" w:color="auto"/>
              <w:right w:val="double" w:sz="6" w:space="0" w:color="auto"/>
            </w:tcBorders>
            <w:shd w:val="clear" w:color="auto" w:fill="FFFFFF"/>
          </w:tcPr>
          <w:p w14:paraId="5F41E087" w14:textId="62FFDB45" w:rsidR="002C589F" w:rsidRPr="00D2603B" w:rsidRDefault="002C589F" w:rsidP="00C86663">
            <w:pPr>
              <w:keepNext/>
              <w:spacing w:before="40" w:after="40" w:line="240" w:lineRule="auto"/>
              <w:ind w:left="216" w:hanging="216"/>
              <w:rPr>
                <w:rFonts w:cs="Arial"/>
                <w:sz w:val="18"/>
                <w:szCs w:val="18"/>
              </w:rPr>
            </w:pPr>
            <w:r w:rsidRPr="00D2603B">
              <w:rPr>
                <w:rFonts w:cs="Arial"/>
                <w:sz w:val="18"/>
                <w:szCs w:val="18"/>
              </w:rPr>
              <w:t>&gt;2.5 mg/dL or requires dialysis</w:t>
            </w:r>
          </w:p>
        </w:tc>
      </w:tr>
      <w:tr w:rsidR="002C589F" w:rsidRPr="00D2603B" w14:paraId="6071AF2A" w14:textId="77777777" w:rsidTr="00D2603B">
        <w:trPr>
          <w:cantSplit/>
          <w:jc w:val="center"/>
        </w:trPr>
        <w:tc>
          <w:tcPr>
            <w:tcW w:w="2196" w:type="dxa"/>
            <w:tcBorders>
              <w:top w:val="single" w:sz="4" w:space="0" w:color="auto"/>
              <w:left w:val="double" w:sz="6" w:space="0" w:color="auto"/>
              <w:bottom w:val="single" w:sz="4" w:space="0" w:color="auto"/>
              <w:right w:val="single" w:sz="4" w:space="0" w:color="auto"/>
            </w:tcBorders>
            <w:shd w:val="clear" w:color="auto" w:fill="FFFFFF"/>
          </w:tcPr>
          <w:p w14:paraId="6C1E7574" w14:textId="7140551E"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Total Bilirubin</w:t>
            </w:r>
            <w:r w:rsidR="00C86663">
              <w:rPr>
                <w:rFonts w:cs="Arial"/>
                <w:sz w:val="18"/>
                <w:szCs w:val="18"/>
              </w:rPr>
              <w:t xml:space="preserve"> (</w:t>
            </w:r>
            <w:r w:rsidR="00C86663" w:rsidRPr="00D2603B">
              <w:rPr>
                <w:rFonts w:cs="Arial"/>
                <w:sz w:val="18"/>
                <w:szCs w:val="18"/>
              </w:rPr>
              <w:t>mg/dL</w:t>
            </w:r>
            <w:r w:rsidR="00C86663">
              <w:rPr>
                <w:rFonts w:cs="Arial"/>
                <w:sz w:val="18"/>
                <w:szCs w:val="18"/>
              </w:rPr>
              <w:t>)</w:t>
            </w:r>
          </w:p>
        </w:tc>
        <w:tc>
          <w:tcPr>
            <w:tcW w:w="2750" w:type="dxa"/>
            <w:tcBorders>
              <w:top w:val="single" w:sz="4" w:space="0" w:color="auto"/>
              <w:left w:val="single" w:sz="4" w:space="0" w:color="auto"/>
              <w:bottom w:val="single" w:sz="4" w:space="0" w:color="auto"/>
              <w:right w:val="single" w:sz="4" w:space="0" w:color="auto"/>
            </w:tcBorders>
            <w:shd w:val="clear" w:color="auto" w:fill="FFFFFF"/>
          </w:tcPr>
          <w:p w14:paraId="1F73E153" w14:textId="77777777" w:rsidR="002C589F" w:rsidRPr="000B7056" w:rsidRDefault="002C589F" w:rsidP="006855F1">
            <w:pPr>
              <w:keepNext/>
              <w:tabs>
                <w:tab w:val="left" w:pos="2728"/>
                <w:tab w:val="left" w:pos="5332"/>
              </w:tabs>
              <w:spacing w:before="40" w:after="40" w:line="240" w:lineRule="auto"/>
              <w:rPr>
                <w:rFonts w:cs="Arial"/>
                <w:sz w:val="18"/>
                <w:szCs w:val="18"/>
                <w:lang w:val="fr-FR"/>
              </w:rPr>
            </w:pPr>
            <w:r w:rsidRPr="000B7056">
              <w:rPr>
                <w:rFonts w:cs="Arial"/>
                <w:sz w:val="18"/>
                <w:szCs w:val="18"/>
                <w:lang w:val="fr-FR"/>
              </w:rPr>
              <w:t>&gt;ULN - 1.5 x ULN*</w:t>
            </w:r>
          </w:p>
          <w:p w14:paraId="3B98032C" w14:textId="77777777" w:rsidR="002C589F" w:rsidRPr="000B7056" w:rsidRDefault="002C589F" w:rsidP="006855F1">
            <w:pPr>
              <w:keepNext/>
              <w:tabs>
                <w:tab w:val="left" w:pos="2728"/>
                <w:tab w:val="left" w:pos="5332"/>
              </w:tabs>
              <w:spacing w:before="40" w:after="40" w:line="240" w:lineRule="auto"/>
              <w:rPr>
                <w:rFonts w:cs="Arial"/>
                <w:sz w:val="18"/>
                <w:szCs w:val="18"/>
                <w:lang w:val="fr-FR"/>
              </w:rPr>
            </w:pPr>
            <w:r w:rsidRPr="000B7056">
              <w:rPr>
                <w:rFonts w:cs="Arial"/>
                <w:sz w:val="18"/>
                <w:szCs w:val="18"/>
                <w:lang w:val="fr-FR"/>
              </w:rPr>
              <w:t>**&gt;ULN - 1.25 x ULN</w:t>
            </w:r>
          </w:p>
        </w:tc>
        <w:tc>
          <w:tcPr>
            <w:tcW w:w="2610" w:type="dxa"/>
            <w:tcBorders>
              <w:top w:val="single" w:sz="4" w:space="0" w:color="auto"/>
              <w:left w:val="single" w:sz="4" w:space="0" w:color="auto"/>
              <w:bottom w:val="single" w:sz="4" w:space="0" w:color="auto"/>
              <w:right w:val="single" w:sz="4" w:space="0" w:color="auto"/>
            </w:tcBorders>
            <w:shd w:val="clear" w:color="auto" w:fill="FFFFFF"/>
          </w:tcPr>
          <w:p w14:paraId="51BE768A" w14:textId="77777777" w:rsidR="002C589F" w:rsidRPr="00D2603B" w:rsidRDefault="002C589F" w:rsidP="006855F1">
            <w:pPr>
              <w:keepNext/>
              <w:tabs>
                <w:tab w:val="left" w:pos="2728"/>
                <w:tab w:val="left" w:pos="5332"/>
              </w:tabs>
              <w:spacing w:before="40" w:after="40" w:line="240" w:lineRule="auto"/>
              <w:rPr>
                <w:rFonts w:cs="Arial"/>
                <w:sz w:val="18"/>
                <w:szCs w:val="18"/>
              </w:rPr>
            </w:pPr>
            <w:r w:rsidRPr="00D2603B">
              <w:rPr>
                <w:rFonts w:cs="Arial"/>
                <w:sz w:val="18"/>
                <w:szCs w:val="18"/>
              </w:rPr>
              <w:t>&gt;1.5 - 2.0 x ULN*</w:t>
            </w:r>
          </w:p>
          <w:p w14:paraId="12D677E2" w14:textId="77777777" w:rsidR="002C589F" w:rsidRPr="00D2603B" w:rsidRDefault="002C589F" w:rsidP="006855F1">
            <w:pPr>
              <w:keepNext/>
              <w:tabs>
                <w:tab w:val="left" w:pos="2728"/>
                <w:tab w:val="left" w:pos="5332"/>
              </w:tabs>
              <w:spacing w:before="40" w:after="40" w:line="240" w:lineRule="auto"/>
              <w:rPr>
                <w:rFonts w:cs="Arial"/>
                <w:sz w:val="18"/>
                <w:szCs w:val="18"/>
              </w:rPr>
            </w:pPr>
            <w:r w:rsidRPr="00D2603B">
              <w:rPr>
                <w:rFonts w:cs="Arial"/>
                <w:sz w:val="18"/>
                <w:szCs w:val="18"/>
              </w:rPr>
              <w:t>**&gt; 1.25 - 1.5 x ULN</w:t>
            </w:r>
          </w:p>
        </w:tc>
        <w:tc>
          <w:tcPr>
            <w:tcW w:w="2078" w:type="dxa"/>
            <w:tcBorders>
              <w:top w:val="single" w:sz="4" w:space="0" w:color="auto"/>
              <w:left w:val="single" w:sz="4" w:space="0" w:color="auto"/>
              <w:bottom w:val="single" w:sz="4" w:space="0" w:color="auto"/>
              <w:right w:val="single" w:sz="4" w:space="0" w:color="auto"/>
            </w:tcBorders>
            <w:shd w:val="clear" w:color="auto" w:fill="FFFFFF"/>
          </w:tcPr>
          <w:p w14:paraId="48C1D438"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&gt;2.0 - 3.0 x ULN</w:t>
            </w:r>
            <w:r w:rsidRPr="00D2603B" w:rsidDel="003B2664">
              <w:rPr>
                <w:rFonts w:cs="Arial"/>
                <w:sz w:val="18"/>
                <w:szCs w:val="18"/>
              </w:rPr>
              <w:t xml:space="preserve"> </w:t>
            </w:r>
            <w:r w:rsidRPr="00D2603B">
              <w:rPr>
                <w:rFonts w:cs="Arial"/>
                <w:sz w:val="18"/>
                <w:szCs w:val="18"/>
              </w:rPr>
              <w:t>*</w:t>
            </w:r>
          </w:p>
          <w:p w14:paraId="4EF74E3F"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**&gt; 1.5 - 1.75 x ULN</w:t>
            </w:r>
          </w:p>
        </w:tc>
        <w:tc>
          <w:tcPr>
            <w:tcW w:w="2688" w:type="dxa"/>
            <w:gridSpan w:val="2"/>
            <w:tcBorders>
              <w:top w:val="single" w:sz="4" w:space="0" w:color="auto"/>
              <w:left w:val="single" w:sz="4" w:space="0" w:color="auto"/>
              <w:bottom w:val="single" w:sz="4" w:space="0" w:color="auto"/>
              <w:right w:val="double" w:sz="6" w:space="0" w:color="auto"/>
            </w:tcBorders>
            <w:shd w:val="clear" w:color="auto" w:fill="FFFFFF"/>
          </w:tcPr>
          <w:p w14:paraId="0081A1EE"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&gt; 3.0 x ULN *</w:t>
            </w:r>
          </w:p>
          <w:p w14:paraId="082DCF2D"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**&gt; 1.75 x ULN</w:t>
            </w:r>
          </w:p>
        </w:tc>
      </w:tr>
      <w:tr w:rsidR="002C589F" w:rsidRPr="00D2603B" w14:paraId="2FA85CB3" w14:textId="77777777" w:rsidTr="00D2603B">
        <w:trPr>
          <w:cantSplit/>
          <w:jc w:val="center"/>
        </w:trPr>
        <w:tc>
          <w:tcPr>
            <w:tcW w:w="2196" w:type="dxa"/>
            <w:tcBorders>
              <w:top w:val="single" w:sz="4" w:space="0" w:color="auto"/>
              <w:left w:val="double" w:sz="6" w:space="0" w:color="auto"/>
              <w:bottom w:val="single" w:sz="4" w:space="0" w:color="auto"/>
              <w:right w:val="single" w:sz="4" w:space="0" w:color="auto"/>
            </w:tcBorders>
            <w:shd w:val="clear" w:color="auto" w:fill="FFFFFF"/>
          </w:tcPr>
          <w:p w14:paraId="0459BDFC" w14:textId="116E6F9D"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ALT (SGPT)</w:t>
            </w:r>
            <w:r w:rsidR="00C86663">
              <w:rPr>
                <w:rFonts w:cs="Arial"/>
                <w:sz w:val="18"/>
                <w:szCs w:val="18"/>
              </w:rPr>
              <w:t xml:space="preserve"> (IU/L)</w:t>
            </w:r>
          </w:p>
        </w:tc>
        <w:tc>
          <w:tcPr>
            <w:tcW w:w="2750" w:type="dxa"/>
            <w:tcBorders>
              <w:top w:val="single" w:sz="4" w:space="0" w:color="auto"/>
              <w:left w:val="single" w:sz="4" w:space="0" w:color="auto"/>
              <w:bottom w:val="single" w:sz="4" w:space="0" w:color="auto"/>
              <w:right w:val="single" w:sz="4" w:space="0" w:color="auto"/>
            </w:tcBorders>
            <w:shd w:val="clear" w:color="auto" w:fill="FFFFFF"/>
          </w:tcPr>
          <w:p w14:paraId="257075DB"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&gt;ULN - 2.5 x ULN</w:t>
            </w:r>
          </w:p>
        </w:tc>
        <w:tc>
          <w:tcPr>
            <w:tcW w:w="2610" w:type="dxa"/>
            <w:tcBorders>
              <w:top w:val="single" w:sz="4" w:space="0" w:color="auto"/>
              <w:left w:val="single" w:sz="4" w:space="0" w:color="auto"/>
              <w:bottom w:val="single" w:sz="4" w:space="0" w:color="auto"/>
              <w:right w:val="single" w:sz="4" w:space="0" w:color="auto"/>
            </w:tcBorders>
            <w:shd w:val="clear" w:color="auto" w:fill="FFFFFF"/>
          </w:tcPr>
          <w:p w14:paraId="666628F4"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&gt;2.5 - 5.0 x ULN</w:t>
            </w:r>
            <w:r w:rsidRPr="00D2603B" w:rsidDel="009A48E2">
              <w:rPr>
                <w:rFonts w:cs="Arial"/>
                <w:sz w:val="18"/>
                <w:szCs w:val="18"/>
              </w:rPr>
              <w:t xml:space="preserve"> </w:t>
            </w:r>
          </w:p>
        </w:tc>
        <w:tc>
          <w:tcPr>
            <w:tcW w:w="2078" w:type="dxa"/>
            <w:tcBorders>
              <w:top w:val="single" w:sz="4" w:space="0" w:color="auto"/>
              <w:left w:val="single" w:sz="4" w:space="0" w:color="auto"/>
              <w:bottom w:val="single" w:sz="4" w:space="0" w:color="auto"/>
              <w:right w:val="single" w:sz="4" w:space="0" w:color="auto"/>
            </w:tcBorders>
            <w:shd w:val="clear" w:color="auto" w:fill="FFFFFF"/>
          </w:tcPr>
          <w:p w14:paraId="783DF3AD"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&gt;5.0 - 10 x ULN</w:t>
            </w:r>
            <w:r w:rsidRPr="00D2603B" w:rsidDel="009A48E2">
              <w:rPr>
                <w:rFonts w:cs="Arial"/>
                <w:sz w:val="18"/>
                <w:szCs w:val="18"/>
              </w:rPr>
              <w:t xml:space="preserve"> </w:t>
            </w:r>
          </w:p>
        </w:tc>
        <w:tc>
          <w:tcPr>
            <w:tcW w:w="2688" w:type="dxa"/>
            <w:gridSpan w:val="2"/>
            <w:tcBorders>
              <w:top w:val="single" w:sz="4" w:space="0" w:color="auto"/>
              <w:left w:val="single" w:sz="4" w:space="0" w:color="auto"/>
              <w:bottom w:val="single" w:sz="4" w:space="0" w:color="auto"/>
              <w:right w:val="double" w:sz="6" w:space="0" w:color="auto"/>
            </w:tcBorders>
            <w:shd w:val="clear" w:color="auto" w:fill="FFFFFF"/>
          </w:tcPr>
          <w:p w14:paraId="7BBA2848"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&gt;10 x ULN</w:t>
            </w:r>
          </w:p>
        </w:tc>
      </w:tr>
      <w:tr w:rsidR="002C589F" w:rsidRPr="00D2603B" w14:paraId="0FB42A72" w14:textId="77777777" w:rsidTr="00D2603B">
        <w:trPr>
          <w:cantSplit/>
          <w:jc w:val="center"/>
        </w:trPr>
        <w:tc>
          <w:tcPr>
            <w:tcW w:w="2196" w:type="dxa"/>
            <w:tcBorders>
              <w:top w:val="single" w:sz="4" w:space="0" w:color="auto"/>
              <w:left w:val="double" w:sz="6" w:space="0" w:color="auto"/>
              <w:bottom w:val="single" w:sz="4" w:space="0" w:color="auto"/>
              <w:right w:val="single" w:sz="4" w:space="0" w:color="auto"/>
            </w:tcBorders>
            <w:shd w:val="clear" w:color="auto" w:fill="FFFFFF"/>
          </w:tcPr>
          <w:p w14:paraId="68F91352" w14:textId="54BCA0C4"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AST (SGOT)</w:t>
            </w:r>
            <w:r w:rsidR="00C86663">
              <w:rPr>
                <w:rFonts w:cs="Arial"/>
                <w:sz w:val="18"/>
                <w:szCs w:val="18"/>
              </w:rPr>
              <w:t xml:space="preserve"> (IU/L)</w:t>
            </w:r>
          </w:p>
        </w:tc>
        <w:tc>
          <w:tcPr>
            <w:tcW w:w="2750" w:type="dxa"/>
            <w:tcBorders>
              <w:top w:val="single" w:sz="4" w:space="0" w:color="auto"/>
              <w:left w:val="single" w:sz="4" w:space="0" w:color="auto"/>
              <w:bottom w:val="single" w:sz="4" w:space="0" w:color="auto"/>
              <w:right w:val="single" w:sz="4" w:space="0" w:color="auto"/>
            </w:tcBorders>
            <w:shd w:val="clear" w:color="auto" w:fill="FFFFFF"/>
          </w:tcPr>
          <w:p w14:paraId="2C0C5D45"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&gt;ULN - 2.5 x ULN</w:t>
            </w:r>
          </w:p>
        </w:tc>
        <w:tc>
          <w:tcPr>
            <w:tcW w:w="2610" w:type="dxa"/>
            <w:tcBorders>
              <w:top w:val="single" w:sz="4" w:space="0" w:color="auto"/>
              <w:left w:val="single" w:sz="4" w:space="0" w:color="auto"/>
              <w:bottom w:val="single" w:sz="4" w:space="0" w:color="auto"/>
              <w:right w:val="single" w:sz="4" w:space="0" w:color="auto"/>
            </w:tcBorders>
            <w:shd w:val="clear" w:color="auto" w:fill="FFFFFF"/>
          </w:tcPr>
          <w:p w14:paraId="7162F8EE" w14:textId="77777777" w:rsidR="002C589F" w:rsidRPr="00D2603B" w:rsidRDefault="002C589F" w:rsidP="006855F1">
            <w:pPr>
              <w:keepNext/>
              <w:spacing w:before="40" w:after="40" w:line="240" w:lineRule="auto"/>
              <w:rPr>
                <w:rFonts w:cs="Arial"/>
                <w:sz w:val="18"/>
                <w:szCs w:val="18"/>
              </w:rPr>
            </w:pPr>
            <w:r w:rsidRPr="00D2603B">
              <w:rPr>
                <w:rFonts w:cs="Arial"/>
                <w:sz w:val="18"/>
                <w:szCs w:val="18"/>
              </w:rPr>
              <w:t>&gt;2.5 - 5.0 x ULN</w:t>
            </w:r>
            <w:r w:rsidRPr="00D2603B" w:rsidDel="009A48E2">
              <w:rPr>
                <w:rFonts w:cs="Arial"/>
                <w:sz w:val="18"/>
                <w:szCs w:val="18"/>
              </w:rPr>
              <w:t xml:space="preserve"> </w:t>
            </w:r>
          </w:p>
        </w:tc>
        <w:tc>
          <w:tcPr>
            <w:tcW w:w="2078" w:type="dxa"/>
            <w:tcBorders>
              <w:top w:val="single" w:sz="4" w:space="0" w:color="auto"/>
              <w:left w:val="single" w:sz="4" w:space="0" w:color="auto"/>
              <w:bottom w:val="single" w:sz="4" w:space="0" w:color="auto"/>
              <w:right w:val="single" w:sz="4" w:space="0" w:color="auto"/>
            </w:tcBorders>
            <w:shd w:val="clear" w:color="auto" w:fill="FFFFFF"/>
          </w:tcPr>
          <w:p w14:paraId="7CF4ACA2"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&gt;5.0 - 10 x ULN</w:t>
            </w:r>
            <w:r w:rsidRPr="00D2603B" w:rsidDel="009A48E2">
              <w:rPr>
                <w:rFonts w:cs="Arial"/>
                <w:sz w:val="18"/>
                <w:szCs w:val="18"/>
              </w:rPr>
              <w:t xml:space="preserve"> </w:t>
            </w:r>
          </w:p>
        </w:tc>
        <w:tc>
          <w:tcPr>
            <w:tcW w:w="2688" w:type="dxa"/>
            <w:gridSpan w:val="2"/>
            <w:tcBorders>
              <w:top w:val="single" w:sz="4" w:space="0" w:color="auto"/>
              <w:left w:val="single" w:sz="4" w:space="0" w:color="auto"/>
              <w:bottom w:val="single" w:sz="4" w:space="0" w:color="auto"/>
              <w:right w:val="double" w:sz="6" w:space="0" w:color="auto"/>
            </w:tcBorders>
            <w:shd w:val="clear" w:color="auto" w:fill="FFFFFF"/>
          </w:tcPr>
          <w:p w14:paraId="518FAB87"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&gt;10 x ULN</w:t>
            </w:r>
          </w:p>
        </w:tc>
      </w:tr>
      <w:tr w:rsidR="002C589F" w:rsidRPr="00D2603B" w14:paraId="306925AC" w14:textId="77777777" w:rsidTr="00D2603B">
        <w:trPr>
          <w:cantSplit/>
          <w:jc w:val="center"/>
        </w:trPr>
        <w:tc>
          <w:tcPr>
            <w:tcW w:w="2196" w:type="dxa"/>
            <w:tcBorders>
              <w:top w:val="single" w:sz="4" w:space="0" w:color="auto"/>
              <w:left w:val="double" w:sz="6" w:space="0" w:color="auto"/>
              <w:bottom w:val="single" w:sz="4" w:space="0" w:color="auto"/>
              <w:right w:val="single" w:sz="4" w:space="0" w:color="auto"/>
            </w:tcBorders>
            <w:shd w:val="clear" w:color="auto" w:fill="FFFFFF"/>
          </w:tcPr>
          <w:p w14:paraId="20348D33" w14:textId="1ABB4669"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WBC</w:t>
            </w:r>
            <w:r w:rsidR="00C86663">
              <w:rPr>
                <w:rFonts w:cs="Arial"/>
                <w:sz w:val="18"/>
                <w:szCs w:val="18"/>
              </w:rPr>
              <w:t xml:space="preserve"> </w:t>
            </w:r>
            <w:r w:rsidR="00C86663" w:rsidRPr="00BB159F">
              <w:rPr>
                <w:sz w:val="18"/>
                <w:szCs w:val="18"/>
              </w:rPr>
              <w:t>(K/µL or 10</w:t>
            </w:r>
            <w:r w:rsidR="00C86663" w:rsidRPr="00BB159F">
              <w:rPr>
                <w:sz w:val="18"/>
                <w:szCs w:val="18"/>
                <w:vertAlign w:val="superscript"/>
              </w:rPr>
              <w:t>9</w:t>
            </w:r>
            <w:r w:rsidR="00C86663" w:rsidRPr="00BB159F">
              <w:rPr>
                <w:sz w:val="18"/>
                <w:szCs w:val="18"/>
              </w:rPr>
              <w:t>/L)</w:t>
            </w:r>
          </w:p>
        </w:tc>
        <w:tc>
          <w:tcPr>
            <w:tcW w:w="2750" w:type="dxa"/>
            <w:tcBorders>
              <w:top w:val="single" w:sz="4" w:space="0" w:color="auto"/>
              <w:left w:val="single" w:sz="4" w:space="0" w:color="auto"/>
              <w:bottom w:val="single" w:sz="4" w:space="0" w:color="auto"/>
              <w:right w:val="single" w:sz="4" w:space="0" w:color="auto"/>
            </w:tcBorders>
            <w:shd w:val="clear" w:color="auto" w:fill="FFFFFF"/>
          </w:tcPr>
          <w:p w14:paraId="4074D2AC" w14:textId="0C8BC18F"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&gt;12.0 - 15.0 K/µL</w:t>
            </w:r>
          </w:p>
          <w:p w14:paraId="5CC2E022" w14:textId="688D361B"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2.5 - &lt;4.0 K/µL</w:t>
            </w:r>
          </w:p>
        </w:tc>
        <w:tc>
          <w:tcPr>
            <w:tcW w:w="2610" w:type="dxa"/>
            <w:tcBorders>
              <w:top w:val="single" w:sz="4" w:space="0" w:color="auto"/>
              <w:left w:val="single" w:sz="4" w:space="0" w:color="auto"/>
              <w:bottom w:val="single" w:sz="4" w:space="0" w:color="auto"/>
              <w:right w:val="single" w:sz="4" w:space="0" w:color="auto"/>
            </w:tcBorders>
            <w:shd w:val="clear" w:color="auto" w:fill="FFFFFF"/>
          </w:tcPr>
          <w:p w14:paraId="3B1D556A" w14:textId="77777777" w:rsidR="002C589F" w:rsidRPr="00D2603B" w:rsidRDefault="002C589F" w:rsidP="006855F1">
            <w:pPr>
              <w:keepNext/>
              <w:spacing w:before="40" w:after="40" w:line="240" w:lineRule="auto"/>
              <w:ind w:left="216" w:hanging="216"/>
              <w:rPr>
                <w:rFonts w:cs="Arial"/>
                <w:sz w:val="18"/>
                <w:szCs w:val="18"/>
                <w:u w:val="single"/>
              </w:rPr>
            </w:pPr>
            <w:r w:rsidRPr="00D2603B">
              <w:rPr>
                <w:rFonts w:cs="Arial"/>
                <w:sz w:val="18"/>
                <w:szCs w:val="18"/>
              </w:rPr>
              <w:t>&gt;15.0 - 20.0 K/µL</w:t>
            </w:r>
          </w:p>
          <w:p w14:paraId="6F628DE9" w14:textId="2C24BEBB" w:rsidR="002C589F" w:rsidRPr="00D2603B" w:rsidRDefault="002C589F" w:rsidP="00D2603B">
            <w:pPr>
              <w:keepNext/>
              <w:spacing w:before="40" w:after="40" w:line="240" w:lineRule="auto"/>
              <w:ind w:left="343" w:hanging="216"/>
              <w:rPr>
                <w:rFonts w:cs="Arial"/>
                <w:sz w:val="18"/>
                <w:szCs w:val="18"/>
              </w:rPr>
            </w:pPr>
            <w:r w:rsidRPr="00D2603B">
              <w:rPr>
                <w:rFonts w:cs="Arial"/>
                <w:sz w:val="18"/>
                <w:szCs w:val="18"/>
              </w:rPr>
              <w:t>1.5 - &lt;2.5 K/µL</w:t>
            </w:r>
          </w:p>
        </w:tc>
        <w:tc>
          <w:tcPr>
            <w:tcW w:w="2078" w:type="dxa"/>
            <w:tcBorders>
              <w:top w:val="single" w:sz="4" w:space="0" w:color="auto"/>
              <w:left w:val="single" w:sz="4" w:space="0" w:color="auto"/>
              <w:bottom w:val="single" w:sz="4" w:space="0" w:color="auto"/>
              <w:right w:val="single" w:sz="4" w:space="0" w:color="auto"/>
            </w:tcBorders>
            <w:shd w:val="clear" w:color="auto" w:fill="FFFFFF"/>
          </w:tcPr>
          <w:p w14:paraId="32EB0BA5" w14:textId="77777777" w:rsidR="002C589F" w:rsidRPr="00D2603B" w:rsidRDefault="002C589F" w:rsidP="006855F1">
            <w:pPr>
              <w:keepNext/>
              <w:spacing w:before="40" w:after="40" w:line="240" w:lineRule="auto"/>
              <w:ind w:left="216" w:hanging="216"/>
              <w:rPr>
                <w:rFonts w:cs="Arial"/>
                <w:sz w:val="18"/>
                <w:szCs w:val="18"/>
                <w:u w:val="single"/>
              </w:rPr>
            </w:pPr>
            <w:r w:rsidRPr="00D2603B">
              <w:rPr>
                <w:rFonts w:cs="Arial"/>
                <w:sz w:val="18"/>
                <w:szCs w:val="18"/>
              </w:rPr>
              <w:t>&gt;20.0 - 25.0 K/µL</w:t>
            </w:r>
          </w:p>
          <w:p w14:paraId="7E2A9746" w14:textId="32285B6B" w:rsidR="002C589F" w:rsidRPr="00D2603B" w:rsidRDefault="002C589F" w:rsidP="00D2603B">
            <w:pPr>
              <w:keepNext/>
              <w:spacing w:before="40" w:after="40" w:line="240" w:lineRule="auto"/>
              <w:ind w:left="343" w:hanging="216"/>
              <w:rPr>
                <w:rFonts w:cs="Arial"/>
                <w:sz w:val="18"/>
                <w:szCs w:val="18"/>
              </w:rPr>
            </w:pPr>
            <w:r w:rsidRPr="00D2603B">
              <w:rPr>
                <w:rFonts w:cs="Arial"/>
                <w:sz w:val="18"/>
                <w:szCs w:val="18"/>
              </w:rPr>
              <w:t>1.0 - &lt;1.5 K/µL</w:t>
            </w:r>
          </w:p>
        </w:tc>
        <w:tc>
          <w:tcPr>
            <w:tcW w:w="2688" w:type="dxa"/>
            <w:gridSpan w:val="2"/>
            <w:tcBorders>
              <w:top w:val="single" w:sz="4" w:space="0" w:color="auto"/>
              <w:left w:val="single" w:sz="4" w:space="0" w:color="auto"/>
              <w:bottom w:val="single" w:sz="4" w:space="0" w:color="auto"/>
              <w:right w:val="double" w:sz="6" w:space="0" w:color="auto"/>
            </w:tcBorders>
            <w:shd w:val="clear" w:color="auto" w:fill="FFFFFF"/>
          </w:tcPr>
          <w:p w14:paraId="42FA4C92" w14:textId="77777777" w:rsidR="002C589F" w:rsidRPr="00D2603B" w:rsidRDefault="002C589F" w:rsidP="006855F1">
            <w:pPr>
              <w:keepNext/>
              <w:spacing w:before="40" w:after="40" w:line="240" w:lineRule="auto"/>
              <w:ind w:left="216" w:hanging="216"/>
              <w:rPr>
                <w:rFonts w:cs="Arial"/>
                <w:sz w:val="18"/>
                <w:szCs w:val="18"/>
                <w:vertAlign w:val="superscript"/>
              </w:rPr>
            </w:pPr>
            <w:r w:rsidRPr="00D2603B">
              <w:rPr>
                <w:rFonts w:cs="Arial"/>
                <w:sz w:val="18"/>
                <w:szCs w:val="18"/>
              </w:rPr>
              <w:t>&gt;25.0 K/µL</w:t>
            </w:r>
          </w:p>
          <w:p w14:paraId="17584559" w14:textId="4D47C4DD"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&lt;1.0 K/µL</w:t>
            </w:r>
          </w:p>
        </w:tc>
      </w:tr>
      <w:tr w:rsidR="002C589F" w:rsidRPr="00D2603B" w14:paraId="0D3B8774" w14:textId="77777777" w:rsidTr="00D2603B">
        <w:trPr>
          <w:cantSplit/>
          <w:jc w:val="center"/>
        </w:trPr>
        <w:tc>
          <w:tcPr>
            <w:tcW w:w="2196" w:type="dxa"/>
            <w:tcBorders>
              <w:top w:val="single" w:sz="4" w:space="0" w:color="auto"/>
              <w:left w:val="double" w:sz="6" w:space="0" w:color="auto"/>
              <w:bottom w:val="single" w:sz="6" w:space="0" w:color="auto"/>
              <w:right w:val="single" w:sz="4" w:space="0" w:color="auto"/>
            </w:tcBorders>
            <w:shd w:val="clear" w:color="auto" w:fill="FFFFFF"/>
          </w:tcPr>
          <w:p w14:paraId="4CD7161E" w14:textId="51F18BB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Hemoglobin</w:t>
            </w:r>
            <w:r w:rsidR="00C86663">
              <w:rPr>
                <w:rFonts w:cs="Arial"/>
                <w:sz w:val="18"/>
                <w:szCs w:val="18"/>
              </w:rPr>
              <w:t xml:space="preserve"> (</w:t>
            </w:r>
            <w:r w:rsidR="00C86663" w:rsidRPr="00D2603B">
              <w:rPr>
                <w:rFonts w:cs="Arial"/>
                <w:sz w:val="18"/>
                <w:szCs w:val="18"/>
              </w:rPr>
              <w:t>g/dL</w:t>
            </w:r>
            <w:r w:rsidR="00C86663">
              <w:rPr>
                <w:rFonts w:cs="Arial"/>
                <w:sz w:val="18"/>
                <w:szCs w:val="18"/>
              </w:rPr>
              <w:t>)</w:t>
            </w:r>
          </w:p>
        </w:tc>
        <w:tc>
          <w:tcPr>
            <w:tcW w:w="2750" w:type="dxa"/>
            <w:tcBorders>
              <w:top w:val="single" w:sz="4" w:space="0" w:color="auto"/>
              <w:left w:val="single" w:sz="4" w:space="0" w:color="auto"/>
              <w:bottom w:val="single" w:sz="6" w:space="0" w:color="auto"/>
              <w:right w:val="single" w:sz="4" w:space="0" w:color="auto"/>
            </w:tcBorders>
            <w:shd w:val="clear" w:color="auto" w:fill="FFFFFF"/>
          </w:tcPr>
          <w:p w14:paraId="5A667746" w14:textId="6D7B376F"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 xml:space="preserve">M: </w:t>
            </w:r>
            <w:r w:rsidR="00035366">
              <w:rPr>
                <w:rFonts w:cs="Arial"/>
                <w:sz w:val="18"/>
                <w:szCs w:val="18"/>
              </w:rPr>
              <w:t>&lt;LLN</w:t>
            </w:r>
            <w:r w:rsidR="006E4A94">
              <w:rPr>
                <w:rFonts w:cs="Arial"/>
                <w:sz w:val="18"/>
                <w:szCs w:val="18"/>
              </w:rPr>
              <w:t xml:space="preserve"> - </w:t>
            </w:r>
            <w:r w:rsidR="006E4A94" w:rsidRPr="00D2603B">
              <w:rPr>
                <w:rFonts w:cs="Arial"/>
                <w:sz w:val="18"/>
                <w:szCs w:val="18"/>
              </w:rPr>
              <w:t>1</w:t>
            </w:r>
            <w:r w:rsidR="006E4A94">
              <w:rPr>
                <w:rFonts w:cs="Arial"/>
                <w:sz w:val="18"/>
                <w:szCs w:val="18"/>
              </w:rPr>
              <w:t xml:space="preserve">1.5 </w:t>
            </w:r>
            <w:r w:rsidRPr="00D2603B">
              <w:rPr>
                <w:rFonts w:cs="Arial"/>
                <w:sz w:val="18"/>
                <w:szCs w:val="18"/>
              </w:rPr>
              <w:t>g/dL</w:t>
            </w:r>
          </w:p>
          <w:p w14:paraId="27FA8FF3" w14:textId="666F0465" w:rsidR="002C589F" w:rsidRPr="00D2603B" w:rsidRDefault="002C589F" w:rsidP="006E4A94">
            <w:pPr>
              <w:keepNext/>
              <w:spacing w:before="40" w:after="40" w:line="240" w:lineRule="auto"/>
              <w:ind w:left="216" w:hanging="216"/>
              <w:rPr>
                <w:rFonts w:cs="Arial"/>
                <w:sz w:val="18"/>
                <w:szCs w:val="18"/>
              </w:rPr>
            </w:pPr>
            <w:r w:rsidRPr="00D2603B">
              <w:rPr>
                <w:rFonts w:cs="Arial"/>
                <w:sz w:val="18"/>
                <w:szCs w:val="18"/>
              </w:rPr>
              <w:t xml:space="preserve">F: </w:t>
            </w:r>
            <w:r w:rsidR="00035366">
              <w:rPr>
                <w:rFonts w:cs="Arial"/>
                <w:sz w:val="18"/>
                <w:szCs w:val="18"/>
              </w:rPr>
              <w:t>&lt;LLN</w:t>
            </w:r>
            <w:r w:rsidR="006E4A94">
              <w:rPr>
                <w:rFonts w:cs="Arial"/>
                <w:sz w:val="18"/>
                <w:szCs w:val="18"/>
              </w:rPr>
              <w:t xml:space="preserve"> - </w:t>
            </w:r>
            <w:r w:rsidR="006E4A94" w:rsidRPr="00D2603B">
              <w:rPr>
                <w:rFonts w:cs="Arial"/>
                <w:sz w:val="18"/>
                <w:szCs w:val="18"/>
              </w:rPr>
              <w:t>1</w:t>
            </w:r>
            <w:r w:rsidR="006E4A94">
              <w:rPr>
                <w:rFonts w:cs="Arial"/>
                <w:sz w:val="18"/>
                <w:szCs w:val="18"/>
              </w:rPr>
              <w:t>0</w:t>
            </w:r>
            <w:r w:rsidR="000F5FC9">
              <w:rPr>
                <w:rFonts w:cs="Arial"/>
                <w:sz w:val="18"/>
                <w:szCs w:val="18"/>
              </w:rPr>
              <w:t>.0</w:t>
            </w:r>
            <w:r w:rsidR="006E4A94">
              <w:rPr>
                <w:rFonts w:cs="Arial"/>
                <w:sz w:val="18"/>
                <w:szCs w:val="18"/>
              </w:rPr>
              <w:t xml:space="preserve"> </w:t>
            </w:r>
            <w:r w:rsidRPr="00D2603B">
              <w:rPr>
                <w:rFonts w:cs="Arial"/>
                <w:sz w:val="18"/>
                <w:szCs w:val="18"/>
              </w:rPr>
              <w:t>g/dL</w:t>
            </w:r>
          </w:p>
        </w:tc>
        <w:tc>
          <w:tcPr>
            <w:tcW w:w="2610" w:type="dxa"/>
            <w:tcBorders>
              <w:top w:val="single" w:sz="4" w:space="0" w:color="auto"/>
              <w:left w:val="single" w:sz="4" w:space="0" w:color="auto"/>
              <w:bottom w:val="single" w:sz="6" w:space="0" w:color="auto"/>
              <w:right w:val="single" w:sz="4" w:space="0" w:color="auto"/>
            </w:tcBorders>
            <w:shd w:val="clear" w:color="auto" w:fill="FFFFFF"/>
          </w:tcPr>
          <w:p w14:paraId="527116BF" w14:textId="0B7DA498"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M: 1</w:t>
            </w:r>
            <w:r w:rsidR="006E4A94">
              <w:rPr>
                <w:rFonts w:cs="Arial"/>
                <w:sz w:val="18"/>
                <w:szCs w:val="18"/>
              </w:rPr>
              <w:t>1</w:t>
            </w:r>
            <w:r w:rsidRPr="00D2603B">
              <w:rPr>
                <w:rFonts w:cs="Arial"/>
                <w:sz w:val="18"/>
                <w:szCs w:val="18"/>
              </w:rPr>
              <w:t>.4</w:t>
            </w:r>
            <w:r w:rsidR="006E4A94">
              <w:rPr>
                <w:rFonts w:cs="Arial"/>
                <w:sz w:val="18"/>
                <w:szCs w:val="18"/>
              </w:rPr>
              <w:t xml:space="preserve"> - 9.5 </w:t>
            </w:r>
            <w:r w:rsidRPr="00D2603B">
              <w:rPr>
                <w:rFonts w:cs="Arial"/>
                <w:sz w:val="18"/>
                <w:szCs w:val="18"/>
              </w:rPr>
              <w:t>g/dL</w:t>
            </w:r>
          </w:p>
          <w:p w14:paraId="57828370" w14:textId="39EE170F" w:rsidR="002C589F" w:rsidRPr="00D2603B" w:rsidRDefault="002C589F" w:rsidP="006E4A94">
            <w:pPr>
              <w:keepNext/>
              <w:spacing w:before="40" w:after="40" w:line="240" w:lineRule="auto"/>
              <w:ind w:left="216" w:hanging="216"/>
              <w:rPr>
                <w:rFonts w:cs="Arial"/>
                <w:sz w:val="18"/>
                <w:szCs w:val="18"/>
              </w:rPr>
            </w:pPr>
            <w:r w:rsidRPr="00D2603B">
              <w:rPr>
                <w:rFonts w:cs="Arial"/>
                <w:sz w:val="18"/>
                <w:szCs w:val="18"/>
              </w:rPr>
              <w:t xml:space="preserve">F: </w:t>
            </w:r>
            <w:r w:rsidR="006E4A94">
              <w:rPr>
                <w:rFonts w:cs="Arial"/>
                <w:sz w:val="18"/>
                <w:szCs w:val="18"/>
              </w:rPr>
              <w:t>9</w:t>
            </w:r>
            <w:r w:rsidRPr="00D2603B">
              <w:rPr>
                <w:rFonts w:cs="Arial"/>
                <w:sz w:val="18"/>
                <w:szCs w:val="18"/>
              </w:rPr>
              <w:t>.9</w:t>
            </w:r>
            <w:r w:rsidR="006E4A94">
              <w:rPr>
                <w:rFonts w:cs="Arial"/>
                <w:sz w:val="18"/>
                <w:szCs w:val="18"/>
              </w:rPr>
              <w:t xml:space="preserve"> - 8.5 </w:t>
            </w:r>
            <w:r w:rsidRPr="00D2603B">
              <w:rPr>
                <w:rFonts w:cs="Arial"/>
                <w:sz w:val="18"/>
                <w:szCs w:val="18"/>
              </w:rPr>
              <w:t>g/dL</w:t>
            </w:r>
          </w:p>
        </w:tc>
        <w:tc>
          <w:tcPr>
            <w:tcW w:w="2078" w:type="dxa"/>
            <w:tcBorders>
              <w:top w:val="single" w:sz="4" w:space="0" w:color="auto"/>
              <w:left w:val="single" w:sz="4" w:space="0" w:color="auto"/>
              <w:bottom w:val="single" w:sz="6" w:space="0" w:color="auto"/>
              <w:right w:val="single" w:sz="4" w:space="0" w:color="auto"/>
            </w:tcBorders>
            <w:shd w:val="clear" w:color="auto" w:fill="FFFFFF"/>
          </w:tcPr>
          <w:p w14:paraId="44F948A9" w14:textId="7B6C633C" w:rsidR="002C589F" w:rsidRPr="00D2603B" w:rsidRDefault="006E4A94" w:rsidP="006855F1">
            <w:pPr>
              <w:keepNext/>
              <w:spacing w:before="40" w:after="40" w:line="240" w:lineRule="auto"/>
              <w:ind w:left="216" w:hanging="216"/>
              <w:rPr>
                <w:rFonts w:cs="Arial"/>
                <w:sz w:val="18"/>
                <w:szCs w:val="18"/>
              </w:rPr>
            </w:pPr>
            <w:r>
              <w:rPr>
                <w:rFonts w:cs="Arial"/>
                <w:sz w:val="18"/>
                <w:szCs w:val="18"/>
              </w:rPr>
              <w:t>M: 9</w:t>
            </w:r>
            <w:r w:rsidR="002C589F" w:rsidRPr="00D2603B">
              <w:rPr>
                <w:rFonts w:cs="Arial"/>
                <w:sz w:val="18"/>
                <w:szCs w:val="18"/>
              </w:rPr>
              <w:t>.4</w:t>
            </w:r>
            <w:r>
              <w:rPr>
                <w:rFonts w:cs="Arial"/>
                <w:sz w:val="18"/>
                <w:szCs w:val="18"/>
              </w:rPr>
              <w:t xml:space="preserve"> - 8.5 </w:t>
            </w:r>
            <w:r w:rsidR="002C589F" w:rsidRPr="00D2603B">
              <w:rPr>
                <w:rFonts w:cs="Arial"/>
                <w:sz w:val="18"/>
                <w:szCs w:val="18"/>
              </w:rPr>
              <w:t xml:space="preserve">g/dL </w:t>
            </w:r>
          </w:p>
          <w:p w14:paraId="2A656798" w14:textId="394B9E53" w:rsidR="002C589F" w:rsidRPr="00D2603B" w:rsidRDefault="006E4A94" w:rsidP="006E4A94">
            <w:pPr>
              <w:keepNext/>
              <w:spacing w:before="40" w:after="40" w:line="240" w:lineRule="auto"/>
              <w:ind w:left="216" w:hanging="216"/>
              <w:rPr>
                <w:rFonts w:cs="Arial"/>
                <w:sz w:val="18"/>
                <w:szCs w:val="18"/>
              </w:rPr>
            </w:pPr>
            <w:r>
              <w:rPr>
                <w:rFonts w:cs="Arial"/>
                <w:sz w:val="18"/>
                <w:szCs w:val="18"/>
              </w:rPr>
              <w:t>F: 8</w:t>
            </w:r>
            <w:r w:rsidR="002C589F" w:rsidRPr="00D2603B">
              <w:rPr>
                <w:rFonts w:cs="Arial"/>
                <w:sz w:val="18"/>
                <w:szCs w:val="18"/>
              </w:rPr>
              <w:t>.4</w:t>
            </w:r>
            <w:r>
              <w:rPr>
                <w:rFonts w:cs="Arial"/>
                <w:sz w:val="18"/>
                <w:szCs w:val="18"/>
              </w:rPr>
              <w:t xml:space="preserve"> - 8.0 </w:t>
            </w:r>
            <w:r w:rsidR="002C589F" w:rsidRPr="00D2603B">
              <w:rPr>
                <w:rFonts w:cs="Arial"/>
                <w:sz w:val="18"/>
                <w:szCs w:val="18"/>
              </w:rPr>
              <w:t>g/dL</w:t>
            </w:r>
          </w:p>
        </w:tc>
        <w:tc>
          <w:tcPr>
            <w:tcW w:w="2688" w:type="dxa"/>
            <w:gridSpan w:val="2"/>
            <w:tcBorders>
              <w:top w:val="single" w:sz="4" w:space="0" w:color="auto"/>
              <w:left w:val="single" w:sz="4" w:space="0" w:color="auto"/>
              <w:bottom w:val="single" w:sz="6" w:space="0" w:color="auto"/>
              <w:right w:val="double" w:sz="6" w:space="0" w:color="auto"/>
            </w:tcBorders>
            <w:shd w:val="clear" w:color="auto" w:fill="FFFFFF"/>
          </w:tcPr>
          <w:p w14:paraId="0F43F0CA"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&lt;8.5 g/dL</w:t>
            </w:r>
          </w:p>
          <w:p w14:paraId="3C791C32"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&lt;8.0 g/dL</w:t>
            </w:r>
          </w:p>
        </w:tc>
      </w:tr>
      <w:tr w:rsidR="002C589F" w:rsidRPr="00D2603B" w14:paraId="73DF62F3" w14:textId="77777777" w:rsidTr="00D2603B">
        <w:trPr>
          <w:cantSplit/>
          <w:jc w:val="center"/>
        </w:trPr>
        <w:tc>
          <w:tcPr>
            <w:tcW w:w="2196" w:type="dxa"/>
            <w:tcBorders>
              <w:top w:val="single" w:sz="6" w:space="0" w:color="auto"/>
              <w:left w:val="double" w:sz="6" w:space="0" w:color="auto"/>
              <w:bottom w:val="double" w:sz="4" w:space="0" w:color="auto"/>
              <w:right w:val="single" w:sz="4" w:space="0" w:color="auto"/>
            </w:tcBorders>
            <w:shd w:val="clear" w:color="auto" w:fill="FFFFFF"/>
          </w:tcPr>
          <w:p w14:paraId="3FC82616" w14:textId="673D465D"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Platelet count</w:t>
            </w:r>
            <w:r w:rsidR="00C86663">
              <w:rPr>
                <w:rFonts w:cs="Arial"/>
                <w:sz w:val="18"/>
                <w:szCs w:val="18"/>
              </w:rPr>
              <w:t xml:space="preserve"> (</w:t>
            </w:r>
            <w:r w:rsidR="00C86663" w:rsidRPr="00D2603B">
              <w:rPr>
                <w:rFonts w:cs="Arial"/>
                <w:sz w:val="18"/>
                <w:szCs w:val="18"/>
              </w:rPr>
              <w:t>K/µL</w:t>
            </w:r>
            <w:r w:rsidR="00C86663">
              <w:rPr>
                <w:rFonts w:cs="Arial"/>
                <w:sz w:val="18"/>
                <w:szCs w:val="18"/>
              </w:rPr>
              <w:t xml:space="preserve"> </w:t>
            </w:r>
            <w:r w:rsidR="00C86663" w:rsidRPr="00674C3C">
              <w:rPr>
                <w:sz w:val="18"/>
                <w:szCs w:val="18"/>
              </w:rPr>
              <w:t>or 10</w:t>
            </w:r>
            <w:r w:rsidR="00C86663" w:rsidRPr="00674C3C">
              <w:rPr>
                <w:sz w:val="18"/>
                <w:szCs w:val="18"/>
                <w:vertAlign w:val="superscript"/>
              </w:rPr>
              <w:t>9</w:t>
            </w:r>
            <w:r w:rsidR="00C86663" w:rsidRPr="00674C3C">
              <w:rPr>
                <w:sz w:val="18"/>
                <w:szCs w:val="18"/>
              </w:rPr>
              <w:t>/L</w:t>
            </w:r>
            <w:r w:rsidR="00C86663">
              <w:rPr>
                <w:rFonts w:cs="Arial"/>
                <w:sz w:val="18"/>
                <w:szCs w:val="18"/>
              </w:rPr>
              <w:t>)</w:t>
            </w:r>
          </w:p>
        </w:tc>
        <w:tc>
          <w:tcPr>
            <w:tcW w:w="2750" w:type="dxa"/>
            <w:tcBorders>
              <w:top w:val="single" w:sz="6" w:space="0" w:color="auto"/>
              <w:left w:val="single" w:sz="4" w:space="0" w:color="auto"/>
              <w:bottom w:val="double" w:sz="4" w:space="0" w:color="auto"/>
              <w:right w:val="single" w:sz="4" w:space="0" w:color="auto"/>
            </w:tcBorders>
            <w:shd w:val="clear" w:color="auto" w:fill="FFFFFF"/>
          </w:tcPr>
          <w:p w14:paraId="080100F3"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100 - 149 K/µL</w:t>
            </w:r>
          </w:p>
        </w:tc>
        <w:tc>
          <w:tcPr>
            <w:tcW w:w="2610" w:type="dxa"/>
            <w:tcBorders>
              <w:top w:val="single" w:sz="6" w:space="0" w:color="auto"/>
              <w:left w:val="single" w:sz="4" w:space="0" w:color="auto"/>
              <w:bottom w:val="double" w:sz="4" w:space="0" w:color="auto"/>
              <w:right w:val="single" w:sz="4" w:space="0" w:color="auto"/>
            </w:tcBorders>
            <w:shd w:val="clear" w:color="auto" w:fill="FFFFFF"/>
          </w:tcPr>
          <w:p w14:paraId="298E2D7D"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50 - 99 K/µL</w:t>
            </w:r>
          </w:p>
        </w:tc>
        <w:tc>
          <w:tcPr>
            <w:tcW w:w="2078" w:type="dxa"/>
            <w:tcBorders>
              <w:top w:val="single" w:sz="6" w:space="0" w:color="auto"/>
              <w:left w:val="single" w:sz="4" w:space="0" w:color="auto"/>
              <w:bottom w:val="double" w:sz="4" w:space="0" w:color="auto"/>
              <w:right w:val="single" w:sz="4" w:space="0" w:color="auto"/>
            </w:tcBorders>
            <w:shd w:val="clear" w:color="auto" w:fill="FFFFFF"/>
          </w:tcPr>
          <w:p w14:paraId="4E73EBA0" w14:textId="77777777" w:rsidR="002C589F" w:rsidRPr="00D2603B" w:rsidRDefault="002C589F" w:rsidP="006855F1">
            <w:pPr>
              <w:keepNext/>
              <w:spacing w:before="40" w:after="40" w:line="240" w:lineRule="auto"/>
              <w:ind w:left="216" w:hanging="216"/>
              <w:rPr>
                <w:rFonts w:cs="Arial"/>
                <w:sz w:val="18"/>
                <w:szCs w:val="18"/>
              </w:rPr>
            </w:pPr>
            <w:r w:rsidRPr="00D2603B">
              <w:rPr>
                <w:rFonts w:cs="Arial"/>
                <w:sz w:val="18"/>
                <w:szCs w:val="18"/>
              </w:rPr>
              <w:t>&lt;50 K/µL</w:t>
            </w:r>
          </w:p>
        </w:tc>
        <w:tc>
          <w:tcPr>
            <w:tcW w:w="2688" w:type="dxa"/>
            <w:gridSpan w:val="2"/>
            <w:tcBorders>
              <w:top w:val="single" w:sz="6" w:space="0" w:color="auto"/>
              <w:left w:val="single" w:sz="4" w:space="0" w:color="auto"/>
              <w:bottom w:val="double" w:sz="4" w:space="0" w:color="auto"/>
              <w:right w:val="double" w:sz="6" w:space="0" w:color="auto"/>
            </w:tcBorders>
            <w:shd w:val="clear" w:color="auto" w:fill="FFFFFF"/>
          </w:tcPr>
          <w:p w14:paraId="50234373" w14:textId="77777777" w:rsidR="002C589F" w:rsidRPr="00D2603B" w:rsidRDefault="002C589F" w:rsidP="006855F1">
            <w:pPr>
              <w:keepNext/>
              <w:spacing w:before="40" w:after="40" w:line="240" w:lineRule="auto"/>
              <w:ind w:left="216" w:hanging="216"/>
              <w:rPr>
                <w:rFonts w:cs="Arial"/>
                <w:sz w:val="18"/>
                <w:szCs w:val="18"/>
              </w:rPr>
            </w:pPr>
          </w:p>
        </w:tc>
      </w:tr>
    </w:tbl>
    <w:p w14:paraId="2A3492D6" w14:textId="2660E987" w:rsidR="006855F1" w:rsidRPr="00D2603B" w:rsidRDefault="006855F1" w:rsidP="00A410DA">
      <w:pPr>
        <w:spacing w:line="240" w:lineRule="auto"/>
        <w:ind w:left="450"/>
        <w:rPr>
          <w:rFonts w:cs="Arial"/>
          <w:b/>
          <w:sz w:val="18"/>
          <w:szCs w:val="18"/>
        </w:rPr>
      </w:pPr>
      <w:r w:rsidRPr="00D2603B">
        <w:rPr>
          <w:rFonts w:cs="Arial"/>
          <w:sz w:val="18"/>
          <w:szCs w:val="18"/>
        </w:rPr>
        <w:t xml:space="preserve">FDA Guidance for Industry Toxicity Grading Scale for Healthy Adults Enrolled in Preventive Vaccine Clinical Trials, 2007. ULN=upper limit of normal; LLN=lower limit of normal. *Tox Grading for total bilirubin when liver transaminases are normal. **Tox Grading for total bilirubin when accompanied by increased transaminases. </w:t>
      </w:r>
      <w:r w:rsidRPr="00D2603B">
        <w:rPr>
          <w:rFonts w:cs="Arial"/>
          <w:b/>
          <w:sz w:val="18"/>
          <w:szCs w:val="18"/>
        </w:rPr>
        <w:t xml:space="preserve">NOTE: If subject has a Grade 3 or Grade 4 lab toxicity do NOT administer study injections. See Section </w:t>
      </w:r>
      <w:r w:rsidR="00190E58" w:rsidRPr="00276ADA">
        <w:rPr>
          <w:rFonts w:cs="Arial"/>
          <w:b/>
          <w:color w:val="0000FF"/>
          <w:sz w:val="18"/>
          <w:szCs w:val="18"/>
          <w:highlight w:val="yellow"/>
        </w:rPr>
        <w:fldChar w:fldCharType="begin"/>
      </w:r>
      <w:r w:rsidR="00190E58" w:rsidRPr="00276ADA">
        <w:rPr>
          <w:rFonts w:cs="Arial"/>
          <w:b/>
          <w:color w:val="0000FF"/>
          <w:sz w:val="18"/>
          <w:szCs w:val="18"/>
        </w:rPr>
        <w:instrText xml:space="preserve"> REF _Ref376869600 \r \h </w:instrText>
      </w:r>
      <w:r w:rsidR="00D2603B" w:rsidRPr="00276ADA">
        <w:rPr>
          <w:rFonts w:cs="Arial"/>
          <w:b/>
          <w:color w:val="0000FF"/>
          <w:sz w:val="18"/>
          <w:szCs w:val="18"/>
          <w:highlight w:val="yellow"/>
        </w:rPr>
        <w:instrText xml:space="preserve"> \* MERGEFORMAT </w:instrText>
      </w:r>
      <w:r w:rsidR="00190E58" w:rsidRPr="00276ADA">
        <w:rPr>
          <w:rFonts w:cs="Arial"/>
          <w:b/>
          <w:color w:val="0000FF"/>
          <w:sz w:val="18"/>
          <w:szCs w:val="18"/>
          <w:highlight w:val="yellow"/>
        </w:rPr>
      </w:r>
      <w:r w:rsidR="00190E58" w:rsidRPr="00276ADA">
        <w:rPr>
          <w:rFonts w:cs="Arial"/>
          <w:b/>
          <w:color w:val="0000FF"/>
          <w:sz w:val="18"/>
          <w:szCs w:val="18"/>
          <w:highlight w:val="yellow"/>
        </w:rPr>
        <w:fldChar w:fldCharType="separate"/>
      </w:r>
      <w:r w:rsidR="00024E24">
        <w:rPr>
          <w:rFonts w:cs="Arial"/>
          <w:b/>
          <w:color w:val="0000FF"/>
          <w:sz w:val="18"/>
          <w:szCs w:val="18"/>
        </w:rPr>
        <w:t>9.8.2</w:t>
      </w:r>
      <w:r w:rsidR="00190E58" w:rsidRPr="00276ADA">
        <w:rPr>
          <w:rFonts w:cs="Arial"/>
          <w:b/>
          <w:color w:val="0000FF"/>
          <w:sz w:val="18"/>
          <w:szCs w:val="18"/>
          <w:highlight w:val="yellow"/>
        </w:rPr>
        <w:fldChar w:fldCharType="end"/>
      </w:r>
      <w:r w:rsidR="00D2603B">
        <w:rPr>
          <w:rFonts w:cs="Arial"/>
          <w:b/>
          <w:sz w:val="18"/>
          <w:szCs w:val="18"/>
        </w:rPr>
        <w:t>.</w:t>
      </w:r>
    </w:p>
    <w:p w14:paraId="4768C442" w14:textId="77777777" w:rsidR="00300759" w:rsidRDefault="00300759" w:rsidP="00A410DA">
      <w:pPr>
        <w:pStyle w:val="SchemaTitle"/>
        <w:ind w:left="450"/>
        <w:jc w:val="left"/>
        <w:rPr>
          <w:rFonts w:cs="Arial"/>
          <w:szCs w:val="22"/>
        </w:rPr>
      </w:pPr>
    </w:p>
    <w:p w14:paraId="2CD10DE3" w14:textId="77777777" w:rsidR="006E4A94" w:rsidRDefault="006E4A94" w:rsidP="00A410DA">
      <w:pPr>
        <w:pStyle w:val="SchemaTitle"/>
        <w:ind w:left="450"/>
        <w:jc w:val="left"/>
        <w:rPr>
          <w:rFonts w:cs="Arial"/>
          <w:szCs w:val="22"/>
        </w:rPr>
        <w:sectPr w:rsidR="006E4A94" w:rsidSect="006855F1">
          <w:endnotePr>
            <w:numFmt w:val="decimal"/>
          </w:endnotePr>
          <w:pgSz w:w="15840" w:h="12240" w:orient="landscape" w:code="1"/>
          <w:pgMar w:top="1440" w:right="1440" w:bottom="1440" w:left="1440" w:header="1152" w:footer="864" w:gutter="0"/>
          <w:cols w:space="720"/>
          <w:noEndnote/>
          <w:docGrid w:linePitch="360"/>
        </w:sectPr>
      </w:pPr>
    </w:p>
    <w:p w14:paraId="6A7A2E60" w14:textId="528B1309" w:rsidR="00300759" w:rsidRPr="005E13C1" w:rsidRDefault="001B50A7" w:rsidP="005E13C1">
      <w:pPr>
        <w:pStyle w:val="Heading1"/>
        <w:pageBreakBefore w:val="0"/>
        <w:numPr>
          <w:ilvl w:val="0"/>
          <w:numId w:val="0"/>
        </w:numPr>
        <w:spacing w:before="0" w:line="240" w:lineRule="auto"/>
        <w:jc w:val="center"/>
        <w:rPr>
          <w:caps w:val="0"/>
        </w:rPr>
      </w:pPr>
      <w:bookmarkStart w:id="522" w:name="_Ref387344380"/>
      <w:bookmarkStart w:id="523" w:name="_Ref376868929"/>
      <w:bookmarkStart w:id="524" w:name="_Toc389130062"/>
      <w:bookmarkStart w:id="525" w:name="_Toc389130121"/>
      <w:bookmarkStart w:id="526" w:name="_Toc440906365"/>
      <w:r w:rsidRPr="005E13C1">
        <w:rPr>
          <w:caps w:val="0"/>
          <w:sz w:val="22"/>
          <w:szCs w:val="22"/>
        </w:rPr>
        <w:t xml:space="preserve">Appendix </w:t>
      </w:r>
      <w:r w:rsidR="00347B69" w:rsidRPr="005E13C1">
        <w:rPr>
          <w:caps w:val="0"/>
          <w:sz w:val="22"/>
          <w:szCs w:val="22"/>
        </w:rPr>
        <w:fldChar w:fldCharType="begin"/>
      </w:r>
      <w:r w:rsidR="00347B69" w:rsidRPr="005E13C1">
        <w:rPr>
          <w:caps w:val="0"/>
          <w:sz w:val="22"/>
          <w:szCs w:val="22"/>
        </w:rPr>
        <w:instrText xml:space="preserve"> SEQ Appendix \* ARABIC </w:instrText>
      </w:r>
      <w:r w:rsidR="00347B69" w:rsidRPr="005E13C1">
        <w:rPr>
          <w:caps w:val="0"/>
          <w:sz w:val="22"/>
          <w:szCs w:val="22"/>
        </w:rPr>
        <w:fldChar w:fldCharType="separate"/>
      </w:r>
      <w:r w:rsidR="00024E24">
        <w:rPr>
          <w:caps w:val="0"/>
          <w:noProof/>
          <w:sz w:val="22"/>
          <w:szCs w:val="22"/>
        </w:rPr>
        <w:t>5</w:t>
      </w:r>
      <w:r w:rsidR="00347B69" w:rsidRPr="005E13C1">
        <w:rPr>
          <w:caps w:val="0"/>
          <w:noProof/>
          <w:sz w:val="22"/>
          <w:szCs w:val="22"/>
        </w:rPr>
        <w:fldChar w:fldCharType="end"/>
      </w:r>
      <w:bookmarkEnd w:id="522"/>
      <w:bookmarkEnd w:id="523"/>
      <w:r w:rsidRPr="005E13C1">
        <w:rPr>
          <w:caps w:val="0"/>
          <w:sz w:val="22"/>
          <w:szCs w:val="22"/>
        </w:rPr>
        <w:t>: Grading scale for local (injection site) reactions by investigator</w:t>
      </w:r>
      <w:bookmarkEnd w:id="524"/>
      <w:bookmarkEnd w:id="525"/>
      <w:bookmarkEnd w:id="526"/>
    </w:p>
    <w:tbl>
      <w:tblPr>
        <w:tblW w:w="5312"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9"/>
        <w:gridCol w:w="1219"/>
        <w:gridCol w:w="1349"/>
        <w:gridCol w:w="1982"/>
        <w:gridCol w:w="1793"/>
        <w:gridCol w:w="1852"/>
      </w:tblGrid>
      <w:tr w:rsidR="00300759" w:rsidRPr="00D2603B" w14:paraId="574745B1" w14:textId="77777777" w:rsidTr="00D2603B">
        <w:trPr>
          <w:trHeight w:val="374"/>
          <w:jc w:val="center"/>
        </w:trPr>
        <w:tc>
          <w:tcPr>
            <w:tcW w:w="973" w:type="pct"/>
            <w:shd w:val="clear" w:color="auto" w:fill="E0E0E0"/>
            <w:vAlign w:val="center"/>
          </w:tcPr>
          <w:p w14:paraId="6C521075" w14:textId="77777777" w:rsidR="00300759" w:rsidRPr="00D2603B" w:rsidRDefault="00300759" w:rsidP="00D2603B">
            <w:pPr>
              <w:spacing w:line="240" w:lineRule="auto"/>
              <w:jc w:val="center"/>
              <w:rPr>
                <w:rFonts w:eastAsia="Batang" w:cs="Arial"/>
                <w:b/>
                <w:sz w:val="18"/>
                <w:szCs w:val="18"/>
                <w:lang w:eastAsia="ko-KR"/>
              </w:rPr>
            </w:pPr>
            <w:r w:rsidRPr="00D2603B">
              <w:rPr>
                <w:rFonts w:eastAsia="Batang" w:cs="Arial"/>
                <w:b/>
                <w:sz w:val="18"/>
                <w:szCs w:val="18"/>
                <w:lang w:eastAsia="ko-KR"/>
              </w:rPr>
              <w:t>Local Finding</w:t>
            </w:r>
          </w:p>
        </w:tc>
        <w:tc>
          <w:tcPr>
            <w:tcW w:w="599" w:type="pct"/>
            <w:shd w:val="clear" w:color="auto" w:fill="E0E0E0"/>
            <w:vAlign w:val="center"/>
          </w:tcPr>
          <w:p w14:paraId="3EB90143" w14:textId="77777777" w:rsidR="00D2603B" w:rsidRDefault="00300759" w:rsidP="00D2603B">
            <w:pPr>
              <w:spacing w:line="240" w:lineRule="auto"/>
              <w:jc w:val="center"/>
              <w:rPr>
                <w:rFonts w:eastAsia="Batang" w:cs="Arial"/>
                <w:b/>
                <w:sz w:val="18"/>
                <w:szCs w:val="18"/>
                <w:lang w:eastAsia="ko-KR"/>
              </w:rPr>
            </w:pPr>
            <w:r w:rsidRPr="00D2603B">
              <w:rPr>
                <w:rFonts w:eastAsia="Batang" w:cs="Arial"/>
                <w:b/>
                <w:sz w:val="18"/>
                <w:szCs w:val="18"/>
                <w:lang w:eastAsia="ko-KR"/>
              </w:rPr>
              <w:t xml:space="preserve">Grade 0 </w:t>
            </w:r>
          </w:p>
          <w:p w14:paraId="234E54D0" w14:textId="5A7245D3" w:rsidR="00300759" w:rsidRPr="00D2603B" w:rsidRDefault="00300759" w:rsidP="00D2603B">
            <w:pPr>
              <w:spacing w:line="240" w:lineRule="auto"/>
              <w:jc w:val="center"/>
              <w:rPr>
                <w:rFonts w:eastAsia="Batang" w:cs="Arial"/>
                <w:b/>
                <w:sz w:val="18"/>
                <w:szCs w:val="18"/>
                <w:lang w:eastAsia="ko-KR"/>
              </w:rPr>
            </w:pPr>
            <w:r w:rsidRPr="00D2603B">
              <w:rPr>
                <w:rFonts w:eastAsia="Batang" w:cs="Arial"/>
                <w:b/>
                <w:sz w:val="18"/>
                <w:szCs w:val="18"/>
                <w:lang w:eastAsia="ko-KR"/>
              </w:rPr>
              <w:t>(None)</w:t>
            </w:r>
          </w:p>
        </w:tc>
        <w:tc>
          <w:tcPr>
            <w:tcW w:w="663" w:type="pct"/>
            <w:shd w:val="clear" w:color="auto" w:fill="E0E0E0"/>
            <w:vAlign w:val="center"/>
          </w:tcPr>
          <w:p w14:paraId="6CED8B5D" w14:textId="77777777" w:rsidR="00D2603B" w:rsidRDefault="00300759" w:rsidP="00D2603B">
            <w:pPr>
              <w:spacing w:line="240" w:lineRule="auto"/>
              <w:jc w:val="center"/>
              <w:rPr>
                <w:rFonts w:eastAsia="Batang" w:cs="Arial"/>
                <w:b/>
                <w:sz w:val="18"/>
                <w:szCs w:val="18"/>
                <w:lang w:eastAsia="ko-KR"/>
              </w:rPr>
            </w:pPr>
            <w:r w:rsidRPr="00D2603B">
              <w:rPr>
                <w:rFonts w:eastAsia="Batang" w:cs="Arial"/>
                <w:b/>
                <w:sz w:val="18"/>
                <w:szCs w:val="18"/>
                <w:lang w:eastAsia="ko-KR"/>
              </w:rPr>
              <w:t xml:space="preserve">Grade 1 </w:t>
            </w:r>
          </w:p>
          <w:p w14:paraId="0F18703B" w14:textId="70085536" w:rsidR="00300759" w:rsidRPr="00D2603B" w:rsidRDefault="00300759" w:rsidP="00D2603B">
            <w:pPr>
              <w:spacing w:line="240" w:lineRule="auto"/>
              <w:jc w:val="center"/>
              <w:rPr>
                <w:rFonts w:eastAsia="Batang" w:cs="Arial"/>
                <w:b/>
                <w:sz w:val="18"/>
                <w:szCs w:val="18"/>
                <w:lang w:eastAsia="ko-KR"/>
              </w:rPr>
            </w:pPr>
            <w:r w:rsidRPr="00D2603B">
              <w:rPr>
                <w:rFonts w:eastAsia="Batang" w:cs="Arial"/>
                <w:b/>
                <w:sz w:val="18"/>
                <w:szCs w:val="18"/>
                <w:lang w:eastAsia="ko-KR"/>
              </w:rPr>
              <w:t>(Mild)</w:t>
            </w:r>
          </w:p>
        </w:tc>
        <w:tc>
          <w:tcPr>
            <w:tcW w:w="974" w:type="pct"/>
            <w:shd w:val="clear" w:color="auto" w:fill="E0E0E0"/>
            <w:vAlign w:val="center"/>
          </w:tcPr>
          <w:p w14:paraId="3796318B" w14:textId="77777777" w:rsidR="00300759" w:rsidRPr="00D2603B" w:rsidRDefault="00300759" w:rsidP="00D2603B">
            <w:pPr>
              <w:spacing w:line="240" w:lineRule="auto"/>
              <w:jc w:val="center"/>
              <w:rPr>
                <w:rFonts w:eastAsia="Batang" w:cs="Arial"/>
                <w:b/>
                <w:sz w:val="18"/>
                <w:szCs w:val="18"/>
                <w:lang w:eastAsia="ko-KR"/>
              </w:rPr>
            </w:pPr>
            <w:r w:rsidRPr="00D2603B">
              <w:rPr>
                <w:rFonts w:eastAsia="Batang" w:cs="Arial"/>
                <w:b/>
                <w:sz w:val="18"/>
                <w:szCs w:val="18"/>
                <w:lang w:eastAsia="ko-KR"/>
              </w:rPr>
              <w:t>Grade 2</w:t>
            </w:r>
          </w:p>
          <w:p w14:paraId="17F77E7C" w14:textId="77777777" w:rsidR="00300759" w:rsidRPr="00D2603B" w:rsidRDefault="00300759" w:rsidP="00D2603B">
            <w:pPr>
              <w:spacing w:line="240" w:lineRule="auto"/>
              <w:jc w:val="center"/>
              <w:rPr>
                <w:rFonts w:eastAsia="Batang" w:cs="Arial"/>
                <w:b/>
                <w:sz w:val="18"/>
                <w:szCs w:val="18"/>
                <w:lang w:eastAsia="ko-KR"/>
              </w:rPr>
            </w:pPr>
            <w:r w:rsidRPr="00D2603B">
              <w:rPr>
                <w:rFonts w:eastAsia="Batang" w:cs="Arial"/>
                <w:b/>
                <w:sz w:val="18"/>
                <w:szCs w:val="18"/>
                <w:lang w:eastAsia="ko-KR"/>
              </w:rPr>
              <w:t>(Moderate)</w:t>
            </w:r>
          </w:p>
        </w:tc>
        <w:tc>
          <w:tcPr>
            <w:tcW w:w="881" w:type="pct"/>
            <w:shd w:val="clear" w:color="auto" w:fill="E0E0E0"/>
            <w:vAlign w:val="center"/>
          </w:tcPr>
          <w:p w14:paraId="0CBC1E7C" w14:textId="77777777" w:rsidR="00300759" w:rsidRPr="00D2603B" w:rsidRDefault="00300759" w:rsidP="00D2603B">
            <w:pPr>
              <w:spacing w:line="240" w:lineRule="auto"/>
              <w:jc w:val="center"/>
              <w:rPr>
                <w:rFonts w:eastAsia="Batang" w:cs="Arial"/>
                <w:b/>
                <w:sz w:val="18"/>
                <w:szCs w:val="18"/>
                <w:lang w:eastAsia="ko-KR"/>
              </w:rPr>
            </w:pPr>
            <w:r w:rsidRPr="00D2603B">
              <w:rPr>
                <w:rFonts w:eastAsia="Batang" w:cs="Arial"/>
                <w:b/>
                <w:sz w:val="18"/>
                <w:szCs w:val="18"/>
                <w:lang w:eastAsia="ko-KR"/>
              </w:rPr>
              <w:t>Grade 3</w:t>
            </w:r>
          </w:p>
          <w:p w14:paraId="27EA40CF" w14:textId="77777777" w:rsidR="00300759" w:rsidRPr="00D2603B" w:rsidRDefault="00300759" w:rsidP="00D2603B">
            <w:pPr>
              <w:spacing w:line="240" w:lineRule="auto"/>
              <w:jc w:val="center"/>
              <w:rPr>
                <w:rFonts w:eastAsia="Batang" w:cs="Arial"/>
                <w:b/>
                <w:sz w:val="18"/>
                <w:szCs w:val="18"/>
                <w:lang w:eastAsia="ko-KR"/>
              </w:rPr>
            </w:pPr>
            <w:r w:rsidRPr="00D2603B">
              <w:rPr>
                <w:rFonts w:eastAsia="Batang" w:cs="Arial"/>
                <w:b/>
                <w:sz w:val="18"/>
                <w:szCs w:val="18"/>
                <w:lang w:eastAsia="ko-KR"/>
              </w:rPr>
              <w:t>(Severe)</w:t>
            </w:r>
          </w:p>
        </w:tc>
        <w:tc>
          <w:tcPr>
            <w:tcW w:w="910" w:type="pct"/>
            <w:shd w:val="clear" w:color="auto" w:fill="E0E0E0"/>
            <w:vAlign w:val="center"/>
          </w:tcPr>
          <w:p w14:paraId="60C4FCCB" w14:textId="77777777" w:rsidR="00300759" w:rsidRPr="00D2603B" w:rsidRDefault="00300759" w:rsidP="00D2603B">
            <w:pPr>
              <w:spacing w:line="240" w:lineRule="auto"/>
              <w:jc w:val="center"/>
              <w:rPr>
                <w:rFonts w:eastAsia="Batang" w:cs="Arial"/>
                <w:b/>
                <w:sz w:val="18"/>
                <w:szCs w:val="18"/>
                <w:lang w:eastAsia="ko-KR"/>
              </w:rPr>
            </w:pPr>
            <w:r w:rsidRPr="00D2603B">
              <w:rPr>
                <w:rFonts w:eastAsia="Batang" w:cs="Arial"/>
                <w:b/>
                <w:sz w:val="18"/>
                <w:szCs w:val="18"/>
                <w:lang w:eastAsia="ko-KR"/>
              </w:rPr>
              <w:t>Grade 4</w:t>
            </w:r>
          </w:p>
          <w:p w14:paraId="0022EF69" w14:textId="77777777" w:rsidR="00300759" w:rsidRPr="00D2603B" w:rsidRDefault="00300759" w:rsidP="00D2603B">
            <w:pPr>
              <w:spacing w:line="240" w:lineRule="auto"/>
              <w:jc w:val="center"/>
              <w:rPr>
                <w:rFonts w:eastAsia="Batang" w:cs="Arial"/>
                <w:b/>
                <w:sz w:val="18"/>
                <w:szCs w:val="18"/>
                <w:lang w:eastAsia="ko-KR"/>
              </w:rPr>
            </w:pPr>
            <w:r w:rsidRPr="00D2603B">
              <w:rPr>
                <w:rFonts w:eastAsia="Batang" w:cs="Arial"/>
                <w:b/>
                <w:sz w:val="18"/>
                <w:szCs w:val="18"/>
                <w:lang w:eastAsia="ko-KR"/>
              </w:rPr>
              <w:t>(Potentially Life-threatening)</w:t>
            </w:r>
          </w:p>
        </w:tc>
      </w:tr>
      <w:tr w:rsidR="00300759" w:rsidRPr="00D2603B" w14:paraId="1C58E58A" w14:textId="77777777" w:rsidTr="00D2603B">
        <w:trPr>
          <w:trHeight w:val="374"/>
          <w:jc w:val="center"/>
        </w:trPr>
        <w:tc>
          <w:tcPr>
            <w:tcW w:w="973" w:type="pct"/>
          </w:tcPr>
          <w:p w14:paraId="64497A21"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Pain</w:t>
            </w:r>
          </w:p>
        </w:tc>
        <w:tc>
          <w:tcPr>
            <w:tcW w:w="599" w:type="pct"/>
          </w:tcPr>
          <w:p w14:paraId="71DF429D"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None</w:t>
            </w:r>
          </w:p>
        </w:tc>
        <w:tc>
          <w:tcPr>
            <w:tcW w:w="663" w:type="pct"/>
          </w:tcPr>
          <w:p w14:paraId="1D0B8031"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Does not interfere with activity</w:t>
            </w:r>
          </w:p>
        </w:tc>
        <w:tc>
          <w:tcPr>
            <w:tcW w:w="974" w:type="pct"/>
          </w:tcPr>
          <w:p w14:paraId="5D4194B7"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Repeated use of non-narcotic pain reliever &gt;24 hours or interferes with activity</w:t>
            </w:r>
          </w:p>
        </w:tc>
        <w:tc>
          <w:tcPr>
            <w:tcW w:w="881" w:type="pct"/>
          </w:tcPr>
          <w:p w14:paraId="37F3242C"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Any use of narcotic pain reliever or prevents daily activity</w:t>
            </w:r>
          </w:p>
        </w:tc>
        <w:tc>
          <w:tcPr>
            <w:tcW w:w="910" w:type="pct"/>
          </w:tcPr>
          <w:p w14:paraId="05BF70D9" w14:textId="77777777" w:rsidR="00300759" w:rsidRPr="00D2603B" w:rsidRDefault="00300759" w:rsidP="00300759">
            <w:pPr>
              <w:spacing w:line="240" w:lineRule="auto"/>
              <w:rPr>
                <w:rFonts w:cs="Arial"/>
                <w:color w:val="000000"/>
                <w:sz w:val="18"/>
                <w:szCs w:val="18"/>
              </w:rPr>
            </w:pPr>
            <w:r w:rsidRPr="00D2603B">
              <w:rPr>
                <w:rFonts w:eastAsia="Batang" w:cs="Arial"/>
                <w:sz w:val="18"/>
                <w:szCs w:val="18"/>
                <w:lang w:eastAsia="ko-KR"/>
              </w:rPr>
              <w:t>Emergency room (ER) visit or hospitalization</w:t>
            </w:r>
          </w:p>
        </w:tc>
      </w:tr>
      <w:tr w:rsidR="00300759" w:rsidRPr="00D2603B" w14:paraId="45200CD1" w14:textId="77777777" w:rsidTr="00D2603B">
        <w:trPr>
          <w:trHeight w:val="374"/>
          <w:jc w:val="center"/>
        </w:trPr>
        <w:tc>
          <w:tcPr>
            <w:tcW w:w="973" w:type="pct"/>
          </w:tcPr>
          <w:p w14:paraId="15014F97"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Erythema/Redness</w:t>
            </w:r>
          </w:p>
        </w:tc>
        <w:tc>
          <w:tcPr>
            <w:tcW w:w="599" w:type="pct"/>
          </w:tcPr>
          <w:p w14:paraId="6E571DA8"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&lt;2.5cm</w:t>
            </w:r>
          </w:p>
        </w:tc>
        <w:tc>
          <w:tcPr>
            <w:tcW w:w="663" w:type="pct"/>
          </w:tcPr>
          <w:p w14:paraId="1F19B304"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2.5 – 5.0 cm</w:t>
            </w:r>
          </w:p>
        </w:tc>
        <w:tc>
          <w:tcPr>
            <w:tcW w:w="974" w:type="pct"/>
          </w:tcPr>
          <w:p w14:paraId="37F55308"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5.1 – 10 cm</w:t>
            </w:r>
          </w:p>
        </w:tc>
        <w:tc>
          <w:tcPr>
            <w:tcW w:w="881" w:type="pct"/>
          </w:tcPr>
          <w:p w14:paraId="597F24AF"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&gt;10 cm</w:t>
            </w:r>
          </w:p>
        </w:tc>
        <w:tc>
          <w:tcPr>
            <w:tcW w:w="910" w:type="pct"/>
          </w:tcPr>
          <w:p w14:paraId="7DAF320D"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Necrosis or exfoliative dermatitis</w:t>
            </w:r>
          </w:p>
        </w:tc>
      </w:tr>
      <w:tr w:rsidR="00300759" w:rsidRPr="00D2603B" w14:paraId="4FD57561" w14:textId="77777777" w:rsidTr="00D2603B">
        <w:trPr>
          <w:trHeight w:val="374"/>
          <w:jc w:val="center"/>
        </w:trPr>
        <w:tc>
          <w:tcPr>
            <w:tcW w:w="973" w:type="pct"/>
          </w:tcPr>
          <w:p w14:paraId="79987D92"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Induration/Swelling</w:t>
            </w:r>
          </w:p>
        </w:tc>
        <w:tc>
          <w:tcPr>
            <w:tcW w:w="599" w:type="pct"/>
          </w:tcPr>
          <w:p w14:paraId="6A164D76"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&lt;2.5cm</w:t>
            </w:r>
          </w:p>
        </w:tc>
        <w:tc>
          <w:tcPr>
            <w:tcW w:w="663" w:type="pct"/>
          </w:tcPr>
          <w:p w14:paraId="74A698A2"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2.5 – 5.0 cm</w:t>
            </w:r>
          </w:p>
        </w:tc>
        <w:tc>
          <w:tcPr>
            <w:tcW w:w="974" w:type="pct"/>
          </w:tcPr>
          <w:p w14:paraId="363A66DA"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5.1 – 10 cm</w:t>
            </w:r>
          </w:p>
        </w:tc>
        <w:tc>
          <w:tcPr>
            <w:tcW w:w="881" w:type="pct"/>
          </w:tcPr>
          <w:p w14:paraId="79889787"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&gt;10 cm</w:t>
            </w:r>
          </w:p>
        </w:tc>
        <w:tc>
          <w:tcPr>
            <w:tcW w:w="910" w:type="pct"/>
          </w:tcPr>
          <w:p w14:paraId="082A0A30" w14:textId="77777777" w:rsidR="00300759" w:rsidRPr="00D2603B" w:rsidRDefault="00300759" w:rsidP="00300759">
            <w:pPr>
              <w:spacing w:line="240" w:lineRule="auto"/>
              <w:rPr>
                <w:rFonts w:eastAsia="Batang" w:cs="Arial"/>
                <w:sz w:val="18"/>
                <w:szCs w:val="18"/>
                <w:lang w:eastAsia="ko-KR"/>
              </w:rPr>
            </w:pPr>
            <w:r w:rsidRPr="00D2603B">
              <w:rPr>
                <w:rFonts w:eastAsia="Batang" w:cs="Arial"/>
                <w:sz w:val="18"/>
                <w:szCs w:val="18"/>
                <w:lang w:eastAsia="ko-KR"/>
              </w:rPr>
              <w:t>Necrosis</w:t>
            </w:r>
          </w:p>
        </w:tc>
      </w:tr>
    </w:tbl>
    <w:p w14:paraId="174F7230" w14:textId="77777777" w:rsidR="00300759" w:rsidRPr="00D2603B" w:rsidRDefault="00300759" w:rsidP="00300759">
      <w:pPr>
        <w:spacing w:line="240" w:lineRule="auto"/>
        <w:jc w:val="both"/>
        <w:rPr>
          <w:rFonts w:cs="Arial"/>
          <w:iCs/>
          <w:sz w:val="18"/>
          <w:szCs w:val="18"/>
        </w:rPr>
      </w:pPr>
      <w:r w:rsidRPr="00D2603B">
        <w:rPr>
          <w:rFonts w:cs="Arial"/>
          <w:b/>
          <w:iCs/>
          <w:sz w:val="18"/>
          <w:szCs w:val="18"/>
        </w:rPr>
        <w:t>NOTE:</w:t>
      </w:r>
      <w:r w:rsidRPr="00D2603B">
        <w:rPr>
          <w:rFonts w:cs="Arial"/>
          <w:iCs/>
          <w:sz w:val="18"/>
          <w:szCs w:val="18"/>
        </w:rPr>
        <w:t xml:space="preserve"> </w:t>
      </w:r>
      <w:r w:rsidRPr="00D2603B">
        <w:rPr>
          <w:rFonts w:cs="Arial"/>
          <w:b/>
          <w:iCs/>
          <w:sz w:val="18"/>
          <w:szCs w:val="18"/>
        </w:rPr>
        <w:t>Local injection site reaction grading should not be confused with general AE grading</w:t>
      </w:r>
      <w:r w:rsidRPr="00D2603B">
        <w:rPr>
          <w:rFonts w:cs="Arial"/>
          <w:iCs/>
          <w:sz w:val="18"/>
          <w:szCs w:val="18"/>
        </w:rPr>
        <w:t>.</w:t>
      </w:r>
    </w:p>
    <w:p w14:paraId="5DDC5EB9" w14:textId="2466FAFF" w:rsidR="00300759" w:rsidRPr="00D2603B" w:rsidRDefault="00300759" w:rsidP="00300759">
      <w:pPr>
        <w:autoSpaceDE w:val="0"/>
        <w:autoSpaceDN w:val="0"/>
        <w:adjustRightInd w:val="0"/>
        <w:spacing w:line="240" w:lineRule="auto"/>
        <w:jc w:val="both"/>
        <w:rPr>
          <w:rFonts w:cs="Arial"/>
          <w:iCs/>
          <w:sz w:val="18"/>
          <w:szCs w:val="18"/>
        </w:rPr>
      </w:pPr>
      <w:r w:rsidRPr="00D2603B">
        <w:rPr>
          <w:rFonts w:cs="Arial"/>
          <w:color w:val="000000"/>
          <w:sz w:val="18"/>
          <w:szCs w:val="18"/>
        </w:rPr>
        <w:t xml:space="preserve">In addition to grading the measured local reaction at the greatest single diameter, the measurements of the widest diameter and the diameter perpendicular to it should be </w:t>
      </w:r>
      <w:r w:rsidRPr="00D2603B">
        <w:rPr>
          <w:rFonts w:cs="Arial"/>
          <w:sz w:val="18"/>
          <w:szCs w:val="18"/>
        </w:rPr>
        <w:t>recorded in the CRF as a continuous variable.</w:t>
      </w:r>
    </w:p>
    <w:p w14:paraId="7E1146E8" w14:textId="5F0A8F22" w:rsidR="00300759" w:rsidRPr="005E13C1" w:rsidRDefault="001B50A7" w:rsidP="005E13C1">
      <w:pPr>
        <w:pStyle w:val="Heading1"/>
        <w:numPr>
          <w:ilvl w:val="0"/>
          <w:numId w:val="0"/>
        </w:numPr>
        <w:spacing w:before="0" w:line="240" w:lineRule="auto"/>
        <w:jc w:val="center"/>
        <w:rPr>
          <w:caps w:val="0"/>
        </w:rPr>
      </w:pPr>
      <w:bookmarkStart w:id="527" w:name="_Ref387344402"/>
      <w:bookmarkStart w:id="528" w:name="_Ref376864080"/>
      <w:bookmarkStart w:id="529" w:name="_Toc389130063"/>
      <w:bookmarkStart w:id="530" w:name="_Toc389130122"/>
      <w:bookmarkStart w:id="531" w:name="_Toc440906366"/>
      <w:r w:rsidRPr="005E13C1">
        <w:rPr>
          <w:caps w:val="0"/>
          <w:sz w:val="22"/>
          <w:szCs w:val="22"/>
        </w:rPr>
        <w:t xml:space="preserve">Appendix </w:t>
      </w:r>
      <w:r w:rsidR="00347B69" w:rsidRPr="005E13C1">
        <w:rPr>
          <w:caps w:val="0"/>
          <w:sz w:val="22"/>
          <w:szCs w:val="22"/>
        </w:rPr>
        <w:fldChar w:fldCharType="begin"/>
      </w:r>
      <w:r w:rsidR="00347B69" w:rsidRPr="005E13C1">
        <w:rPr>
          <w:caps w:val="0"/>
          <w:sz w:val="22"/>
          <w:szCs w:val="22"/>
        </w:rPr>
        <w:instrText xml:space="preserve"> SEQ Appendix \* ARABIC </w:instrText>
      </w:r>
      <w:r w:rsidR="00347B69" w:rsidRPr="005E13C1">
        <w:rPr>
          <w:caps w:val="0"/>
          <w:sz w:val="22"/>
          <w:szCs w:val="22"/>
        </w:rPr>
        <w:fldChar w:fldCharType="separate"/>
      </w:r>
      <w:r w:rsidR="00024E24">
        <w:rPr>
          <w:caps w:val="0"/>
          <w:noProof/>
          <w:sz w:val="22"/>
          <w:szCs w:val="22"/>
        </w:rPr>
        <w:t>6</w:t>
      </w:r>
      <w:r w:rsidR="00347B69" w:rsidRPr="005E13C1">
        <w:rPr>
          <w:caps w:val="0"/>
          <w:noProof/>
          <w:sz w:val="22"/>
          <w:szCs w:val="22"/>
        </w:rPr>
        <w:fldChar w:fldCharType="end"/>
      </w:r>
      <w:bookmarkEnd w:id="527"/>
      <w:bookmarkEnd w:id="528"/>
      <w:r w:rsidRPr="005E13C1">
        <w:rPr>
          <w:caps w:val="0"/>
          <w:sz w:val="22"/>
          <w:szCs w:val="22"/>
        </w:rPr>
        <w:t>: Toxicity grading scale¹ for determining the severity of clinical AEs</w:t>
      </w:r>
      <w:bookmarkEnd w:id="529"/>
      <w:bookmarkEnd w:id="530"/>
      <w:bookmarkEnd w:id="531"/>
    </w:p>
    <w:tbl>
      <w:tblPr>
        <w:tblW w:w="110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2160"/>
        <w:gridCol w:w="2160"/>
        <w:gridCol w:w="2070"/>
        <w:gridCol w:w="14"/>
        <w:gridCol w:w="2856"/>
      </w:tblGrid>
      <w:tr w:rsidR="00300759" w:rsidRPr="00D2603B" w14:paraId="0AB55ADE" w14:textId="77777777" w:rsidTr="00300759">
        <w:trPr>
          <w:cantSplit/>
          <w:jc w:val="center"/>
        </w:trPr>
        <w:tc>
          <w:tcPr>
            <w:tcW w:w="11060" w:type="dxa"/>
            <w:gridSpan w:val="6"/>
            <w:shd w:val="clear" w:color="auto" w:fill="D9D9D9"/>
          </w:tcPr>
          <w:p w14:paraId="77DA3F25" w14:textId="77777777" w:rsidR="00300759" w:rsidRPr="00D2603B" w:rsidRDefault="00300759" w:rsidP="00300759">
            <w:pPr>
              <w:spacing w:before="20" w:after="20" w:line="240" w:lineRule="exact"/>
              <w:rPr>
                <w:rFonts w:eastAsia="Batang" w:cs="Arial"/>
                <w:b/>
                <w:kern w:val="2"/>
                <w:sz w:val="18"/>
                <w:szCs w:val="18"/>
                <w:lang w:eastAsia="ko-KR"/>
              </w:rPr>
            </w:pPr>
            <w:r w:rsidRPr="00D2603B">
              <w:rPr>
                <w:rFonts w:eastAsia="Batang" w:cs="Arial"/>
                <w:b/>
                <w:kern w:val="2"/>
                <w:sz w:val="18"/>
                <w:szCs w:val="18"/>
                <w:lang w:eastAsia="ko-KR"/>
              </w:rPr>
              <w:t>VITAL SIGNS</w:t>
            </w:r>
          </w:p>
        </w:tc>
      </w:tr>
      <w:tr w:rsidR="00300759" w:rsidRPr="00D2603B" w14:paraId="742A007C" w14:textId="77777777" w:rsidTr="00300759">
        <w:trPr>
          <w:jc w:val="center"/>
        </w:trPr>
        <w:tc>
          <w:tcPr>
            <w:tcW w:w="1800" w:type="dxa"/>
          </w:tcPr>
          <w:p w14:paraId="6A6BA3D4" w14:textId="77777777" w:rsidR="00300759" w:rsidRPr="00D2603B" w:rsidRDefault="00300759" w:rsidP="00300759">
            <w:pPr>
              <w:spacing w:before="40" w:after="40" w:line="200" w:lineRule="exact"/>
              <w:rPr>
                <w:rFonts w:eastAsia="Batang" w:cs="Arial"/>
                <w:b/>
                <w:kern w:val="2"/>
                <w:sz w:val="18"/>
                <w:szCs w:val="18"/>
                <w:lang w:eastAsia="ko-KR"/>
              </w:rPr>
            </w:pPr>
          </w:p>
        </w:tc>
        <w:tc>
          <w:tcPr>
            <w:tcW w:w="2160" w:type="dxa"/>
            <w:shd w:val="clear" w:color="auto" w:fill="F3F3F3"/>
            <w:vAlign w:val="center"/>
          </w:tcPr>
          <w:p w14:paraId="3E78EA29" w14:textId="77777777" w:rsidR="00300759" w:rsidRPr="00D2603B" w:rsidRDefault="00300759" w:rsidP="00300759">
            <w:pPr>
              <w:spacing w:before="40" w:after="40" w:line="200" w:lineRule="exact"/>
              <w:jc w:val="center"/>
              <w:rPr>
                <w:rFonts w:eastAsia="Batang" w:cs="Arial"/>
                <w:b/>
                <w:kern w:val="2"/>
                <w:sz w:val="18"/>
                <w:szCs w:val="18"/>
                <w:lang w:eastAsia="ko-KR"/>
              </w:rPr>
            </w:pPr>
            <w:r w:rsidRPr="00D2603B">
              <w:rPr>
                <w:rFonts w:eastAsia="Batang" w:cs="Arial"/>
                <w:b/>
                <w:kern w:val="2"/>
                <w:sz w:val="18"/>
                <w:szCs w:val="18"/>
                <w:lang w:eastAsia="ko-KR"/>
              </w:rPr>
              <w:t>Grade 1</w:t>
            </w:r>
            <w:r w:rsidRPr="00D2603B">
              <w:rPr>
                <w:rFonts w:eastAsia="Batang" w:cs="Arial"/>
                <w:b/>
                <w:kern w:val="2"/>
                <w:sz w:val="18"/>
                <w:szCs w:val="18"/>
                <w:lang w:eastAsia="ko-KR"/>
              </w:rPr>
              <w:br/>
              <w:t>Mild</w:t>
            </w:r>
          </w:p>
        </w:tc>
        <w:tc>
          <w:tcPr>
            <w:tcW w:w="2160" w:type="dxa"/>
            <w:shd w:val="clear" w:color="auto" w:fill="F3F3F3"/>
            <w:vAlign w:val="center"/>
          </w:tcPr>
          <w:p w14:paraId="3FBC012F" w14:textId="77777777" w:rsidR="00300759" w:rsidRPr="00D2603B" w:rsidRDefault="00300759" w:rsidP="00300759">
            <w:pPr>
              <w:spacing w:before="40" w:after="40" w:line="200" w:lineRule="exact"/>
              <w:jc w:val="center"/>
              <w:rPr>
                <w:rFonts w:eastAsia="Batang" w:cs="Arial"/>
                <w:b/>
                <w:kern w:val="2"/>
                <w:sz w:val="18"/>
                <w:szCs w:val="18"/>
                <w:lang w:eastAsia="ko-KR"/>
              </w:rPr>
            </w:pPr>
            <w:r w:rsidRPr="00D2603B">
              <w:rPr>
                <w:rFonts w:eastAsia="Batang" w:cs="Arial"/>
                <w:b/>
                <w:kern w:val="2"/>
                <w:sz w:val="18"/>
                <w:szCs w:val="18"/>
                <w:lang w:eastAsia="ko-KR"/>
              </w:rPr>
              <w:t>Grade 2</w:t>
            </w:r>
            <w:r w:rsidRPr="00D2603B">
              <w:rPr>
                <w:rFonts w:eastAsia="Batang" w:cs="Arial"/>
                <w:b/>
                <w:kern w:val="2"/>
                <w:sz w:val="18"/>
                <w:szCs w:val="18"/>
                <w:lang w:eastAsia="ko-KR"/>
              </w:rPr>
              <w:br/>
              <w:t>Moderate</w:t>
            </w:r>
          </w:p>
        </w:tc>
        <w:tc>
          <w:tcPr>
            <w:tcW w:w="2070" w:type="dxa"/>
            <w:shd w:val="clear" w:color="auto" w:fill="F3F3F3"/>
            <w:vAlign w:val="center"/>
          </w:tcPr>
          <w:p w14:paraId="2A863D32" w14:textId="77777777" w:rsidR="00300759" w:rsidRPr="00D2603B" w:rsidRDefault="00300759" w:rsidP="00300759">
            <w:pPr>
              <w:spacing w:before="40" w:after="40" w:line="200" w:lineRule="exact"/>
              <w:jc w:val="center"/>
              <w:rPr>
                <w:rFonts w:eastAsia="Batang" w:cs="Arial"/>
                <w:b/>
                <w:kern w:val="2"/>
                <w:sz w:val="18"/>
                <w:szCs w:val="18"/>
                <w:lang w:eastAsia="ko-KR"/>
              </w:rPr>
            </w:pPr>
            <w:r w:rsidRPr="00D2603B">
              <w:rPr>
                <w:rFonts w:eastAsia="Batang" w:cs="Arial"/>
                <w:b/>
                <w:kern w:val="2"/>
                <w:sz w:val="18"/>
                <w:szCs w:val="18"/>
                <w:lang w:eastAsia="ko-KR"/>
              </w:rPr>
              <w:t>Grade 3*</w:t>
            </w:r>
            <w:r w:rsidRPr="00D2603B">
              <w:rPr>
                <w:rFonts w:eastAsia="Batang" w:cs="Arial"/>
                <w:b/>
                <w:kern w:val="2"/>
                <w:sz w:val="18"/>
                <w:szCs w:val="18"/>
                <w:lang w:eastAsia="ko-KR"/>
              </w:rPr>
              <w:br/>
              <w:t>Severe</w:t>
            </w:r>
          </w:p>
        </w:tc>
        <w:tc>
          <w:tcPr>
            <w:tcW w:w="2870" w:type="dxa"/>
            <w:gridSpan w:val="2"/>
            <w:shd w:val="clear" w:color="auto" w:fill="F3F3F3"/>
            <w:vAlign w:val="center"/>
          </w:tcPr>
          <w:p w14:paraId="7AE667D3" w14:textId="77777777" w:rsidR="00300759" w:rsidRPr="00D2603B" w:rsidRDefault="00300759" w:rsidP="00300759">
            <w:pPr>
              <w:spacing w:before="40" w:after="40" w:line="200" w:lineRule="exact"/>
              <w:jc w:val="center"/>
              <w:rPr>
                <w:rFonts w:eastAsia="Batang" w:cs="Arial"/>
                <w:b/>
                <w:kern w:val="2"/>
                <w:sz w:val="18"/>
                <w:szCs w:val="18"/>
                <w:lang w:eastAsia="ko-KR"/>
              </w:rPr>
            </w:pPr>
            <w:r w:rsidRPr="00D2603B">
              <w:rPr>
                <w:rFonts w:eastAsia="Batang" w:cs="Arial"/>
                <w:b/>
                <w:kern w:val="2"/>
                <w:sz w:val="18"/>
                <w:szCs w:val="18"/>
                <w:lang w:eastAsia="ko-KR"/>
              </w:rPr>
              <w:t>Grade 4**</w:t>
            </w:r>
            <w:r w:rsidRPr="00D2603B">
              <w:rPr>
                <w:rFonts w:eastAsia="Batang" w:cs="Arial"/>
                <w:b/>
                <w:kern w:val="2"/>
                <w:sz w:val="18"/>
                <w:szCs w:val="18"/>
                <w:lang w:eastAsia="ko-KR"/>
              </w:rPr>
              <w:br/>
              <w:t>Potentially Life-threatening</w:t>
            </w:r>
          </w:p>
        </w:tc>
      </w:tr>
      <w:tr w:rsidR="00300759" w:rsidRPr="00D2603B" w14:paraId="449186A3" w14:textId="77777777" w:rsidTr="00300759">
        <w:trPr>
          <w:jc w:val="center"/>
        </w:trPr>
        <w:tc>
          <w:tcPr>
            <w:tcW w:w="1800" w:type="dxa"/>
          </w:tcPr>
          <w:p w14:paraId="5D204490" w14:textId="4A628B81" w:rsidR="00300759" w:rsidRPr="00D2603B" w:rsidRDefault="00300759" w:rsidP="00A41B6A">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 xml:space="preserve">Fever: </w:t>
            </w:r>
            <w:r w:rsidR="00DB764C">
              <w:rPr>
                <w:rFonts w:eastAsia="Batang" w:cs="Arial"/>
                <w:kern w:val="2"/>
                <w:sz w:val="18"/>
                <w:szCs w:val="18"/>
                <w:lang w:eastAsia="ko-KR"/>
              </w:rPr>
              <w:t>axillary</w:t>
            </w:r>
            <w:r w:rsidR="00DB764C" w:rsidRPr="00D2603B">
              <w:rPr>
                <w:rFonts w:eastAsia="Batang" w:cs="Arial"/>
                <w:kern w:val="2"/>
                <w:sz w:val="18"/>
                <w:szCs w:val="18"/>
                <w:lang w:eastAsia="ko-KR"/>
              </w:rPr>
              <w:t xml:space="preserve"> </w:t>
            </w:r>
            <w:r w:rsidRPr="00D2603B">
              <w:rPr>
                <w:rFonts w:eastAsia="Batang" w:cs="Arial"/>
                <w:kern w:val="2"/>
                <w:sz w:val="18"/>
                <w:szCs w:val="18"/>
                <w:lang w:eastAsia="ko-KR"/>
              </w:rPr>
              <w:t>(˚C)</w:t>
            </w:r>
          </w:p>
        </w:tc>
        <w:tc>
          <w:tcPr>
            <w:tcW w:w="2160" w:type="dxa"/>
          </w:tcPr>
          <w:p w14:paraId="433AB842" w14:textId="16D37CAC" w:rsidR="00300759" w:rsidRPr="00D2603B" w:rsidRDefault="00300759" w:rsidP="00A41B6A">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3</w:t>
            </w:r>
            <w:r w:rsidR="003E77ED">
              <w:rPr>
                <w:rFonts w:eastAsia="Batang" w:cs="Arial"/>
                <w:kern w:val="2"/>
                <w:sz w:val="18"/>
                <w:szCs w:val="18"/>
                <w:lang w:eastAsia="ko-KR"/>
              </w:rPr>
              <w:t>7</w:t>
            </w:r>
            <w:r w:rsidRPr="00D2603B">
              <w:rPr>
                <w:rFonts w:eastAsia="Batang" w:cs="Arial"/>
                <w:kern w:val="2"/>
                <w:sz w:val="18"/>
                <w:szCs w:val="18"/>
                <w:lang w:eastAsia="ko-KR"/>
              </w:rPr>
              <w:t>.</w:t>
            </w:r>
            <w:r w:rsidR="00DB764C">
              <w:rPr>
                <w:rFonts w:eastAsia="Batang" w:cs="Arial"/>
                <w:kern w:val="2"/>
                <w:sz w:val="18"/>
                <w:szCs w:val="18"/>
                <w:lang w:eastAsia="ko-KR"/>
              </w:rPr>
              <w:t>5</w:t>
            </w:r>
            <w:r w:rsidR="00DB764C" w:rsidRPr="00D2603B">
              <w:rPr>
                <w:rFonts w:eastAsia="Batang" w:cs="Arial"/>
                <w:kern w:val="2"/>
                <w:sz w:val="18"/>
                <w:szCs w:val="18"/>
                <w:lang w:eastAsia="ko-KR"/>
              </w:rPr>
              <w:t xml:space="preserve"> </w:t>
            </w:r>
            <w:r w:rsidRPr="00D2603B">
              <w:rPr>
                <w:rFonts w:eastAsia="Batang" w:cs="Arial"/>
                <w:kern w:val="2"/>
                <w:sz w:val="18"/>
                <w:szCs w:val="18"/>
                <w:lang w:eastAsia="ko-KR"/>
              </w:rPr>
              <w:t>– 3</w:t>
            </w:r>
            <w:r w:rsidR="003E77ED">
              <w:rPr>
                <w:rFonts w:eastAsia="Batang" w:cs="Arial"/>
                <w:kern w:val="2"/>
                <w:sz w:val="18"/>
                <w:szCs w:val="18"/>
                <w:lang w:eastAsia="ko-KR"/>
              </w:rPr>
              <w:t>7</w:t>
            </w:r>
            <w:r w:rsidRPr="00D2603B">
              <w:rPr>
                <w:rFonts w:eastAsia="Batang" w:cs="Arial"/>
                <w:kern w:val="2"/>
                <w:sz w:val="18"/>
                <w:szCs w:val="18"/>
                <w:lang w:eastAsia="ko-KR"/>
              </w:rPr>
              <w:t>.</w:t>
            </w:r>
            <w:r w:rsidR="00DB764C">
              <w:rPr>
                <w:rFonts w:eastAsia="Batang" w:cs="Arial"/>
                <w:kern w:val="2"/>
                <w:sz w:val="18"/>
                <w:szCs w:val="18"/>
                <w:lang w:eastAsia="ko-KR"/>
              </w:rPr>
              <w:t>9</w:t>
            </w:r>
            <w:r w:rsidR="00DB764C" w:rsidRPr="00D2603B">
              <w:rPr>
                <w:rFonts w:eastAsia="Batang" w:cs="Arial"/>
                <w:kern w:val="2"/>
                <w:sz w:val="18"/>
                <w:szCs w:val="18"/>
                <w:lang w:eastAsia="ko-KR"/>
              </w:rPr>
              <w:t xml:space="preserve"> </w:t>
            </w:r>
          </w:p>
        </w:tc>
        <w:tc>
          <w:tcPr>
            <w:tcW w:w="2160" w:type="dxa"/>
          </w:tcPr>
          <w:p w14:paraId="3C35F2B2" w14:textId="6AFA13B8" w:rsidR="00300759" w:rsidRPr="00D2603B" w:rsidRDefault="00DB764C" w:rsidP="00A41B6A">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3</w:t>
            </w:r>
            <w:r w:rsidR="003E77ED">
              <w:rPr>
                <w:rFonts w:eastAsia="Batang" w:cs="Arial"/>
                <w:kern w:val="2"/>
                <w:sz w:val="18"/>
                <w:szCs w:val="18"/>
                <w:lang w:eastAsia="ko-KR"/>
              </w:rPr>
              <w:t>8</w:t>
            </w:r>
            <w:r w:rsidR="00300759" w:rsidRPr="00D2603B">
              <w:rPr>
                <w:rFonts w:eastAsia="Batang" w:cs="Arial"/>
                <w:kern w:val="2"/>
                <w:sz w:val="18"/>
                <w:szCs w:val="18"/>
                <w:lang w:eastAsia="ko-KR"/>
              </w:rPr>
              <w:t>.</w:t>
            </w:r>
            <w:r>
              <w:rPr>
                <w:rFonts w:eastAsia="Batang" w:cs="Arial"/>
                <w:kern w:val="2"/>
                <w:sz w:val="18"/>
                <w:szCs w:val="18"/>
                <w:lang w:eastAsia="ko-KR"/>
              </w:rPr>
              <w:t>0</w:t>
            </w:r>
            <w:r w:rsidRPr="00D2603B">
              <w:rPr>
                <w:rFonts w:eastAsia="Batang" w:cs="Arial"/>
                <w:kern w:val="2"/>
                <w:sz w:val="18"/>
                <w:szCs w:val="18"/>
                <w:lang w:eastAsia="ko-KR"/>
              </w:rPr>
              <w:t xml:space="preserve"> </w:t>
            </w:r>
            <w:r w:rsidR="00300759" w:rsidRPr="00D2603B">
              <w:rPr>
                <w:rFonts w:eastAsia="Batang" w:cs="Arial"/>
                <w:kern w:val="2"/>
                <w:sz w:val="18"/>
                <w:szCs w:val="18"/>
                <w:lang w:eastAsia="ko-KR"/>
              </w:rPr>
              <w:t xml:space="preserve">– </w:t>
            </w:r>
            <w:r w:rsidRPr="00D2603B">
              <w:rPr>
                <w:rFonts w:eastAsia="Batang" w:cs="Arial"/>
                <w:kern w:val="2"/>
                <w:sz w:val="18"/>
                <w:szCs w:val="18"/>
                <w:lang w:eastAsia="ko-KR"/>
              </w:rPr>
              <w:t>3</w:t>
            </w:r>
            <w:r w:rsidR="003E77ED">
              <w:rPr>
                <w:rFonts w:eastAsia="Batang" w:cs="Arial"/>
                <w:kern w:val="2"/>
                <w:sz w:val="18"/>
                <w:szCs w:val="18"/>
                <w:lang w:eastAsia="ko-KR"/>
              </w:rPr>
              <w:t>8</w:t>
            </w:r>
            <w:r w:rsidR="00300759" w:rsidRPr="00D2603B">
              <w:rPr>
                <w:rFonts w:eastAsia="Batang" w:cs="Arial"/>
                <w:kern w:val="2"/>
                <w:sz w:val="18"/>
                <w:szCs w:val="18"/>
                <w:lang w:eastAsia="ko-KR"/>
              </w:rPr>
              <w:t>.</w:t>
            </w:r>
            <w:r>
              <w:rPr>
                <w:rFonts w:eastAsia="Batang" w:cs="Arial"/>
                <w:kern w:val="2"/>
                <w:sz w:val="18"/>
                <w:szCs w:val="18"/>
                <w:lang w:eastAsia="ko-KR"/>
              </w:rPr>
              <w:t>4</w:t>
            </w:r>
            <w:r w:rsidRPr="00D2603B">
              <w:rPr>
                <w:rFonts w:eastAsia="Batang" w:cs="Arial"/>
                <w:kern w:val="2"/>
                <w:sz w:val="18"/>
                <w:szCs w:val="18"/>
                <w:lang w:eastAsia="ko-KR"/>
              </w:rPr>
              <w:t xml:space="preserve"> </w:t>
            </w:r>
          </w:p>
        </w:tc>
        <w:tc>
          <w:tcPr>
            <w:tcW w:w="2070" w:type="dxa"/>
          </w:tcPr>
          <w:p w14:paraId="7CAC64E3" w14:textId="363A05B7" w:rsidR="00300759" w:rsidRPr="00D2603B" w:rsidRDefault="00300759" w:rsidP="00A41B6A">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3</w:t>
            </w:r>
            <w:r w:rsidR="003E77ED">
              <w:rPr>
                <w:rFonts w:eastAsia="Batang" w:cs="Arial"/>
                <w:kern w:val="2"/>
                <w:sz w:val="18"/>
                <w:szCs w:val="18"/>
                <w:lang w:eastAsia="ko-KR"/>
              </w:rPr>
              <w:t>8.</w:t>
            </w:r>
            <w:r w:rsidR="00DB764C">
              <w:rPr>
                <w:rFonts w:eastAsia="Batang" w:cs="Arial"/>
                <w:kern w:val="2"/>
                <w:sz w:val="18"/>
                <w:szCs w:val="18"/>
                <w:lang w:eastAsia="ko-KR"/>
              </w:rPr>
              <w:t>5</w:t>
            </w:r>
            <w:r w:rsidR="00DB764C" w:rsidRPr="00D2603B">
              <w:rPr>
                <w:rFonts w:eastAsia="Batang" w:cs="Arial"/>
                <w:kern w:val="2"/>
                <w:sz w:val="18"/>
                <w:szCs w:val="18"/>
                <w:lang w:eastAsia="ko-KR"/>
              </w:rPr>
              <w:t xml:space="preserve"> </w:t>
            </w:r>
            <w:r w:rsidRPr="00D2603B">
              <w:rPr>
                <w:rFonts w:eastAsia="Batang" w:cs="Arial"/>
                <w:kern w:val="2"/>
                <w:sz w:val="18"/>
                <w:szCs w:val="18"/>
                <w:lang w:eastAsia="ko-KR"/>
              </w:rPr>
              <w:t xml:space="preserve">– </w:t>
            </w:r>
            <w:r w:rsidR="003E77ED">
              <w:rPr>
                <w:rFonts w:eastAsia="Batang" w:cs="Arial"/>
                <w:kern w:val="2"/>
                <w:sz w:val="18"/>
                <w:szCs w:val="18"/>
                <w:lang w:eastAsia="ko-KR"/>
              </w:rPr>
              <w:t>39.5</w:t>
            </w:r>
          </w:p>
        </w:tc>
        <w:tc>
          <w:tcPr>
            <w:tcW w:w="2870" w:type="dxa"/>
            <w:gridSpan w:val="2"/>
          </w:tcPr>
          <w:p w14:paraId="38E5022F" w14:textId="6ECFD562" w:rsidR="00300759" w:rsidRPr="00D2603B" w:rsidRDefault="00300759" w:rsidP="00A41B6A">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 xml:space="preserve">&gt; </w:t>
            </w:r>
            <w:r w:rsidR="003E77ED">
              <w:rPr>
                <w:rFonts w:eastAsia="Batang" w:cs="Arial"/>
                <w:kern w:val="2"/>
                <w:sz w:val="18"/>
                <w:szCs w:val="18"/>
                <w:lang w:eastAsia="ko-KR"/>
              </w:rPr>
              <w:t>39</w:t>
            </w:r>
            <w:r w:rsidR="00A07AA8">
              <w:rPr>
                <w:rFonts w:eastAsia="Batang" w:cs="Arial"/>
                <w:kern w:val="2"/>
                <w:sz w:val="18"/>
                <w:szCs w:val="18"/>
                <w:lang w:eastAsia="ko-KR"/>
              </w:rPr>
              <w:t>.</w:t>
            </w:r>
            <w:r w:rsidR="00DB764C">
              <w:rPr>
                <w:rFonts w:eastAsia="Batang" w:cs="Arial"/>
                <w:kern w:val="2"/>
                <w:sz w:val="18"/>
                <w:szCs w:val="18"/>
                <w:lang w:eastAsia="ko-KR"/>
              </w:rPr>
              <w:t>5</w:t>
            </w:r>
            <w:r w:rsidR="00DB764C" w:rsidRPr="00D2603B">
              <w:rPr>
                <w:rFonts w:eastAsia="Batang" w:cs="Arial"/>
                <w:kern w:val="2"/>
                <w:sz w:val="18"/>
                <w:szCs w:val="18"/>
                <w:lang w:eastAsia="ko-KR"/>
              </w:rPr>
              <w:t xml:space="preserve"> </w:t>
            </w:r>
          </w:p>
        </w:tc>
      </w:tr>
      <w:tr w:rsidR="00300759" w:rsidRPr="00D2603B" w14:paraId="70787B0D" w14:textId="77777777" w:rsidTr="00300759">
        <w:trPr>
          <w:jc w:val="center"/>
        </w:trPr>
        <w:tc>
          <w:tcPr>
            <w:tcW w:w="1800" w:type="dxa"/>
          </w:tcPr>
          <w:p w14:paraId="1DE6F295"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Tachycardia - bpm</w:t>
            </w:r>
          </w:p>
        </w:tc>
        <w:tc>
          <w:tcPr>
            <w:tcW w:w="2160" w:type="dxa"/>
          </w:tcPr>
          <w:p w14:paraId="3FF51007"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101 - 115</w:t>
            </w:r>
          </w:p>
        </w:tc>
        <w:tc>
          <w:tcPr>
            <w:tcW w:w="2160" w:type="dxa"/>
          </w:tcPr>
          <w:p w14:paraId="3774A47A"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116 - 130</w:t>
            </w:r>
          </w:p>
        </w:tc>
        <w:tc>
          <w:tcPr>
            <w:tcW w:w="2070" w:type="dxa"/>
          </w:tcPr>
          <w:p w14:paraId="10D69E2F"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&gt;130</w:t>
            </w:r>
          </w:p>
        </w:tc>
        <w:tc>
          <w:tcPr>
            <w:tcW w:w="2870" w:type="dxa"/>
            <w:gridSpan w:val="2"/>
          </w:tcPr>
          <w:p w14:paraId="147F3DF4"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ER visit or hospitalization for arrhythmia</w:t>
            </w:r>
          </w:p>
        </w:tc>
      </w:tr>
      <w:tr w:rsidR="00300759" w:rsidRPr="00D2603B" w14:paraId="05E7ACE8" w14:textId="77777777" w:rsidTr="00300759">
        <w:trPr>
          <w:jc w:val="center"/>
        </w:trPr>
        <w:tc>
          <w:tcPr>
            <w:tcW w:w="1800" w:type="dxa"/>
          </w:tcPr>
          <w:p w14:paraId="59159184"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Hypertension (systolic) mm Hg</w:t>
            </w:r>
          </w:p>
        </w:tc>
        <w:tc>
          <w:tcPr>
            <w:tcW w:w="2160" w:type="dxa"/>
          </w:tcPr>
          <w:p w14:paraId="2B7C4F18" w14:textId="77777777" w:rsidR="00300759" w:rsidRPr="00D2603B" w:rsidDel="006D0393"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141 - 150</w:t>
            </w:r>
          </w:p>
        </w:tc>
        <w:tc>
          <w:tcPr>
            <w:tcW w:w="2160" w:type="dxa"/>
          </w:tcPr>
          <w:p w14:paraId="5AF312E6" w14:textId="77777777" w:rsidR="00300759" w:rsidRPr="00D2603B" w:rsidDel="006D0393"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151 - 155</w:t>
            </w:r>
          </w:p>
        </w:tc>
        <w:tc>
          <w:tcPr>
            <w:tcW w:w="2070" w:type="dxa"/>
          </w:tcPr>
          <w:p w14:paraId="3A28F0D3" w14:textId="77777777" w:rsidR="00300759" w:rsidRPr="00D2603B" w:rsidDel="006D0393"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&gt;155</w:t>
            </w:r>
          </w:p>
        </w:tc>
        <w:tc>
          <w:tcPr>
            <w:tcW w:w="2870" w:type="dxa"/>
            <w:gridSpan w:val="2"/>
          </w:tcPr>
          <w:p w14:paraId="4FAB9E60" w14:textId="77777777" w:rsidR="00300759" w:rsidRPr="00D2603B" w:rsidDel="006D0393"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ER visit or hospitalization for malignant hypertension</w:t>
            </w:r>
          </w:p>
        </w:tc>
      </w:tr>
      <w:tr w:rsidR="00300759" w:rsidRPr="00D2603B" w14:paraId="33BFB120" w14:textId="77777777" w:rsidTr="00300759">
        <w:trPr>
          <w:jc w:val="center"/>
        </w:trPr>
        <w:tc>
          <w:tcPr>
            <w:tcW w:w="1800" w:type="dxa"/>
          </w:tcPr>
          <w:p w14:paraId="23E10691"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Hypertension (diastolic) mm Hg</w:t>
            </w:r>
          </w:p>
        </w:tc>
        <w:tc>
          <w:tcPr>
            <w:tcW w:w="2160" w:type="dxa"/>
          </w:tcPr>
          <w:p w14:paraId="0AC5AAB1" w14:textId="77777777" w:rsidR="00300759" w:rsidRPr="00D2603B" w:rsidDel="006D0393"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91 - 95</w:t>
            </w:r>
          </w:p>
        </w:tc>
        <w:tc>
          <w:tcPr>
            <w:tcW w:w="2160" w:type="dxa"/>
          </w:tcPr>
          <w:p w14:paraId="5C31FCC0" w14:textId="77777777" w:rsidR="00300759" w:rsidRPr="00D2603B" w:rsidDel="006D0393"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96 - 100</w:t>
            </w:r>
          </w:p>
        </w:tc>
        <w:tc>
          <w:tcPr>
            <w:tcW w:w="2070" w:type="dxa"/>
          </w:tcPr>
          <w:p w14:paraId="04BA314A" w14:textId="77777777" w:rsidR="00300759" w:rsidRPr="00D2603B" w:rsidDel="006D0393"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&gt;100</w:t>
            </w:r>
          </w:p>
        </w:tc>
        <w:tc>
          <w:tcPr>
            <w:tcW w:w="2870" w:type="dxa"/>
            <w:gridSpan w:val="2"/>
          </w:tcPr>
          <w:p w14:paraId="760187B2" w14:textId="77777777" w:rsidR="00300759" w:rsidRPr="00D2603B" w:rsidDel="006D0393"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ER visit or hospitalization for malignant hypertension</w:t>
            </w:r>
          </w:p>
        </w:tc>
      </w:tr>
      <w:tr w:rsidR="00300759" w:rsidRPr="00D2603B" w14:paraId="56FC99A3" w14:textId="77777777" w:rsidTr="00300759">
        <w:trPr>
          <w:jc w:val="center"/>
        </w:trPr>
        <w:tc>
          <w:tcPr>
            <w:tcW w:w="1800" w:type="dxa"/>
          </w:tcPr>
          <w:p w14:paraId="5BFADD08"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Hypotension</w:t>
            </w:r>
          </w:p>
          <w:p w14:paraId="41FE75E4"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(systolic) mm Hg</w:t>
            </w:r>
          </w:p>
        </w:tc>
        <w:tc>
          <w:tcPr>
            <w:tcW w:w="2160" w:type="dxa"/>
          </w:tcPr>
          <w:p w14:paraId="59FD7A94" w14:textId="77777777" w:rsidR="00300759" w:rsidRPr="00D2603B" w:rsidDel="006D0393"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85 - 89</w:t>
            </w:r>
          </w:p>
        </w:tc>
        <w:tc>
          <w:tcPr>
            <w:tcW w:w="2160" w:type="dxa"/>
          </w:tcPr>
          <w:p w14:paraId="6C5455EE" w14:textId="77777777" w:rsidR="00300759" w:rsidRPr="00D2603B" w:rsidDel="006D0393"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80 - 84</w:t>
            </w:r>
          </w:p>
        </w:tc>
        <w:tc>
          <w:tcPr>
            <w:tcW w:w="2070" w:type="dxa"/>
          </w:tcPr>
          <w:p w14:paraId="7A718750" w14:textId="77777777" w:rsidR="00300759" w:rsidRPr="00D2603B" w:rsidDel="006D0393"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&lt;80</w:t>
            </w:r>
          </w:p>
        </w:tc>
        <w:tc>
          <w:tcPr>
            <w:tcW w:w="2870" w:type="dxa"/>
            <w:gridSpan w:val="2"/>
          </w:tcPr>
          <w:p w14:paraId="70611201" w14:textId="77777777" w:rsidR="00300759" w:rsidRPr="00D2603B" w:rsidDel="006D0393"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ER visit or hospitalization for hypotensive shock</w:t>
            </w:r>
          </w:p>
        </w:tc>
      </w:tr>
      <w:tr w:rsidR="00300759" w:rsidRPr="00D2603B" w14:paraId="719D890C" w14:textId="77777777" w:rsidTr="00300759">
        <w:trPr>
          <w:cantSplit/>
          <w:jc w:val="center"/>
        </w:trPr>
        <w:tc>
          <w:tcPr>
            <w:tcW w:w="11060" w:type="dxa"/>
            <w:gridSpan w:val="6"/>
            <w:shd w:val="clear" w:color="auto" w:fill="D9D9D9"/>
          </w:tcPr>
          <w:p w14:paraId="339EE3FF" w14:textId="77777777" w:rsidR="00300759" w:rsidRPr="00D2603B" w:rsidRDefault="00300759" w:rsidP="00300759">
            <w:pPr>
              <w:spacing w:before="20" w:after="20" w:line="240" w:lineRule="exact"/>
              <w:rPr>
                <w:rFonts w:eastAsia="Batang" w:cs="Arial"/>
                <w:b/>
                <w:kern w:val="2"/>
                <w:sz w:val="18"/>
                <w:szCs w:val="18"/>
                <w:lang w:eastAsia="ko-KR"/>
              </w:rPr>
            </w:pPr>
            <w:r w:rsidRPr="00D2603B">
              <w:rPr>
                <w:rFonts w:eastAsia="Batang" w:cs="Arial"/>
                <w:b/>
                <w:kern w:val="2"/>
                <w:sz w:val="18"/>
                <w:szCs w:val="18"/>
                <w:lang w:eastAsia="ko-KR"/>
              </w:rPr>
              <w:t>SYSTEMIC (GENERAL)</w:t>
            </w:r>
          </w:p>
        </w:tc>
      </w:tr>
      <w:tr w:rsidR="00300759" w:rsidRPr="00D2603B" w14:paraId="7BFEFDC5" w14:textId="77777777" w:rsidTr="00300759">
        <w:trPr>
          <w:jc w:val="center"/>
        </w:trPr>
        <w:tc>
          <w:tcPr>
            <w:tcW w:w="1800" w:type="dxa"/>
          </w:tcPr>
          <w:p w14:paraId="439F8247"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Nausea/Vomiting</w:t>
            </w:r>
            <w:r w:rsidRPr="00D2603B" w:rsidDel="006D0393">
              <w:rPr>
                <w:rFonts w:eastAsia="Batang" w:cs="Arial"/>
                <w:kern w:val="2"/>
                <w:sz w:val="18"/>
                <w:szCs w:val="18"/>
                <w:vertAlign w:val="superscript"/>
                <w:lang w:eastAsia="ko-KR"/>
              </w:rPr>
              <w:t xml:space="preserve"> </w:t>
            </w:r>
          </w:p>
        </w:tc>
        <w:tc>
          <w:tcPr>
            <w:tcW w:w="2160" w:type="dxa"/>
          </w:tcPr>
          <w:p w14:paraId="5955AD71"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No interference with activity or 1 - 2 episode in 24 hours</w:t>
            </w:r>
          </w:p>
        </w:tc>
        <w:tc>
          <w:tcPr>
            <w:tcW w:w="2160" w:type="dxa"/>
          </w:tcPr>
          <w:p w14:paraId="46EBA51D"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Some interference with activity or</w:t>
            </w:r>
            <w:r w:rsidRPr="00D2603B" w:rsidDel="004932C1">
              <w:rPr>
                <w:rFonts w:eastAsia="Batang" w:cs="Arial"/>
                <w:kern w:val="2"/>
                <w:sz w:val="18"/>
                <w:szCs w:val="18"/>
                <w:lang w:eastAsia="ko-KR"/>
              </w:rPr>
              <w:t xml:space="preserve"> </w:t>
            </w:r>
            <w:r w:rsidRPr="00D2603B">
              <w:rPr>
                <w:rFonts w:eastAsia="Batang" w:cs="Arial"/>
                <w:kern w:val="2"/>
                <w:sz w:val="18"/>
                <w:szCs w:val="18"/>
                <w:lang w:eastAsia="ko-KR"/>
              </w:rPr>
              <w:t>&gt;2 episodes in 24 hours</w:t>
            </w:r>
          </w:p>
        </w:tc>
        <w:tc>
          <w:tcPr>
            <w:tcW w:w="2084" w:type="dxa"/>
            <w:gridSpan w:val="2"/>
          </w:tcPr>
          <w:p w14:paraId="592A13F0"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Prevents daily activity or requires outpatient IV hydration</w:t>
            </w:r>
          </w:p>
        </w:tc>
        <w:tc>
          <w:tcPr>
            <w:tcW w:w="2856" w:type="dxa"/>
          </w:tcPr>
          <w:p w14:paraId="3E4BC630"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ER visit or hospitalization for hypotensive shock</w:t>
            </w:r>
          </w:p>
        </w:tc>
      </w:tr>
      <w:tr w:rsidR="00300759" w:rsidRPr="00D2603B" w14:paraId="15D28475" w14:textId="77777777" w:rsidTr="00300759">
        <w:trPr>
          <w:jc w:val="center"/>
        </w:trPr>
        <w:tc>
          <w:tcPr>
            <w:tcW w:w="1800" w:type="dxa"/>
          </w:tcPr>
          <w:p w14:paraId="005A62B6"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Diarrhea</w:t>
            </w:r>
          </w:p>
        </w:tc>
        <w:tc>
          <w:tcPr>
            <w:tcW w:w="2160" w:type="dxa"/>
          </w:tcPr>
          <w:p w14:paraId="26898210"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2-3 loose stools in 24 hours</w:t>
            </w:r>
          </w:p>
        </w:tc>
        <w:tc>
          <w:tcPr>
            <w:tcW w:w="2160" w:type="dxa"/>
          </w:tcPr>
          <w:p w14:paraId="044F5E29"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4-5 loose stools in 24 hours</w:t>
            </w:r>
          </w:p>
        </w:tc>
        <w:tc>
          <w:tcPr>
            <w:tcW w:w="2084" w:type="dxa"/>
            <w:gridSpan w:val="2"/>
          </w:tcPr>
          <w:p w14:paraId="73DBEB30"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&gt; 5 watery stools in 24 hours or outpatient IV hydration</w:t>
            </w:r>
            <w:r w:rsidRPr="00D2603B" w:rsidDel="00483B31">
              <w:rPr>
                <w:rFonts w:eastAsia="Batang" w:cs="Arial"/>
                <w:kern w:val="2"/>
                <w:sz w:val="18"/>
                <w:szCs w:val="18"/>
                <w:lang w:eastAsia="ko-KR"/>
              </w:rPr>
              <w:t xml:space="preserve"> </w:t>
            </w:r>
          </w:p>
        </w:tc>
        <w:tc>
          <w:tcPr>
            <w:tcW w:w="2856" w:type="dxa"/>
          </w:tcPr>
          <w:p w14:paraId="56DA754A"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 xml:space="preserve">Requiring significant/urgent medical care or hospitalization </w:t>
            </w:r>
          </w:p>
        </w:tc>
      </w:tr>
      <w:tr w:rsidR="00300759" w:rsidRPr="00D2603B" w14:paraId="7D2719ED" w14:textId="77777777" w:rsidTr="00300759">
        <w:trPr>
          <w:jc w:val="center"/>
        </w:trPr>
        <w:tc>
          <w:tcPr>
            <w:tcW w:w="1800" w:type="dxa"/>
          </w:tcPr>
          <w:p w14:paraId="4830378C"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Headache</w:t>
            </w:r>
          </w:p>
        </w:tc>
        <w:tc>
          <w:tcPr>
            <w:tcW w:w="2160" w:type="dxa"/>
          </w:tcPr>
          <w:p w14:paraId="7CCFD4CA"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No interference with activity</w:t>
            </w:r>
          </w:p>
        </w:tc>
        <w:tc>
          <w:tcPr>
            <w:tcW w:w="2160" w:type="dxa"/>
          </w:tcPr>
          <w:p w14:paraId="4C234EE8"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 xml:space="preserve">Repeated use of </w:t>
            </w:r>
            <w:r w:rsidRPr="00D2603B">
              <w:rPr>
                <w:rFonts w:eastAsia="Batang" w:cs="Arial"/>
                <w:kern w:val="2"/>
                <w:sz w:val="18"/>
                <w:szCs w:val="18"/>
                <w:lang w:eastAsia="ko-KR"/>
              </w:rPr>
              <w:br/>
              <w:t>non-narcotic pain reliever &gt; 24 hours or some interference with activity</w:t>
            </w:r>
          </w:p>
        </w:tc>
        <w:tc>
          <w:tcPr>
            <w:tcW w:w="2084" w:type="dxa"/>
            <w:gridSpan w:val="2"/>
          </w:tcPr>
          <w:p w14:paraId="0196E7FC"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Significant; use of narcotic pain reliever or prevents daily activity</w:t>
            </w:r>
          </w:p>
        </w:tc>
        <w:tc>
          <w:tcPr>
            <w:tcW w:w="2856" w:type="dxa"/>
          </w:tcPr>
          <w:p w14:paraId="154E6FE3"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Requiring significant/urgent medical care or hospitalization</w:t>
            </w:r>
          </w:p>
        </w:tc>
      </w:tr>
      <w:tr w:rsidR="00300759" w:rsidRPr="00D2603B" w14:paraId="6D93927E" w14:textId="77777777" w:rsidTr="00300759">
        <w:trPr>
          <w:jc w:val="center"/>
        </w:trPr>
        <w:tc>
          <w:tcPr>
            <w:tcW w:w="1800" w:type="dxa"/>
          </w:tcPr>
          <w:p w14:paraId="601A82DB" w14:textId="79420A38"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 xml:space="preserve">Malaise/fatigue, </w:t>
            </w:r>
            <w:r w:rsidR="00504B5C">
              <w:rPr>
                <w:rFonts w:eastAsia="Batang" w:cs="Arial"/>
                <w:kern w:val="2"/>
                <w:sz w:val="18"/>
                <w:szCs w:val="18"/>
                <w:lang w:eastAsia="ko-KR"/>
              </w:rPr>
              <w:t>myalgia (</w:t>
            </w:r>
            <w:r w:rsidRPr="00D2603B">
              <w:rPr>
                <w:rFonts w:eastAsia="Batang" w:cs="Arial"/>
                <w:kern w:val="2"/>
                <w:sz w:val="18"/>
                <w:szCs w:val="18"/>
                <w:lang w:eastAsia="ko-KR"/>
              </w:rPr>
              <w:t>muscle pain</w:t>
            </w:r>
            <w:r w:rsidR="00504B5C">
              <w:rPr>
                <w:rFonts w:eastAsia="Batang" w:cs="Arial"/>
                <w:kern w:val="2"/>
                <w:sz w:val="18"/>
                <w:szCs w:val="18"/>
                <w:lang w:eastAsia="ko-KR"/>
              </w:rPr>
              <w:t>)</w:t>
            </w:r>
            <w:r w:rsidRPr="00D2603B">
              <w:rPr>
                <w:rFonts w:eastAsia="Batang" w:cs="Arial"/>
                <w:kern w:val="2"/>
                <w:sz w:val="18"/>
                <w:szCs w:val="18"/>
                <w:lang w:eastAsia="ko-KR"/>
              </w:rPr>
              <w:t xml:space="preserve">, </w:t>
            </w:r>
            <w:r w:rsidR="00504B5C">
              <w:rPr>
                <w:rFonts w:eastAsia="Batang" w:cs="Arial"/>
                <w:kern w:val="2"/>
                <w:sz w:val="18"/>
                <w:szCs w:val="18"/>
                <w:lang w:eastAsia="ko-KR"/>
              </w:rPr>
              <w:t xml:space="preserve">arthralgia (joint pain), </w:t>
            </w:r>
            <w:r w:rsidRPr="00D2603B">
              <w:rPr>
                <w:rFonts w:eastAsia="Batang" w:cs="Arial"/>
                <w:kern w:val="2"/>
                <w:sz w:val="18"/>
                <w:szCs w:val="18"/>
                <w:lang w:eastAsia="ko-KR"/>
              </w:rPr>
              <w:t>chills, anorexia (loss of appetite), self-reported symptoms of ‘fever’ (no temperature taken)</w:t>
            </w:r>
          </w:p>
        </w:tc>
        <w:tc>
          <w:tcPr>
            <w:tcW w:w="2160" w:type="dxa"/>
          </w:tcPr>
          <w:p w14:paraId="741B076A"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No interference with activity</w:t>
            </w:r>
            <w:r w:rsidRPr="00D2603B" w:rsidDel="00F81E2F">
              <w:rPr>
                <w:rFonts w:eastAsia="Batang" w:cs="Arial"/>
                <w:kern w:val="2"/>
                <w:sz w:val="18"/>
                <w:szCs w:val="18"/>
                <w:lang w:eastAsia="ko-KR"/>
              </w:rPr>
              <w:t xml:space="preserve"> </w:t>
            </w:r>
          </w:p>
        </w:tc>
        <w:tc>
          <w:tcPr>
            <w:tcW w:w="2160" w:type="dxa"/>
          </w:tcPr>
          <w:p w14:paraId="4BF85103"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 xml:space="preserve">Some interference with activity </w:t>
            </w:r>
          </w:p>
        </w:tc>
        <w:tc>
          <w:tcPr>
            <w:tcW w:w="2084" w:type="dxa"/>
            <w:gridSpan w:val="2"/>
          </w:tcPr>
          <w:p w14:paraId="1048C253"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 xml:space="preserve">Significant; prevents daily activity </w:t>
            </w:r>
          </w:p>
        </w:tc>
        <w:tc>
          <w:tcPr>
            <w:tcW w:w="2856" w:type="dxa"/>
          </w:tcPr>
          <w:p w14:paraId="5253A2A6"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Requiring significant/urgent medical care</w:t>
            </w:r>
            <w:r w:rsidRPr="00D2603B" w:rsidDel="00037C39">
              <w:rPr>
                <w:rFonts w:eastAsia="Batang" w:cs="Arial"/>
                <w:kern w:val="2"/>
                <w:sz w:val="18"/>
                <w:szCs w:val="18"/>
                <w:lang w:eastAsia="ko-KR"/>
              </w:rPr>
              <w:t xml:space="preserve"> </w:t>
            </w:r>
            <w:r w:rsidRPr="00D2603B">
              <w:rPr>
                <w:rFonts w:eastAsia="Batang" w:cs="Arial"/>
                <w:kern w:val="2"/>
                <w:sz w:val="18"/>
                <w:szCs w:val="18"/>
                <w:lang w:eastAsia="ko-KR"/>
              </w:rPr>
              <w:t>or hospitalization</w:t>
            </w:r>
            <w:r w:rsidRPr="00D2603B" w:rsidDel="00F81E2F">
              <w:rPr>
                <w:rFonts w:eastAsia="Batang" w:cs="Arial"/>
                <w:kern w:val="2"/>
                <w:sz w:val="18"/>
                <w:szCs w:val="18"/>
                <w:lang w:eastAsia="ko-KR"/>
              </w:rPr>
              <w:t xml:space="preserve"> </w:t>
            </w:r>
          </w:p>
        </w:tc>
      </w:tr>
      <w:tr w:rsidR="00300759" w:rsidRPr="00D2603B" w14:paraId="270B0C76" w14:textId="77777777" w:rsidTr="00300759">
        <w:trPr>
          <w:jc w:val="center"/>
        </w:trPr>
        <w:tc>
          <w:tcPr>
            <w:tcW w:w="1800" w:type="dxa"/>
          </w:tcPr>
          <w:p w14:paraId="5167E3F5"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 xml:space="preserve">Allergic reaction </w:t>
            </w:r>
          </w:p>
        </w:tc>
        <w:tc>
          <w:tcPr>
            <w:tcW w:w="2160" w:type="dxa"/>
          </w:tcPr>
          <w:p w14:paraId="19A11555"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Pruritus without rash</w:t>
            </w:r>
          </w:p>
        </w:tc>
        <w:tc>
          <w:tcPr>
            <w:tcW w:w="2160" w:type="dxa"/>
          </w:tcPr>
          <w:p w14:paraId="53BC23DC"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Localized urticaria (rash)</w:t>
            </w:r>
          </w:p>
        </w:tc>
        <w:tc>
          <w:tcPr>
            <w:tcW w:w="2084" w:type="dxa"/>
            <w:gridSpan w:val="2"/>
          </w:tcPr>
          <w:p w14:paraId="73B8A1C9"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Generalized urticaria; angioedema</w:t>
            </w:r>
          </w:p>
        </w:tc>
        <w:tc>
          <w:tcPr>
            <w:tcW w:w="2856" w:type="dxa"/>
          </w:tcPr>
          <w:p w14:paraId="0D238752"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Requiring significant/urgent medical care</w:t>
            </w:r>
            <w:r w:rsidRPr="00D2603B" w:rsidDel="00037C39">
              <w:rPr>
                <w:rFonts w:eastAsia="Batang" w:cs="Arial"/>
                <w:kern w:val="2"/>
                <w:sz w:val="18"/>
                <w:szCs w:val="18"/>
                <w:lang w:eastAsia="ko-KR"/>
              </w:rPr>
              <w:t xml:space="preserve"> </w:t>
            </w:r>
            <w:r w:rsidRPr="00D2603B">
              <w:rPr>
                <w:rFonts w:eastAsia="Batang" w:cs="Arial"/>
                <w:kern w:val="2"/>
                <w:sz w:val="18"/>
                <w:szCs w:val="18"/>
                <w:lang w:eastAsia="ko-KR"/>
              </w:rPr>
              <w:t>or hospitalization</w:t>
            </w:r>
          </w:p>
        </w:tc>
      </w:tr>
      <w:tr w:rsidR="00300759" w:rsidRPr="00D2603B" w14:paraId="5DC86FD0" w14:textId="77777777" w:rsidTr="00300759">
        <w:trPr>
          <w:jc w:val="center"/>
        </w:trPr>
        <w:tc>
          <w:tcPr>
            <w:tcW w:w="1800" w:type="dxa"/>
          </w:tcPr>
          <w:p w14:paraId="6DE9E321"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Hives (urticaria)</w:t>
            </w:r>
          </w:p>
        </w:tc>
        <w:tc>
          <w:tcPr>
            <w:tcW w:w="2160" w:type="dxa"/>
          </w:tcPr>
          <w:p w14:paraId="40BB6824" w14:textId="77777777" w:rsidR="00300759" w:rsidRPr="00D2603B" w:rsidRDefault="00300759" w:rsidP="00300759">
            <w:pPr>
              <w:autoSpaceDE w:val="0"/>
              <w:autoSpaceDN w:val="0"/>
              <w:adjustRightInd w:val="0"/>
              <w:spacing w:line="240" w:lineRule="auto"/>
              <w:rPr>
                <w:rFonts w:eastAsia="Batang" w:cs="Arial"/>
                <w:kern w:val="2"/>
                <w:sz w:val="18"/>
                <w:szCs w:val="18"/>
                <w:lang w:eastAsia="ko-KR"/>
              </w:rPr>
            </w:pPr>
            <w:r w:rsidRPr="00D2603B">
              <w:rPr>
                <w:rFonts w:cs="Arial"/>
                <w:sz w:val="18"/>
                <w:szCs w:val="18"/>
              </w:rPr>
              <w:t>Urticarial lesions covering &lt;10% BSA; topical intervention indicated</w:t>
            </w:r>
          </w:p>
        </w:tc>
        <w:tc>
          <w:tcPr>
            <w:tcW w:w="2160" w:type="dxa"/>
          </w:tcPr>
          <w:p w14:paraId="7097105B" w14:textId="77777777" w:rsidR="00300759" w:rsidRPr="00D2603B" w:rsidRDefault="00300759" w:rsidP="00300759">
            <w:pPr>
              <w:autoSpaceDE w:val="0"/>
              <w:autoSpaceDN w:val="0"/>
              <w:adjustRightInd w:val="0"/>
              <w:spacing w:line="240" w:lineRule="auto"/>
              <w:rPr>
                <w:rFonts w:eastAsia="Batang" w:cs="Arial"/>
                <w:kern w:val="2"/>
                <w:sz w:val="18"/>
                <w:szCs w:val="18"/>
                <w:lang w:eastAsia="ko-KR"/>
              </w:rPr>
            </w:pPr>
            <w:r w:rsidRPr="00D2603B">
              <w:rPr>
                <w:rFonts w:cs="Arial"/>
                <w:sz w:val="18"/>
                <w:szCs w:val="18"/>
              </w:rPr>
              <w:t>Urticarial lesions covering 10 -30% BSA; oral ntervention indicated</w:t>
            </w:r>
          </w:p>
        </w:tc>
        <w:tc>
          <w:tcPr>
            <w:tcW w:w="2084" w:type="dxa"/>
            <w:gridSpan w:val="2"/>
          </w:tcPr>
          <w:p w14:paraId="6E5B66BF" w14:textId="77777777" w:rsidR="00300759" w:rsidRPr="00D2603B" w:rsidRDefault="00300759" w:rsidP="00300759">
            <w:pPr>
              <w:autoSpaceDE w:val="0"/>
              <w:autoSpaceDN w:val="0"/>
              <w:adjustRightInd w:val="0"/>
              <w:spacing w:line="240" w:lineRule="auto"/>
              <w:rPr>
                <w:rFonts w:eastAsia="Batang" w:cs="Arial"/>
                <w:kern w:val="2"/>
                <w:sz w:val="18"/>
                <w:szCs w:val="18"/>
                <w:lang w:eastAsia="ko-KR"/>
              </w:rPr>
            </w:pPr>
            <w:r w:rsidRPr="00D2603B">
              <w:rPr>
                <w:rFonts w:cs="Arial"/>
                <w:sz w:val="18"/>
                <w:szCs w:val="18"/>
              </w:rPr>
              <w:t>Urticarial lesions covering &gt;30% BSA; IV intervention indicated</w:t>
            </w:r>
          </w:p>
        </w:tc>
        <w:tc>
          <w:tcPr>
            <w:tcW w:w="2856" w:type="dxa"/>
          </w:tcPr>
          <w:p w14:paraId="4381989C" w14:textId="77777777" w:rsidR="00300759" w:rsidRPr="00D2603B" w:rsidRDefault="00300759" w:rsidP="00300759">
            <w:pPr>
              <w:spacing w:before="40" w:after="40" w:line="200" w:lineRule="exact"/>
              <w:rPr>
                <w:rFonts w:eastAsia="Batang" w:cs="Arial"/>
                <w:kern w:val="2"/>
                <w:sz w:val="18"/>
                <w:szCs w:val="18"/>
                <w:lang w:eastAsia="ko-KR"/>
              </w:rPr>
            </w:pPr>
          </w:p>
        </w:tc>
      </w:tr>
      <w:tr w:rsidR="00300759" w:rsidRPr="00D2603B" w14:paraId="36275B93" w14:textId="77777777" w:rsidTr="00300759">
        <w:trPr>
          <w:jc w:val="center"/>
        </w:trPr>
        <w:tc>
          <w:tcPr>
            <w:tcW w:w="1800" w:type="dxa"/>
          </w:tcPr>
          <w:p w14:paraId="6D7661EA"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Illness or clinical adverse event</w:t>
            </w:r>
          </w:p>
        </w:tc>
        <w:tc>
          <w:tcPr>
            <w:tcW w:w="2160" w:type="dxa"/>
          </w:tcPr>
          <w:p w14:paraId="719748AA"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No interference with activity.</w:t>
            </w:r>
            <w:r w:rsidRPr="00D2603B" w:rsidDel="00F81E2F">
              <w:rPr>
                <w:rFonts w:eastAsia="Batang" w:cs="Arial"/>
                <w:kern w:val="2"/>
                <w:sz w:val="18"/>
                <w:szCs w:val="18"/>
                <w:lang w:eastAsia="ko-KR"/>
              </w:rPr>
              <w:t xml:space="preserve"> </w:t>
            </w:r>
          </w:p>
        </w:tc>
        <w:tc>
          <w:tcPr>
            <w:tcW w:w="2160" w:type="dxa"/>
          </w:tcPr>
          <w:p w14:paraId="53CB88EF"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Some interference with activity but does not require medical intervention</w:t>
            </w:r>
          </w:p>
        </w:tc>
        <w:tc>
          <w:tcPr>
            <w:tcW w:w="2084" w:type="dxa"/>
            <w:gridSpan w:val="2"/>
          </w:tcPr>
          <w:p w14:paraId="4251174F"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Prevents daily activity and requires medical intervention</w:t>
            </w:r>
          </w:p>
        </w:tc>
        <w:tc>
          <w:tcPr>
            <w:tcW w:w="2856" w:type="dxa"/>
          </w:tcPr>
          <w:p w14:paraId="3BF80D69" w14:textId="77777777" w:rsidR="00300759" w:rsidRPr="00D2603B" w:rsidRDefault="00300759" w:rsidP="00300759">
            <w:pPr>
              <w:spacing w:before="40" w:after="40" w:line="200" w:lineRule="exact"/>
              <w:rPr>
                <w:rFonts w:eastAsia="Batang" w:cs="Arial"/>
                <w:kern w:val="2"/>
                <w:sz w:val="18"/>
                <w:szCs w:val="18"/>
                <w:lang w:eastAsia="ko-KR"/>
              </w:rPr>
            </w:pPr>
            <w:r w:rsidRPr="00D2603B">
              <w:rPr>
                <w:rFonts w:eastAsia="Batang" w:cs="Arial"/>
                <w:kern w:val="2"/>
                <w:sz w:val="18"/>
                <w:szCs w:val="18"/>
                <w:lang w:eastAsia="ko-KR"/>
              </w:rPr>
              <w:t>Requiring significant/urgent medical care</w:t>
            </w:r>
            <w:r w:rsidRPr="00D2603B" w:rsidDel="00037C39">
              <w:rPr>
                <w:rFonts w:eastAsia="Batang" w:cs="Arial"/>
                <w:kern w:val="2"/>
                <w:sz w:val="18"/>
                <w:szCs w:val="18"/>
                <w:lang w:eastAsia="ko-KR"/>
              </w:rPr>
              <w:t xml:space="preserve"> </w:t>
            </w:r>
            <w:r w:rsidRPr="00D2603B">
              <w:rPr>
                <w:rFonts w:eastAsia="Batang" w:cs="Arial"/>
                <w:kern w:val="2"/>
                <w:sz w:val="18"/>
                <w:szCs w:val="18"/>
                <w:lang w:eastAsia="ko-KR"/>
              </w:rPr>
              <w:t>or hospitalization</w:t>
            </w:r>
            <w:r w:rsidRPr="00D2603B" w:rsidDel="00F81E2F">
              <w:rPr>
                <w:rFonts w:eastAsia="Batang" w:cs="Arial"/>
                <w:kern w:val="2"/>
                <w:sz w:val="18"/>
                <w:szCs w:val="18"/>
                <w:lang w:eastAsia="ko-KR"/>
              </w:rPr>
              <w:t xml:space="preserve"> </w:t>
            </w:r>
          </w:p>
        </w:tc>
      </w:tr>
    </w:tbl>
    <w:p w14:paraId="1EF0D57F" w14:textId="77777777" w:rsidR="00300759" w:rsidRPr="00D2603B" w:rsidRDefault="00300759" w:rsidP="00300759">
      <w:pPr>
        <w:spacing w:line="200" w:lineRule="exact"/>
        <w:rPr>
          <w:rFonts w:cs="Arial"/>
          <w:sz w:val="18"/>
          <w:szCs w:val="18"/>
          <w:vertAlign w:val="superscript"/>
        </w:rPr>
      </w:pPr>
    </w:p>
    <w:p w14:paraId="183B1A5E" w14:textId="455009EA" w:rsidR="00300759" w:rsidRPr="00D2603B" w:rsidRDefault="00300759" w:rsidP="00300759">
      <w:pPr>
        <w:spacing w:line="200" w:lineRule="exact"/>
        <w:rPr>
          <w:rFonts w:cs="Arial"/>
          <w:sz w:val="18"/>
          <w:szCs w:val="18"/>
        </w:rPr>
      </w:pPr>
      <w:r w:rsidRPr="00D2603B">
        <w:rPr>
          <w:rFonts w:cs="Arial"/>
          <w:sz w:val="18"/>
          <w:szCs w:val="18"/>
          <w:vertAlign w:val="superscript"/>
        </w:rPr>
        <w:t xml:space="preserve">1 </w:t>
      </w:r>
      <w:r w:rsidRPr="00D2603B">
        <w:rPr>
          <w:rFonts w:cs="Arial"/>
          <w:sz w:val="18"/>
          <w:szCs w:val="18"/>
        </w:rPr>
        <w:t xml:space="preserve">= FDA Guidance for Industry Toxicity Grading Scale for Healthy Adults Enrolled in Preventive Vaccine Clinical Trials, 2007. *Report Grade 3 AEs to Pharmacovigilance by e-mail within 24 hours. **Grade 4 AE constitutes an SAE; report to </w:t>
      </w:r>
      <w:r w:rsidR="00BE5C25">
        <w:rPr>
          <w:rFonts w:cs="Arial"/>
          <w:sz w:val="18"/>
          <w:szCs w:val="18"/>
        </w:rPr>
        <w:t>the Pharmacovigilance Team</w:t>
      </w:r>
      <w:r w:rsidRPr="00D2603B">
        <w:rPr>
          <w:rFonts w:cs="Arial"/>
          <w:sz w:val="18"/>
          <w:szCs w:val="18"/>
        </w:rPr>
        <w:t xml:space="preserve"> by e-mail within 24 hours.</w:t>
      </w:r>
    </w:p>
    <w:p w14:paraId="26BAF829" w14:textId="775E8467" w:rsidR="00300759" w:rsidRDefault="00300759" w:rsidP="00300759">
      <w:pPr>
        <w:pStyle w:val="SchemaTitle"/>
        <w:jc w:val="left"/>
        <w:rPr>
          <w:rFonts w:cs="Arial"/>
          <w:szCs w:val="22"/>
        </w:rPr>
      </w:pPr>
      <w:r>
        <w:rPr>
          <w:rFonts w:cs="Arial"/>
          <w:szCs w:val="22"/>
        </w:rPr>
        <w:br w:type="page"/>
      </w:r>
    </w:p>
    <w:p w14:paraId="4AF51ACD" w14:textId="1AB5AB46" w:rsidR="00300759" w:rsidRPr="005E13C1" w:rsidRDefault="001B50A7" w:rsidP="005E13C1">
      <w:pPr>
        <w:pStyle w:val="Heading1"/>
        <w:numPr>
          <w:ilvl w:val="0"/>
          <w:numId w:val="0"/>
        </w:numPr>
        <w:spacing w:before="0" w:line="240" w:lineRule="auto"/>
        <w:jc w:val="center"/>
        <w:rPr>
          <w:caps w:val="0"/>
        </w:rPr>
      </w:pPr>
      <w:bookmarkStart w:id="532" w:name="_Ref387344454"/>
      <w:bookmarkStart w:id="533" w:name="_Ref377580497"/>
      <w:bookmarkStart w:id="534" w:name="_Toc389130064"/>
      <w:bookmarkStart w:id="535" w:name="_Toc389130123"/>
      <w:bookmarkStart w:id="536" w:name="_Toc440906367"/>
      <w:r w:rsidRPr="005E13C1">
        <w:rPr>
          <w:caps w:val="0"/>
          <w:sz w:val="22"/>
          <w:szCs w:val="22"/>
        </w:rPr>
        <w:t xml:space="preserve">Appendix </w:t>
      </w:r>
      <w:r w:rsidR="00347B69" w:rsidRPr="005E13C1">
        <w:rPr>
          <w:caps w:val="0"/>
          <w:sz w:val="22"/>
          <w:szCs w:val="22"/>
        </w:rPr>
        <w:fldChar w:fldCharType="begin"/>
      </w:r>
      <w:r w:rsidR="00347B69" w:rsidRPr="005E13C1">
        <w:rPr>
          <w:caps w:val="0"/>
          <w:sz w:val="22"/>
          <w:szCs w:val="22"/>
        </w:rPr>
        <w:instrText xml:space="preserve"> SEQ Appendix \* ARABIC </w:instrText>
      </w:r>
      <w:r w:rsidR="00347B69" w:rsidRPr="005E13C1">
        <w:rPr>
          <w:caps w:val="0"/>
          <w:sz w:val="22"/>
          <w:szCs w:val="22"/>
        </w:rPr>
        <w:fldChar w:fldCharType="separate"/>
      </w:r>
      <w:r w:rsidR="00024E24">
        <w:rPr>
          <w:caps w:val="0"/>
          <w:noProof/>
          <w:sz w:val="22"/>
          <w:szCs w:val="22"/>
        </w:rPr>
        <w:t>7</w:t>
      </w:r>
      <w:r w:rsidR="00347B69" w:rsidRPr="005E13C1">
        <w:rPr>
          <w:caps w:val="0"/>
          <w:noProof/>
          <w:sz w:val="22"/>
          <w:szCs w:val="22"/>
        </w:rPr>
        <w:fldChar w:fldCharType="end"/>
      </w:r>
      <w:bookmarkEnd w:id="532"/>
      <w:bookmarkEnd w:id="533"/>
      <w:r w:rsidR="00300759" w:rsidRPr="005E13C1">
        <w:rPr>
          <w:caps w:val="0"/>
          <w:sz w:val="22"/>
          <w:szCs w:val="22"/>
        </w:rPr>
        <w:t xml:space="preserve">: </w:t>
      </w:r>
      <w:r w:rsidRPr="005E13C1">
        <w:rPr>
          <w:rFonts w:eastAsia="Batang"/>
          <w:caps w:val="0"/>
          <w:sz w:val="22"/>
          <w:szCs w:val="22"/>
        </w:rPr>
        <w:t>Toxicity grading scale for determining the severity of clinical AEs not</w:t>
      </w:r>
      <w:r w:rsidRPr="005E13C1">
        <w:rPr>
          <w:caps w:val="0"/>
          <w:sz w:val="22"/>
          <w:szCs w:val="22"/>
        </w:rPr>
        <w:t xml:space="preserve"> in </w:t>
      </w:r>
      <w:r w:rsidR="00300759" w:rsidRPr="005E13C1">
        <w:rPr>
          <w:caps w:val="0"/>
          <w:sz w:val="22"/>
          <w:szCs w:val="22"/>
        </w:rPr>
        <w:fldChar w:fldCharType="begin"/>
      </w:r>
      <w:r w:rsidR="00300759" w:rsidRPr="005E13C1">
        <w:rPr>
          <w:caps w:val="0"/>
          <w:sz w:val="22"/>
          <w:szCs w:val="22"/>
        </w:rPr>
        <w:instrText xml:space="preserve"> REF _Ref376864080 \h </w:instrText>
      </w:r>
      <w:r w:rsidR="005B3567" w:rsidRPr="005E13C1">
        <w:rPr>
          <w:caps w:val="0"/>
          <w:sz w:val="22"/>
          <w:szCs w:val="22"/>
        </w:rPr>
        <w:instrText xml:space="preserve"> \* MERGEFORMAT </w:instrText>
      </w:r>
      <w:r w:rsidR="00300759" w:rsidRPr="005E13C1">
        <w:rPr>
          <w:caps w:val="0"/>
          <w:sz w:val="22"/>
          <w:szCs w:val="22"/>
        </w:rPr>
      </w:r>
      <w:r w:rsidR="00300759" w:rsidRPr="005E13C1">
        <w:rPr>
          <w:caps w:val="0"/>
          <w:sz w:val="22"/>
          <w:szCs w:val="22"/>
        </w:rPr>
        <w:fldChar w:fldCharType="separate"/>
      </w:r>
      <w:r w:rsidR="00024E24" w:rsidRPr="005E13C1">
        <w:rPr>
          <w:caps w:val="0"/>
          <w:sz w:val="22"/>
          <w:szCs w:val="22"/>
        </w:rPr>
        <w:t xml:space="preserve">Appendix </w:t>
      </w:r>
      <w:r w:rsidR="00024E24">
        <w:rPr>
          <w:caps w:val="0"/>
          <w:noProof/>
          <w:sz w:val="22"/>
          <w:szCs w:val="22"/>
        </w:rPr>
        <w:t>6</w:t>
      </w:r>
      <w:bookmarkEnd w:id="534"/>
      <w:bookmarkEnd w:id="535"/>
      <w:bookmarkEnd w:id="536"/>
      <w:r w:rsidR="00300759" w:rsidRPr="005E13C1">
        <w:rPr>
          <w:caps w:val="0"/>
          <w:sz w:val="22"/>
          <w:szCs w:val="22"/>
        </w:rPr>
        <w:fldChar w:fldCharType="end"/>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7020"/>
      </w:tblGrid>
      <w:tr w:rsidR="00300759" w:rsidRPr="00E21053" w14:paraId="6F1138BA" w14:textId="77777777" w:rsidTr="005E13C1">
        <w:trPr>
          <w:jc w:val="center"/>
        </w:trPr>
        <w:tc>
          <w:tcPr>
            <w:tcW w:w="2340" w:type="dxa"/>
            <w:shd w:val="clear" w:color="auto" w:fill="D9D9D9"/>
          </w:tcPr>
          <w:p w14:paraId="3811FCBF" w14:textId="77777777" w:rsidR="00300759" w:rsidRPr="00E21053" w:rsidRDefault="00300759" w:rsidP="00300759">
            <w:pPr>
              <w:spacing w:before="120" w:after="120" w:line="240" w:lineRule="exact"/>
              <w:jc w:val="right"/>
              <w:rPr>
                <w:rFonts w:eastAsia="Batang" w:cs="Arial"/>
                <w:b/>
                <w:kern w:val="2"/>
                <w:sz w:val="18"/>
                <w:szCs w:val="18"/>
                <w:lang w:eastAsia="ko-KR"/>
              </w:rPr>
            </w:pPr>
            <w:r w:rsidRPr="00E21053">
              <w:rPr>
                <w:rFonts w:eastAsia="Batang" w:cs="Arial"/>
                <w:b/>
                <w:kern w:val="2"/>
                <w:sz w:val="18"/>
                <w:szCs w:val="18"/>
                <w:lang w:eastAsia="ko-KR"/>
              </w:rPr>
              <w:t>Grade 1</w:t>
            </w:r>
            <w:r w:rsidRPr="00E21053">
              <w:rPr>
                <w:rFonts w:eastAsia="Batang" w:cs="Arial"/>
                <w:b/>
                <w:kern w:val="2"/>
                <w:sz w:val="18"/>
                <w:szCs w:val="18"/>
                <w:lang w:eastAsia="ko-KR"/>
              </w:rPr>
              <w:br/>
              <w:t>Mild</w:t>
            </w:r>
          </w:p>
        </w:tc>
        <w:tc>
          <w:tcPr>
            <w:tcW w:w="7020" w:type="dxa"/>
            <w:vAlign w:val="center"/>
          </w:tcPr>
          <w:p w14:paraId="2519EFCC" w14:textId="77777777" w:rsidR="00300759" w:rsidRPr="00E21053" w:rsidRDefault="00300759" w:rsidP="005E13C1">
            <w:pPr>
              <w:spacing w:before="20" w:after="20" w:line="240" w:lineRule="exact"/>
              <w:rPr>
                <w:rFonts w:eastAsia="Batang" w:cs="Arial"/>
                <w:kern w:val="2"/>
                <w:sz w:val="18"/>
                <w:szCs w:val="18"/>
                <w:lang w:eastAsia="ko-KR"/>
              </w:rPr>
            </w:pPr>
            <w:r w:rsidRPr="00E21053">
              <w:rPr>
                <w:rFonts w:eastAsia="Batang" w:cs="Arial"/>
                <w:kern w:val="2"/>
                <w:sz w:val="18"/>
                <w:szCs w:val="18"/>
                <w:lang w:eastAsia="ko-KR"/>
              </w:rPr>
              <w:t>Transient or mild discomfort (&lt; 48 hr); no medical intervention/therapy required</w:t>
            </w:r>
          </w:p>
        </w:tc>
      </w:tr>
      <w:tr w:rsidR="00300759" w:rsidRPr="00E21053" w14:paraId="2F3F2D64" w14:textId="77777777" w:rsidTr="005E13C1">
        <w:trPr>
          <w:jc w:val="center"/>
        </w:trPr>
        <w:tc>
          <w:tcPr>
            <w:tcW w:w="2340" w:type="dxa"/>
            <w:shd w:val="clear" w:color="auto" w:fill="D9D9D9"/>
          </w:tcPr>
          <w:p w14:paraId="02BA2CB0" w14:textId="77777777" w:rsidR="00300759" w:rsidRPr="00E21053" w:rsidRDefault="00300759" w:rsidP="00300759">
            <w:pPr>
              <w:spacing w:before="120" w:after="120" w:line="240" w:lineRule="exact"/>
              <w:jc w:val="right"/>
              <w:rPr>
                <w:rFonts w:eastAsia="Batang" w:cs="Arial"/>
                <w:b/>
                <w:kern w:val="2"/>
                <w:sz w:val="18"/>
                <w:szCs w:val="18"/>
                <w:lang w:eastAsia="ko-KR"/>
              </w:rPr>
            </w:pPr>
            <w:r w:rsidRPr="00E21053">
              <w:rPr>
                <w:rFonts w:eastAsia="Batang" w:cs="Arial"/>
                <w:b/>
                <w:kern w:val="2"/>
                <w:sz w:val="18"/>
                <w:szCs w:val="18"/>
                <w:lang w:eastAsia="ko-KR"/>
              </w:rPr>
              <w:t>Grade 2</w:t>
            </w:r>
            <w:r w:rsidRPr="00E21053">
              <w:rPr>
                <w:rFonts w:eastAsia="Batang" w:cs="Arial"/>
                <w:b/>
                <w:kern w:val="2"/>
                <w:sz w:val="18"/>
                <w:szCs w:val="18"/>
                <w:lang w:eastAsia="ko-KR"/>
              </w:rPr>
              <w:br/>
              <w:t>Moderate</w:t>
            </w:r>
          </w:p>
        </w:tc>
        <w:tc>
          <w:tcPr>
            <w:tcW w:w="7020" w:type="dxa"/>
            <w:vAlign w:val="center"/>
          </w:tcPr>
          <w:p w14:paraId="3B510BD1" w14:textId="77777777" w:rsidR="00300759" w:rsidRPr="00E21053" w:rsidRDefault="00300759" w:rsidP="005E13C1">
            <w:pPr>
              <w:spacing w:before="20" w:after="20" w:line="240" w:lineRule="exact"/>
              <w:rPr>
                <w:rFonts w:eastAsia="Batang" w:cs="Arial"/>
                <w:kern w:val="2"/>
                <w:sz w:val="18"/>
                <w:szCs w:val="18"/>
                <w:lang w:eastAsia="ko-KR"/>
              </w:rPr>
            </w:pPr>
            <w:r w:rsidRPr="00E21053">
              <w:rPr>
                <w:rFonts w:eastAsia="Batang" w:cs="Arial"/>
                <w:kern w:val="2"/>
                <w:sz w:val="18"/>
                <w:szCs w:val="18"/>
                <w:lang w:eastAsia="ko-KR"/>
              </w:rPr>
              <w:t>Mild to moderate limitation in activity – some assistance may be needed; no or minimal medical intervention/therapy required</w:t>
            </w:r>
          </w:p>
        </w:tc>
      </w:tr>
      <w:tr w:rsidR="00300759" w:rsidRPr="00E21053" w14:paraId="3D3E24F6" w14:textId="77777777" w:rsidTr="005E13C1">
        <w:trPr>
          <w:jc w:val="center"/>
        </w:trPr>
        <w:tc>
          <w:tcPr>
            <w:tcW w:w="2340" w:type="dxa"/>
            <w:shd w:val="clear" w:color="auto" w:fill="D9D9D9"/>
          </w:tcPr>
          <w:p w14:paraId="25BD255A" w14:textId="77777777" w:rsidR="00300759" w:rsidRPr="00E21053" w:rsidRDefault="00300759" w:rsidP="00300759">
            <w:pPr>
              <w:spacing w:before="120" w:after="120" w:line="240" w:lineRule="exact"/>
              <w:jc w:val="right"/>
              <w:rPr>
                <w:rFonts w:eastAsia="Batang" w:cs="Arial"/>
                <w:b/>
                <w:kern w:val="2"/>
                <w:sz w:val="18"/>
                <w:szCs w:val="18"/>
                <w:lang w:eastAsia="ko-KR"/>
              </w:rPr>
            </w:pPr>
            <w:r w:rsidRPr="00E21053">
              <w:rPr>
                <w:rFonts w:eastAsia="Batang" w:cs="Arial"/>
                <w:b/>
                <w:kern w:val="2"/>
                <w:sz w:val="18"/>
                <w:szCs w:val="18"/>
                <w:lang w:eastAsia="ko-KR"/>
              </w:rPr>
              <w:t>Grade 3</w:t>
            </w:r>
            <w:r w:rsidRPr="00E21053">
              <w:rPr>
                <w:rFonts w:eastAsia="Batang" w:cs="Arial"/>
                <w:b/>
                <w:kern w:val="2"/>
                <w:sz w:val="18"/>
                <w:szCs w:val="18"/>
                <w:lang w:eastAsia="ko-KR"/>
              </w:rPr>
              <w:br/>
              <w:t>Severe</w:t>
            </w:r>
          </w:p>
        </w:tc>
        <w:tc>
          <w:tcPr>
            <w:tcW w:w="7020" w:type="dxa"/>
            <w:vAlign w:val="center"/>
          </w:tcPr>
          <w:p w14:paraId="644EC73C" w14:textId="77777777" w:rsidR="00300759" w:rsidRPr="00E21053" w:rsidRDefault="00300759" w:rsidP="005E13C1">
            <w:pPr>
              <w:spacing w:before="20" w:after="20" w:line="240" w:lineRule="exact"/>
              <w:rPr>
                <w:rFonts w:eastAsia="Batang" w:cs="Arial"/>
                <w:kern w:val="2"/>
                <w:sz w:val="18"/>
                <w:szCs w:val="18"/>
                <w:lang w:eastAsia="ko-KR"/>
              </w:rPr>
            </w:pPr>
            <w:r w:rsidRPr="00E21053">
              <w:rPr>
                <w:rFonts w:eastAsia="Batang" w:cs="Arial"/>
                <w:kern w:val="2"/>
                <w:sz w:val="18"/>
                <w:szCs w:val="18"/>
                <w:lang w:eastAsia="ko-KR"/>
              </w:rPr>
              <w:t>Marked limitation in activity, some assistance usually required; medical intervention/therapy required, hospitalization possible</w:t>
            </w:r>
          </w:p>
        </w:tc>
      </w:tr>
      <w:tr w:rsidR="00300759" w:rsidRPr="00E21053" w14:paraId="2A09F712" w14:textId="77777777" w:rsidTr="005E13C1">
        <w:trPr>
          <w:jc w:val="center"/>
        </w:trPr>
        <w:tc>
          <w:tcPr>
            <w:tcW w:w="2340" w:type="dxa"/>
            <w:shd w:val="clear" w:color="auto" w:fill="D9D9D9"/>
          </w:tcPr>
          <w:p w14:paraId="141CB4E1" w14:textId="5F45B1F0" w:rsidR="00300759" w:rsidRPr="00E21053" w:rsidRDefault="00300759" w:rsidP="00725327">
            <w:pPr>
              <w:spacing w:before="120" w:after="120" w:line="240" w:lineRule="exact"/>
              <w:jc w:val="right"/>
              <w:rPr>
                <w:rFonts w:eastAsia="Batang" w:cs="Arial"/>
                <w:b/>
                <w:kern w:val="2"/>
                <w:sz w:val="18"/>
                <w:szCs w:val="18"/>
                <w:lang w:eastAsia="ko-KR"/>
              </w:rPr>
            </w:pPr>
            <w:r w:rsidRPr="00E21053">
              <w:rPr>
                <w:rFonts w:eastAsia="Batang" w:cs="Arial"/>
                <w:b/>
                <w:kern w:val="2"/>
                <w:sz w:val="18"/>
                <w:szCs w:val="18"/>
                <w:lang w:eastAsia="ko-KR"/>
              </w:rPr>
              <w:t>Grade 4</w:t>
            </w:r>
            <w:r w:rsidRPr="00E21053">
              <w:rPr>
                <w:rFonts w:eastAsia="Batang" w:cs="Arial"/>
                <w:b/>
                <w:kern w:val="2"/>
                <w:sz w:val="18"/>
                <w:szCs w:val="18"/>
                <w:lang w:eastAsia="ko-KR"/>
              </w:rPr>
              <w:br/>
              <w:t>Potentially</w:t>
            </w:r>
            <w:r w:rsidR="00725327" w:rsidRPr="00E21053">
              <w:rPr>
                <w:rFonts w:eastAsia="Batang" w:cs="Arial"/>
                <w:b/>
                <w:kern w:val="2"/>
                <w:sz w:val="18"/>
                <w:szCs w:val="18"/>
                <w:lang w:eastAsia="ko-KR"/>
              </w:rPr>
              <w:br/>
            </w:r>
            <w:r w:rsidRPr="00E21053">
              <w:rPr>
                <w:rFonts w:eastAsia="Batang" w:cs="Arial"/>
                <w:b/>
                <w:kern w:val="2"/>
                <w:sz w:val="18"/>
                <w:szCs w:val="18"/>
                <w:lang w:eastAsia="ko-KR"/>
              </w:rPr>
              <w:t>Life-threatening</w:t>
            </w:r>
          </w:p>
        </w:tc>
        <w:tc>
          <w:tcPr>
            <w:tcW w:w="7020" w:type="dxa"/>
            <w:vAlign w:val="center"/>
          </w:tcPr>
          <w:p w14:paraId="2C53E877" w14:textId="77777777" w:rsidR="00300759" w:rsidRPr="00E21053" w:rsidRDefault="00300759" w:rsidP="005E13C1">
            <w:pPr>
              <w:spacing w:before="20" w:after="20" w:line="240" w:lineRule="exact"/>
              <w:rPr>
                <w:rFonts w:eastAsia="Batang" w:cs="Arial"/>
                <w:kern w:val="2"/>
                <w:sz w:val="18"/>
                <w:szCs w:val="18"/>
                <w:lang w:eastAsia="ko-KR"/>
              </w:rPr>
            </w:pPr>
            <w:r w:rsidRPr="00E21053">
              <w:rPr>
                <w:rFonts w:eastAsia="Batang" w:cs="Arial"/>
                <w:kern w:val="2"/>
                <w:sz w:val="18"/>
                <w:szCs w:val="18"/>
                <w:lang w:eastAsia="ko-KR"/>
              </w:rPr>
              <w:t>Extreme limitation in activity, significant assistance required; significant medical intervention/therapy required, hospitalization or hospice care probable</w:t>
            </w:r>
          </w:p>
        </w:tc>
      </w:tr>
    </w:tbl>
    <w:p w14:paraId="000A62BA" w14:textId="42CDB56E" w:rsidR="002B237B" w:rsidRDefault="002B237B" w:rsidP="00190E58">
      <w:pPr>
        <w:pStyle w:val="SchemaTitle"/>
        <w:jc w:val="left"/>
        <w:rPr>
          <w:rFonts w:cs="Arial"/>
          <w:szCs w:val="22"/>
        </w:rPr>
      </w:pPr>
    </w:p>
    <w:p w14:paraId="68B61766" w14:textId="77777777" w:rsidR="002B237B" w:rsidRDefault="002B237B">
      <w:pPr>
        <w:spacing w:line="240" w:lineRule="auto"/>
        <w:rPr>
          <w:rFonts w:cs="Arial"/>
          <w:b/>
          <w:caps/>
          <w:sz w:val="24"/>
          <w:szCs w:val="22"/>
        </w:rPr>
      </w:pPr>
      <w:r>
        <w:rPr>
          <w:rFonts w:cs="Arial"/>
          <w:szCs w:val="22"/>
        </w:rPr>
        <w:br w:type="page"/>
      </w:r>
    </w:p>
    <w:p w14:paraId="6CDBAECC" w14:textId="3C6C969B" w:rsidR="00300759" w:rsidRPr="005E13C1" w:rsidRDefault="001B50A7" w:rsidP="001B50A7">
      <w:pPr>
        <w:pStyle w:val="Heading1"/>
        <w:numPr>
          <w:ilvl w:val="0"/>
          <w:numId w:val="0"/>
        </w:numPr>
        <w:spacing w:before="0" w:after="0" w:line="240" w:lineRule="auto"/>
        <w:jc w:val="center"/>
        <w:rPr>
          <w:caps w:val="0"/>
        </w:rPr>
      </w:pPr>
      <w:bookmarkStart w:id="537" w:name="_Ref387344923"/>
      <w:bookmarkStart w:id="538" w:name="_Toc389130065"/>
      <w:bookmarkStart w:id="539" w:name="_Toc389130124"/>
      <w:bookmarkStart w:id="540" w:name="_Toc440906368"/>
      <w:r w:rsidRPr="005E13C1">
        <w:rPr>
          <w:caps w:val="0"/>
          <w:sz w:val="22"/>
          <w:szCs w:val="22"/>
        </w:rPr>
        <w:t xml:space="preserve">Appendix </w:t>
      </w:r>
      <w:r w:rsidR="00347B69" w:rsidRPr="005E13C1">
        <w:rPr>
          <w:caps w:val="0"/>
          <w:sz w:val="22"/>
          <w:szCs w:val="22"/>
        </w:rPr>
        <w:fldChar w:fldCharType="begin"/>
      </w:r>
      <w:r w:rsidR="00347B69" w:rsidRPr="005E13C1">
        <w:rPr>
          <w:caps w:val="0"/>
          <w:sz w:val="22"/>
          <w:szCs w:val="22"/>
        </w:rPr>
        <w:instrText xml:space="preserve"> SEQ Appendix \* ARABIC </w:instrText>
      </w:r>
      <w:r w:rsidR="00347B69" w:rsidRPr="005E13C1">
        <w:rPr>
          <w:caps w:val="0"/>
          <w:sz w:val="22"/>
          <w:szCs w:val="22"/>
        </w:rPr>
        <w:fldChar w:fldCharType="separate"/>
      </w:r>
      <w:r w:rsidR="00024E24">
        <w:rPr>
          <w:caps w:val="0"/>
          <w:noProof/>
          <w:sz w:val="22"/>
          <w:szCs w:val="22"/>
        </w:rPr>
        <w:t>8</w:t>
      </w:r>
      <w:r w:rsidR="00347B69" w:rsidRPr="005E13C1">
        <w:rPr>
          <w:caps w:val="0"/>
          <w:noProof/>
          <w:sz w:val="22"/>
          <w:szCs w:val="22"/>
        </w:rPr>
        <w:fldChar w:fldCharType="end"/>
      </w:r>
      <w:bookmarkEnd w:id="537"/>
      <w:r w:rsidRPr="005E13C1">
        <w:rPr>
          <w:caps w:val="0"/>
          <w:sz w:val="22"/>
          <w:szCs w:val="22"/>
        </w:rPr>
        <w:t>: List of AESIs</w:t>
      </w:r>
      <w:bookmarkEnd w:id="538"/>
      <w:bookmarkEnd w:id="539"/>
      <w:bookmarkEnd w:id="540"/>
    </w:p>
    <w:p w14:paraId="74FB02E9" w14:textId="7662C75B" w:rsidR="002B237B" w:rsidRPr="00CA0607" w:rsidRDefault="002B237B" w:rsidP="005E13C1">
      <w:pPr>
        <w:spacing w:before="240"/>
        <w:contextualSpacing/>
      </w:pPr>
      <w:r w:rsidRPr="00CA0607">
        <w:t xml:space="preserve">This list is </w:t>
      </w:r>
      <w:r>
        <w:t>current as of December 2013.</w:t>
      </w:r>
      <w:r w:rsidR="00725327">
        <w:t xml:space="preserve"> </w:t>
      </w:r>
      <w:r>
        <w:t xml:space="preserve">It is </w:t>
      </w:r>
      <w:r w:rsidRPr="00CA0607">
        <w:t>provided by FDA/CBER and is subject to periodic update.</w:t>
      </w:r>
      <w:r w:rsidR="00725327">
        <w:t xml:space="preserve"> </w:t>
      </w:r>
      <w:r>
        <w:t>Any updates will be implemented via a Note to File.</w:t>
      </w:r>
    </w:p>
    <w:p w14:paraId="5CABA8BE" w14:textId="77777777" w:rsidR="002B237B" w:rsidRDefault="002B237B" w:rsidP="002B237B">
      <w:pPr>
        <w:contextualSpacing/>
        <w:rPr>
          <w:b/>
        </w:rPr>
      </w:pPr>
    </w:p>
    <w:p w14:paraId="407563DB" w14:textId="77777777" w:rsidR="002B237B" w:rsidRPr="00CA0607" w:rsidRDefault="002B237B" w:rsidP="002B237B">
      <w:pPr>
        <w:contextualSpacing/>
        <w:rPr>
          <w:b/>
        </w:rPr>
      </w:pPr>
      <w:r w:rsidRPr="00CA0607">
        <w:rPr>
          <w:b/>
        </w:rPr>
        <w:t>Gastrointestinal disorders</w:t>
      </w:r>
    </w:p>
    <w:p w14:paraId="7284926F" w14:textId="77777777" w:rsidR="002B237B" w:rsidRPr="00CA0607" w:rsidRDefault="002B237B" w:rsidP="002B237B">
      <w:pPr>
        <w:numPr>
          <w:ilvl w:val="0"/>
          <w:numId w:val="45"/>
        </w:numPr>
        <w:spacing w:line="240" w:lineRule="auto"/>
        <w:contextualSpacing/>
      </w:pPr>
      <w:r w:rsidRPr="00CA0607">
        <w:t xml:space="preserve">Celiac disease </w:t>
      </w:r>
    </w:p>
    <w:p w14:paraId="62F2B045" w14:textId="77777777" w:rsidR="002B237B" w:rsidRPr="00CA0607" w:rsidRDefault="002B237B" w:rsidP="002B237B">
      <w:pPr>
        <w:numPr>
          <w:ilvl w:val="0"/>
          <w:numId w:val="45"/>
        </w:numPr>
        <w:spacing w:line="240" w:lineRule="auto"/>
        <w:contextualSpacing/>
      </w:pPr>
      <w:r w:rsidRPr="00CA0607">
        <w:t>Crohn’s disease</w:t>
      </w:r>
    </w:p>
    <w:p w14:paraId="13614254" w14:textId="77777777" w:rsidR="002B237B" w:rsidRPr="00CA0607" w:rsidRDefault="002B237B" w:rsidP="002B237B">
      <w:pPr>
        <w:numPr>
          <w:ilvl w:val="0"/>
          <w:numId w:val="45"/>
        </w:numPr>
        <w:spacing w:line="240" w:lineRule="auto"/>
        <w:contextualSpacing/>
      </w:pPr>
      <w:r w:rsidRPr="00CA0607">
        <w:t>Ulcerative colitis</w:t>
      </w:r>
    </w:p>
    <w:p w14:paraId="153A3C47" w14:textId="77777777" w:rsidR="002B237B" w:rsidRPr="00CA0607" w:rsidRDefault="002B237B" w:rsidP="002B237B">
      <w:pPr>
        <w:numPr>
          <w:ilvl w:val="0"/>
          <w:numId w:val="45"/>
        </w:numPr>
        <w:spacing w:line="240" w:lineRule="auto"/>
        <w:contextualSpacing/>
      </w:pPr>
      <w:r w:rsidRPr="00CA0607">
        <w:t>Ulcerative proctitis</w:t>
      </w:r>
    </w:p>
    <w:p w14:paraId="76272643" w14:textId="77777777" w:rsidR="002B237B" w:rsidRPr="00CA0607" w:rsidRDefault="002B237B" w:rsidP="002B237B">
      <w:pPr>
        <w:contextualSpacing/>
        <w:rPr>
          <w:b/>
        </w:rPr>
      </w:pPr>
    </w:p>
    <w:p w14:paraId="56F3DA90" w14:textId="77777777" w:rsidR="002B237B" w:rsidRPr="00CA0607" w:rsidRDefault="002B237B" w:rsidP="002B237B">
      <w:pPr>
        <w:contextualSpacing/>
        <w:rPr>
          <w:b/>
        </w:rPr>
      </w:pPr>
      <w:r w:rsidRPr="00CA0607">
        <w:rPr>
          <w:b/>
        </w:rPr>
        <w:t xml:space="preserve">Liver disorders </w:t>
      </w:r>
    </w:p>
    <w:p w14:paraId="6414BAAD" w14:textId="77777777" w:rsidR="002B237B" w:rsidRPr="00CA0607" w:rsidRDefault="002B237B" w:rsidP="002B237B">
      <w:pPr>
        <w:numPr>
          <w:ilvl w:val="0"/>
          <w:numId w:val="45"/>
        </w:numPr>
        <w:spacing w:line="240" w:lineRule="auto"/>
        <w:contextualSpacing/>
      </w:pPr>
      <w:r w:rsidRPr="00CA0607">
        <w:t xml:space="preserve">Autoimmune cholangitis </w:t>
      </w:r>
    </w:p>
    <w:p w14:paraId="0A4A5C10" w14:textId="77777777" w:rsidR="002B237B" w:rsidRPr="00CA0607" w:rsidRDefault="002B237B" w:rsidP="002B237B">
      <w:pPr>
        <w:numPr>
          <w:ilvl w:val="0"/>
          <w:numId w:val="45"/>
        </w:numPr>
        <w:spacing w:line="240" w:lineRule="auto"/>
        <w:contextualSpacing/>
      </w:pPr>
      <w:r w:rsidRPr="00CA0607">
        <w:t>Autoimmune hepatitis</w:t>
      </w:r>
    </w:p>
    <w:p w14:paraId="61BA83CA" w14:textId="77777777" w:rsidR="002B237B" w:rsidRPr="00CA0607" w:rsidRDefault="002B237B" w:rsidP="002B237B">
      <w:pPr>
        <w:numPr>
          <w:ilvl w:val="0"/>
          <w:numId w:val="45"/>
        </w:numPr>
        <w:spacing w:line="240" w:lineRule="auto"/>
        <w:contextualSpacing/>
      </w:pPr>
      <w:r w:rsidRPr="00CA0607">
        <w:t>Primary biliary cirrhosis</w:t>
      </w:r>
    </w:p>
    <w:p w14:paraId="4B5EBC24" w14:textId="77777777" w:rsidR="002B237B" w:rsidRPr="00CA0607" w:rsidRDefault="002B237B" w:rsidP="002B237B">
      <w:pPr>
        <w:numPr>
          <w:ilvl w:val="0"/>
          <w:numId w:val="45"/>
        </w:numPr>
        <w:spacing w:line="240" w:lineRule="auto"/>
        <w:contextualSpacing/>
      </w:pPr>
      <w:r w:rsidRPr="00CA0607">
        <w:t>Primary sclerosing cholangitis</w:t>
      </w:r>
    </w:p>
    <w:p w14:paraId="0C64902A" w14:textId="77777777" w:rsidR="002B237B" w:rsidRPr="00CA0607" w:rsidRDefault="002B237B" w:rsidP="002B237B">
      <w:pPr>
        <w:contextualSpacing/>
      </w:pPr>
    </w:p>
    <w:p w14:paraId="08FB61FE" w14:textId="77777777" w:rsidR="002B237B" w:rsidRPr="00CA0607" w:rsidRDefault="002B237B" w:rsidP="002B237B">
      <w:pPr>
        <w:contextualSpacing/>
        <w:rPr>
          <w:b/>
        </w:rPr>
      </w:pPr>
      <w:r w:rsidRPr="00CA0607">
        <w:rPr>
          <w:b/>
        </w:rPr>
        <w:t>Metabolic diseases</w:t>
      </w:r>
    </w:p>
    <w:p w14:paraId="2EEB12BC" w14:textId="77777777" w:rsidR="002B237B" w:rsidRPr="00CA0607" w:rsidRDefault="002B237B" w:rsidP="002B237B">
      <w:pPr>
        <w:numPr>
          <w:ilvl w:val="0"/>
          <w:numId w:val="43"/>
        </w:numPr>
        <w:spacing w:line="240" w:lineRule="auto"/>
        <w:contextualSpacing/>
      </w:pPr>
      <w:r w:rsidRPr="00CA0607">
        <w:t>Addison’s disease</w:t>
      </w:r>
    </w:p>
    <w:p w14:paraId="0B3A7863" w14:textId="77777777" w:rsidR="002B237B" w:rsidRPr="00CA0607" w:rsidRDefault="002B237B" w:rsidP="002B237B">
      <w:pPr>
        <w:numPr>
          <w:ilvl w:val="0"/>
          <w:numId w:val="43"/>
        </w:numPr>
        <w:spacing w:line="240" w:lineRule="auto"/>
        <w:contextualSpacing/>
      </w:pPr>
      <w:r w:rsidRPr="00CA0607">
        <w:t>Autoimmune thyroiditis (including Hashimoto thyroiditis)</w:t>
      </w:r>
    </w:p>
    <w:p w14:paraId="5D292962" w14:textId="77777777" w:rsidR="002B237B" w:rsidRPr="00CA0607" w:rsidRDefault="002B237B" w:rsidP="002B237B">
      <w:pPr>
        <w:numPr>
          <w:ilvl w:val="0"/>
          <w:numId w:val="43"/>
        </w:numPr>
        <w:spacing w:line="240" w:lineRule="auto"/>
        <w:contextualSpacing/>
      </w:pPr>
      <w:r w:rsidRPr="00CA0607">
        <w:t>Diabetes mellitus type I</w:t>
      </w:r>
    </w:p>
    <w:p w14:paraId="0F257004" w14:textId="737882C5" w:rsidR="002B237B" w:rsidRPr="00CA0607" w:rsidRDefault="002B237B" w:rsidP="002B237B">
      <w:pPr>
        <w:numPr>
          <w:ilvl w:val="0"/>
          <w:numId w:val="44"/>
        </w:numPr>
        <w:spacing w:line="240" w:lineRule="auto"/>
        <w:contextualSpacing/>
      </w:pPr>
      <w:r w:rsidRPr="00CA0607">
        <w:t>Grave's or Basedow’s disease</w:t>
      </w:r>
      <w:r w:rsidR="00725327">
        <w:t xml:space="preserve">  </w:t>
      </w:r>
    </w:p>
    <w:p w14:paraId="2A471402" w14:textId="77777777" w:rsidR="002B237B" w:rsidRPr="00CA0607" w:rsidRDefault="002B237B" w:rsidP="002B237B">
      <w:pPr>
        <w:contextualSpacing/>
      </w:pPr>
    </w:p>
    <w:p w14:paraId="03D7604E" w14:textId="77777777" w:rsidR="002B237B" w:rsidRPr="00CA0607" w:rsidRDefault="002B237B" w:rsidP="002B237B">
      <w:pPr>
        <w:contextualSpacing/>
      </w:pPr>
      <w:r w:rsidRPr="00CA0607">
        <w:rPr>
          <w:b/>
        </w:rPr>
        <w:t>Musculoskeletal disorders</w:t>
      </w:r>
    </w:p>
    <w:p w14:paraId="78964010" w14:textId="77777777" w:rsidR="002B237B" w:rsidRPr="00CA0607" w:rsidRDefault="002B237B" w:rsidP="002B237B">
      <w:pPr>
        <w:numPr>
          <w:ilvl w:val="0"/>
          <w:numId w:val="44"/>
        </w:numPr>
        <w:spacing w:line="240" w:lineRule="auto"/>
        <w:contextualSpacing/>
      </w:pPr>
      <w:r w:rsidRPr="00CA0607">
        <w:t>Antisynthetase syndrome</w:t>
      </w:r>
    </w:p>
    <w:p w14:paraId="37249AB4" w14:textId="77777777" w:rsidR="002B237B" w:rsidRPr="00CA0607" w:rsidRDefault="002B237B" w:rsidP="002B237B">
      <w:pPr>
        <w:numPr>
          <w:ilvl w:val="0"/>
          <w:numId w:val="44"/>
        </w:numPr>
        <w:spacing w:line="240" w:lineRule="auto"/>
        <w:contextualSpacing/>
      </w:pPr>
      <w:r w:rsidRPr="00CA0607">
        <w:t xml:space="preserve">Dermatomyositis </w:t>
      </w:r>
    </w:p>
    <w:p w14:paraId="124FACA8" w14:textId="77777777" w:rsidR="002B237B" w:rsidRPr="00CA0607" w:rsidRDefault="002B237B" w:rsidP="002B237B">
      <w:pPr>
        <w:numPr>
          <w:ilvl w:val="0"/>
          <w:numId w:val="44"/>
        </w:numPr>
        <w:spacing w:line="240" w:lineRule="auto"/>
        <w:contextualSpacing/>
      </w:pPr>
      <w:r w:rsidRPr="00CA0607">
        <w:t>Juvenile chronic arthritis, (including Still’s disease)</w:t>
      </w:r>
    </w:p>
    <w:p w14:paraId="159F6487" w14:textId="77777777" w:rsidR="002B237B" w:rsidRPr="00CA0607" w:rsidRDefault="002B237B" w:rsidP="002B237B">
      <w:pPr>
        <w:numPr>
          <w:ilvl w:val="0"/>
          <w:numId w:val="44"/>
        </w:numPr>
        <w:spacing w:line="240" w:lineRule="auto"/>
        <w:contextualSpacing/>
      </w:pPr>
      <w:r w:rsidRPr="00CA0607">
        <w:t xml:space="preserve">Mixed connective tissue disorder </w:t>
      </w:r>
    </w:p>
    <w:p w14:paraId="1EE04B10" w14:textId="77777777" w:rsidR="002B237B" w:rsidRPr="00CA0607" w:rsidRDefault="002B237B" w:rsidP="002B237B">
      <w:pPr>
        <w:numPr>
          <w:ilvl w:val="0"/>
          <w:numId w:val="44"/>
        </w:numPr>
        <w:spacing w:line="240" w:lineRule="auto"/>
        <w:contextualSpacing/>
      </w:pPr>
      <w:r w:rsidRPr="00CA0607">
        <w:t>Polymyalgia rheumatic</w:t>
      </w:r>
    </w:p>
    <w:p w14:paraId="1DAC6B3F" w14:textId="77777777" w:rsidR="002B237B" w:rsidRPr="00CA0607" w:rsidRDefault="002B237B" w:rsidP="002B237B">
      <w:pPr>
        <w:numPr>
          <w:ilvl w:val="0"/>
          <w:numId w:val="44"/>
        </w:numPr>
        <w:spacing w:line="240" w:lineRule="auto"/>
        <w:contextualSpacing/>
      </w:pPr>
      <w:r w:rsidRPr="00CA0607">
        <w:t>Polymyositis</w:t>
      </w:r>
    </w:p>
    <w:p w14:paraId="7A9B1FD5" w14:textId="77777777" w:rsidR="002B237B" w:rsidRPr="00CA0607" w:rsidRDefault="002B237B" w:rsidP="002B237B">
      <w:pPr>
        <w:numPr>
          <w:ilvl w:val="0"/>
          <w:numId w:val="44"/>
        </w:numPr>
        <w:spacing w:line="240" w:lineRule="auto"/>
        <w:contextualSpacing/>
      </w:pPr>
      <w:r w:rsidRPr="00CA0607">
        <w:t>Psoriatic arthropathy</w:t>
      </w:r>
    </w:p>
    <w:p w14:paraId="2C212751" w14:textId="77777777" w:rsidR="002B237B" w:rsidRPr="00CA0607" w:rsidRDefault="002B237B" w:rsidP="002B237B">
      <w:pPr>
        <w:numPr>
          <w:ilvl w:val="0"/>
          <w:numId w:val="44"/>
        </w:numPr>
        <w:spacing w:line="240" w:lineRule="auto"/>
        <w:contextualSpacing/>
      </w:pPr>
      <w:r w:rsidRPr="00CA0607">
        <w:t>Relapsing polychondritis</w:t>
      </w:r>
    </w:p>
    <w:p w14:paraId="0EEE0859" w14:textId="77777777" w:rsidR="002B237B" w:rsidRPr="00CA0607" w:rsidRDefault="002B237B" w:rsidP="002B237B">
      <w:pPr>
        <w:numPr>
          <w:ilvl w:val="0"/>
          <w:numId w:val="44"/>
        </w:numPr>
        <w:spacing w:line="240" w:lineRule="auto"/>
        <w:contextualSpacing/>
      </w:pPr>
      <w:r w:rsidRPr="00CA0607">
        <w:t>Rheumatoid arthritis</w:t>
      </w:r>
    </w:p>
    <w:p w14:paraId="5CC30177" w14:textId="77777777" w:rsidR="002B237B" w:rsidRPr="00CA0607" w:rsidRDefault="002B237B" w:rsidP="002B237B">
      <w:pPr>
        <w:numPr>
          <w:ilvl w:val="0"/>
          <w:numId w:val="44"/>
        </w:numPr>
        <w:spacing w:line="240" w:lineRule="auto"/>
        <w:contextualSpacing/>
      </w:pPr>
      <w:r w:rsidRPr="00CA0607">
        <w:t>Scleroderma, including diffuse systemic form and CREST syndrome</w:t>
      </w:r>
    </w:p>
    <w:p w14:paraId="401C28D8" w14:textId="77777777" w:rsidR="002B237B" w:rsidRPr="00CA0607" w:rsidRDefault="002B237B" w:rsidP="002B237B">
      <w:pPr>
        <w:numPr>
          <w:ilvl w:val="0"/>
          <w:numId w:val="44"/>
        </w:numPr>
        <w:spacing w:line="240" w:lineRule="auto"/>
        <w:contextualSpacing/>
      </w:pPr>
      <w:r w:rsidRPr="00CA0607">
        <w:t>Spondyloarthritis, including ankylosing spondylitis, reactive arthritis (Reiter's Syndrome) and</w:t>
      </w:r>
      <w:r>
        <w:t xml:space="preserve"> </w:t>
      </w:r>
      <w:r w:rsidRPr="00CA0607">
        <w:t>undifferentiated spondyloarthritis</w:t>
      </w:r>
    </w:p>
    <w:p w14:paraId="1357AE8E" w14:textId="77777777" w:rsidR="002B237B" w:rsidRPr="00CA0607" w:rsidRDefault="002B237B" w:rsidP="002B237B">
      <w:pPr>
        <w:numPr>
          <w:ilvl w:val="0"/>
          <w:numId w:val="44"/>
        </w:numPr>
        <w:spacing w:line="240" w:lineRule="auto"/>
        <w:contextualSpacing/>
      </w:pPr>
      <w:r w:rsidRPr="00CA0607">
        <w:t>Systemic lupus erythematosus</w:t>
      </w:r>
    </w:p>
    <w:p w14:paraId="25D02706" w14:textId="77777777" w:rsidR="002B237B" w:rsidRPr="00CA0607" w:rsidRDefault="002B237B" w:rsidP="002B237B">
      <w:pPr>
        <w:numPr>
          <w:ilvl w:val="0"/>
          <w:numId w:val="44"/>
        </w:numPr>
        <w:spacing w:line="240" w:lineRule="auto"/>
        <w:contextualSpacing/>
      </w:pPr>
      <w:r w:rsidRPr="00CA0607">
        <w:t>Systemic sclerosis</w:t>
      </w:r>
    </w:p>
    <w:p w14:paraId="3D75D5D1" w14:textId="77777777" w:rsidR="002B237B" w:rsidRPr="00CA0607" w:rsidRDefault="002B237B" w:rsidP="002B237B">
      <w:pPr>
        <w:contextualSpacing/>
        <w:rPr>
          <w:b/>
        </w:rPr>
      </w:pPr>
    </w:p>
    <w:p w14:paraId="6C987516" w14:textId="77777777" w:rsidR="002B237B" w:rsidRPr="00CA0607" w:rsidRDefault="002B237B" w:rsidP="002B237B">
      <w:pPr>
        <w:contextualSpacing/>
        <w:rPr>
          <w:b/>
        </w:rPr>
      </w:pPr>
      <w:r w:rsidRPr="00CA0607">
        <w:rPr>
          <w:b/>
        </w:rPr>
        <w:t>Neuroinflammatory disorders</w:t>
      </w:r>
    </w:p>
    <w:p w14:paraId="2FD0B5BE" w14:textId="77777777" w:rsidR="002B237B" w:rsidRPr="0066676B" w:rsidRDefault="002B237B" w:rsidP="002B237B">
      <w:pPr>
        <w:numPr>
          <w:ilvl w:val="0"/>
          <w:numId w:val="44"/>
        </w:numPr>
        <w:spacing w:line="240" w:lineRule="auto"/>
        <w:contextualSpacing/>
        <w:rPr>
          <w:b/>
        </w:rPr>
      </w:pPr>
      <w:r w:rsidRPr="00CA0607">
        <w:rPr>
          <w:rFonts w:eastAsia="MS Mincho"/>
          <w:lang w:eastAsia="ja-JP"/>
        </w:rPr>
        <w:t>Acute</w:t>
      </w:r>
      <w:r w:rsidRPr="00CA0607">
        <w:rPr>
          <w:rFonts w:eastAsia="MS Mincho"/>
          <w:spacing w:val="-4"/>
          <w:lang w:eastAsia="ja-JP"/>
        </w:rPr>
        <w:t xml:space="preserve"> </w:t>
      </w:r>
      <w:r w:rsidRPr="00CA0607">
        <w:rPr>
          <w:rFonts w:eastAsia="MS Mincho"/>
          <w:lang w:eastAsia="ja-JP"/>
        </w:rPr>
        <w:t>disseminated</w:t>
      </w:r>
      <w:r w:rsidRPr="00CA0607">
        <w:rPr>
          <w:rFonts w:eastAsia="MS Mincho"/>
          <w:spacing w:val="-10"/>
          <w:lang w:eastAsia="ja-JP"/>
        </w:rPr>
        <w:t xml:space="preserve"> </w:t>
      </w:r>
      <w:r w:rsidRPr="00CA0607">
        <w:rPr>
          <w:rFonts w:eastAsia="MS Mincho"/>
          <w:lang w:eastAsia="ja-JP"/>
        </w:rPr>
        <w:t>encephalomyelitis,</w:t>
      </w:r>
      <w:r w:rsidRPr="00CA0607">
        <w:rPr>
          <w:rFonts w:eastAsia="MS Mincho"/>
          <w:spacing w:val="-14"/>
          <w:lang w:eastAsia="ja-JP"/>
        </w:rPr>
        <w:t xml:space="preserve"> </w:t>
      </w:r>
      <w:r w:rsidRPr="00CA0607">
        <w:rPr>
          <w:rFonts w:eastAsia="MS Mincho"/>
          <w:lang w:eastAsia="ja-JP"/>
        </w:rPr>
        <w:t>including</w:t>
      </w:r>
      <w:r w:rsidRPr="00CA0607">
        <w:rPr>
          <w:rFonts w:eastAsia="MS Mincho"/>
          <w:spacing w:val="-6"/>
          <w:lang w:eastAsia="ja-JP"/>
        </w:rPr>
        <w:t xml:space="preserve"> </w:t>
      </w:r>
      <w:r w:rsidRPr="00CA0607">
        <w:rPr>
          <w:rFonts w:eastAsia="MS Mincho"/>
          <w:lang w:eastAsia="ja-JP"/>
        </w:rPr>
        <w:t>site</w:t>
      </w:r>
      <w:r w:rsidRPr="00CA0607">
        <w:rPr>
          <w:rFonts w:eastAsia="MS Mincho"/>
          <w:spacing w:val="-3"/>
          <w:lang w:eastAsia="ja-JP"/>
        </w:rPr>
        <w:t xml:space="preserve"> </w:t>
      </w:r>
      <w:r w:rsidRPr="00CA0607">
        <w:rPr>
          <w:rFonts w:eastAsia="MS Mincho"/>
          <w:lang w:eastAsia="ja-JP"/>
        </w:rPr>
        <w:t>specific</w:t>
      </w:r>
      <w:r w:rsidRPr="00CA0607">
        <w:rPr>
          <w:rFonts w:eastAsia="MS Mincho"/>
          <w:spacing w:val="-5"/>
          <w:lang w:eastAsia="ja-JP"/>
        </w:rPr>
        <w:t xml:space="preserve"> </w:t>
      </w:r>
      <w:r w:rsidRPr="00CA0607">
        <w:rPr>
          <w:rFonts w:eastAsia="MS Mincho"/>
          <w:lang w:eastAsia="ja-JP"/>
        </w:rPr>
        <w:t>variants:</w:t>
      </w:r>
      <w:r w:rsidRPr="00CA0607">
        <w:rPr>
          <w:rFonts w:eastAsia="MS Mincho"/>
          <w:spacing w:val="-6"/>
          <w:lang w:eastAsia="ja-JP"/>
        </w:rPr>
        <w:t xml:space="preserve"> </w:t>
      </w:r>
      <w:r w:rsidRPr="00CA0607">
        <w:rPr>
          <w:rFonts w:eastAsia="MS Mincho"/>
          <w:lang w:eastAsia="ja-JP"/>
        </w:rPr>
        <w:t>e.g.</w:t>
      </w:r>
    </w:p>
    <w:p w14:paraId="74D91150" w14:textId="77777777" w:rsidR="002B237B" w:rsidRPr="00CA0607" w:rsidRDefault="002B237B" w:rsidP="002B237B">
      <w:pPr>
        <w:autoSpaceDE w:val="0"/>
        <w:autoSpaceDN w:val="0"/>
        <w:adjustRightInd w:val="0"/>
        <w:ind w:right="927" w:firstLine="360"/>
        <w:contextualSpacing/>
        <w:rPr>
          <w:rFonts w:eastAsia="MS Mincho"/>
          <w:lang w:val="fr-FR" w:eastAsia="ja-JP"/>
        </w:rPr>
      </w:pPr>
      <w:r w:rsidRPr="00CA0607">
        <w:rPr>
          <w:rFonts w:eastAsia="MS Mincho"/>
          <w:lang w:val="fr-FR" w:eastAsia="ja-JP"/>
        </w:rPr>
        <w:t>non</w:t>
      </w:r>
      <w:r w:rsidRPr="00CA0607">
        <w:rPr>
          <w:rFonts w:eastAsia="MS Mincho"/>
          <w:spacing w:val="1"/>
          <w:lang w:val="fr-FR" w:eastAsia="ja-JP"/>
        </w:rPr>
        <w:t>-</w:t>
      </w:r>
      <w:r w:rsidRPr="00CA0607">
        <w:rPr>
          <w:rFonts w:eastAsia="MS Mincho"/>
          <w:lang w:val="fr-FR" w:eastAsia="ja-JP"/>
        </w:rPr>
        <w:t>infectious</w:t>
      </w:r>
      <w:r w:rsidRPr="00CA0607">
        <w:rPr>
          <w:rFonts w:eastAsia="MS Mincho"/>
          <w:spacing w:val="-10"/>
          <w:lang w:val="fr-FR" w:eastAsia="ja-JP"/>
        </w:rPr>
        <w:t xml:space="preserve"> </w:t>
      </w:r>
      <w:r w:rsidRPr="00CA0607">
        <w:rPr>
          <w:rFonts w:eastAsia="MS Mincho"/>
          <w:lang w:val="fr-FR" w:eastAsia="ja-JP"/>
        </w:rPr>
        <w:t>encephalitis,</w:t>
      </w:r>
      <w:r w:rsidRPr="00CA0607">
        <w:rPr>
          <w:rFonts w:eastAsia="MS Mincho"/>
          <w:spacing w:val="-10"/>
          <w:lang w:val="fr-FR" w:eastAsia="ja-JP"/>
        </w:rPr>
        <w:t xml:space="preserve"> </w:t>
      </w:r>
      <w:r w:rsidRPr="00CA0607">
        <w:rPr>
          <w:rFonts w:eastAsia="MS Mincho"/>
          <w:lang w:val="fr-FR" w:eastAsia="ja-JP"/>
        </w:rPr>
        <w:t>encephalomyelitis,</w:t>
      </w:r>
      <w:r w:rsidRPr="00CA0607">
        <w:rPr>
          <w:rFonts w:eastAsia="MS Mincho"/>
          <w:spacing w:val="-13"/>
          <w:lang w:val="fr-FR" w:eastAsia="ja-JP"/>
        </w:rPr>
        <w:t xml:space="preserve"> </w:t>
      </w:r>
      <w:r w:rsidRPr="00CA0607">
        <w:rPr>
          <w:rFonts w:eastAsia="MS Mincho"/>
          <w:lang w:val="fr-FR" w:eastAsia="ja-JP"/>
        </w:rPr>
        <w:t>myelitis, myeloradiculomyelitis</w:t>
      </w:r>
    </w:p>
    <w:p w14:paraId="467A1B5B" w14:textId="77777777" w:rsidR="002B237B" w:rsidRPr="00FF5478" w:rsidRDefault="002B237B" w:rsidP="002B237B">
      <w:pPr>
        <w:numPr>
          <w:ilvl w:val="0"/>
          <w:numId w:val="44"/>
        </w:numPr>
        <w:autoSpaceDE w:val="0"/>
        <w:autoSpaceDN w:val="0"/>
        <w:adjustRightInd w:val="0"/>
        <w:spacing w:line="240" w:lineRule="auto"/>
        <w:ind w:right="927"/>
        <w:contextualSpacing/>
        <w:rPr>
          <w:rFonts w:eastAsia="MS Mincho"/>
          <w:lang w:eastAsia="ja-JP"/>
        </w:rPr>
      </w:pPr>
      <w:r w:rsidRPr="00FF5478">
        <w:rPr>
          <w:rFonts w:eastAsia="MS Mincho"/>
          <w:lang w:eastAsia="ja-JP"/>
        </w:rPr>
        <w:t>Cranial nerve disorders, including paralyses/paresis (e.g. Bell’s palsy)</w:t>
      </w:r>
    </w:p>
    <w:p w14:paraId="55783E1C" w14:textId="77777777" w:rsidR="002B237B" w:rsidRPr="00CA0607" w:rsidRDefault="002B237B" w:rsidP="002B237B">
      <w:pPr>
        <w:numPr>
          <w:ilvl w:val="0"/>
          <w:numId w:val="44"/>
        </w:numPr>
        <w:autoSpaceDE w:val="0"/>
        <w:autoSpaceDN w:val="0"/>
        <w:adjustRightInd w:val="0"/>
        <w:spacing w:line="240" w:lineRule="auto"/>
        <w:ind w:right="-20"/>
        <w:contextualSpacing/>
        <w:rPr>
          <w:rFonts w:eastAsia="MS Mincho"/>
          <w:lang w:eastAsia="ja-JP"/>
        </w:rPr>
      </w:pPr>
      <w:r w:rsidRPr="00CA0607">
        <w:rPr>
          <w:rFonts w:eastAsia="MS Mincho"/>
          <w:lang w:eastAsia="ja-JP"/>
        </w:rPr>
        <w:t>Guillain</w:t>
      </w:r>
      <w:r w:rsidRPr="00CA0607">
        <w:rPr>
          <w:rFonts w:eastAsia="MS Mincho"/>
          <w:spacing w:val="1"/>
          <w:lang w:eastAsia="ja-JP"/>
        </w:rPr>
        <w:t>-</w:t>
      </w:r>
      <w:r w:rsidRPr="00CA0607">
        <w:rPr>
          <w:rFonts w:eastAsia="MS Mincho"/>
          <w:lang w:eastAsia="ja-JP"/>
        </w:rPr>
        <w:t>Barré</w:t>
      </w:r>
      <w:r w:rsidRPr="00CA0607">
        <w:rPr>
          <w:rFonts w:eastAsia="MS Mincho"/>
          <w:spacing w:val="-9"/>
          <w:lang w:eastAsia="ja-JP"/>
        </w:rPr>
        <w:t xml:space="preserve"> </w:t>
      </w:r>
      <w:r w:rsidRPr="00CA0607">
        <w:rPr>
          <w:rFonts w:eastAsia="MS Mincho"/>
          <w:lang w:eastAsia="ja-JP"/>
        </w:rPr>
        <w:t>syndrome,</w:t>
      </w:r>
      <w:r w:rsidRPr="00CA0607">
        <w:rPr>
          <w:rFonts w:eastAsia="MS Mincho"/>
          <w:spacing w:val="-7"/>
          <w:lang w:eastAsia="ja-JP"/>
        </w:rPr>
        <w:t xml:space="preserve"> </w:t>
      </w:r>
      <w:r w:rsidRPr="00CA0607">
        <w:rPr>
          <w:rFonts w:eastAsia="MS Mincho"/>
          <w:lang w:eastAsia="ja-JP"/>
        </w:rPr>
        <w:t>including Miller</w:t>
      </w:r>
      <w:r w:rsidRPr="00CA0607">
        <w:rPr>
          <w:rFonts w:eastAsia="MS Mincho"/>
          <w:spacing w:val="-4"/>
          <w:lang w:eastAsia="ja-JP"/>
        </w:rPr>
        <w:t xml:space="preserve"> </w:t>
      </w:r>
      <w:r w:rsidRPr="00CA0607">
        <w:rPr>
          <w:rFonts w:eastAsia="MS Mincho"/>
          <w:lang w:eastAsia="ja-JP"/>
        </w:rPr>
        <w:t>Fisher</w:t>
      </w:r>
      <w:r w:rsidRPr="00CA0607">
        <w:rPr>
          <w:rFonts w:eastAsia="MS Mincho"/>
          <w:spacing w:val="-5"/>
          <w:lang w:eastAsia="ja-JP"/>
        </w:rPr>
        <w:t xml:space="preserve"> </w:t>
      </w:r>
      <w:r w:rsidRPr="00CA0607">
        <w:rPr>
          <w:rFonts w:eastAsia="MS Mincho"/>
          <w:lang w:eastAsia="ja-JP"/>
        </w:rPr>
        <w:t>syndrome</w:t>
      </w:r>
      <w:r w:rsidRPr="00CA0607">
        <w:rPr>
          <w:rFonts w:eastAsia="MS Mincho"/>
          <w:spacing w:val="-7"/>
          <w:lang w:eastAsia="ja-JP"/>
        </w:rPr>
        <w:t xml:space="preserve"> </w:t>
      </w:r>
      <w:r w:rsidRPr="00CA0607">
        <w:rPr>
          <w:rFonts w:eastAsia="MS Mincho"/>
          <w:lang w:eastAsia="ja-JP"/>
        </w:rPr>
        <w:t>and</w:t>
      </w:r>
      <w:r w:rsidRPr="00CA0607">
        <w:rPr>
          <w:rFonts w:eastAsia="MS Mincho"/>
          <w:spacing w:val="-3"/>
          <w:lang w:eastAsia="ja-JP"/>
        </w:rPr>
        <w:t xml:space="preserve"> </w:t>
      </w:r>
      <w:r w:rsidRPr="00CA0607">
        <w:rPr>
          <w:rFonts w:eastAsia="MS Mincho"/>
          <w:lang w:eastAsia="ja-JP"/>
        </w:rPr>
        <w:t>other variants</w:t>
      </w:r>
    </w:p>
    <w:p w14:paraId="00F3A007" w14:textId="77777777" w:rsidR="002B237B" w:rsidRPr="00CA0607" w:rsidRDefault="002B237B" w:rsidP="002B237B">
      <w:pPr>
        <w:numPr>
          <w:ilvl w:val="0"/>
          <w:numId w:val="44"/>
        </w:numPr>
        <w:autoSpaceDE w:val="0"/>
        <w:autoSpaceDN w:val="0"/>
        <w:adjustRightInd w:val="0"/>
        <w:spacing w:line="240" w:lineRule="auto"/>
        <w:ind w:right="634"/>
        <w:contextualSpacing/>
        <w:rPr>
          <w:rFonts w:eastAsia="MS Mincho"/>
          <w:lang w:eastAsia="ja-JP"/>
        </w:rPr>
      </w:pPr>
      <w:r w:rsidRPr="00CA0607">
        <w:rPr>
          <w:rFonts w:eastAsia="MS Mincho"/>
          <w:lang w:eastAsia="ja-JP"/>
        </w:rPr>
        <w:t>Immune</w:t>
      </w:r>
      <w:r w:rsidRPr="00CA0607">
        <w:rPr>
          <w:rFonts w:eastAsia="MS Mincho"/>
          <w:spacing w:val="1"/>
          <w:lang w:eastAsia="ja-JP"/>
        </w:rPr>
        <w:t>-</w:t>
      </w:r>
      <w:r w:rsidRPr="00CA0607">
        <w:rPr>
          <w:rFonts w:eastAsia="MS Mincho"/>
          <w:lang w:eastAsia="ja-JP"/>
        </w:rPr>
        <w:t>mediated</w:t>
      </w:r>
      <w:r w:rsidRPr="00CA0607">
        <w:rPr>
          <w:rFonts w:eastAsia="MS Mincho"/>
          <w:spacing w:val="-13"/>
          <w:lang w:eastAsia="ja-JP"/>
        </w:rPr>
        <w:t xml:space="preserve"> </w:t>
      </w:r>
      <w:r w:rsidRPr="00CA0607">
        <w:rPr>
          <w:rFonts w:eastAsia="MS Mincho"/>
          <w:lang w:eastAsia="ja-JP"/>
        </w:rPr>
        <w:t>peripheral</w:t>
      </w:r>
      <w:r w:rsidRPr="00CA0607">
        <w:rPr>
          <w:rFonts w:eastAsia="MS Mincho"/>
          <w:spacing w:val="-8"/>
          <w:lang w:eastAsia="ja-JP"/>
        </w:rPr>
        <w:t xml:space="preserve"> </w:t>
      </w:r>
      <w:r w:rsidRPr="00CA0607">
        <w:rPr>
          <w:rFonts w:eastAsia="MS Mincho"/>
          <w:lang w:eastAsia="ja-JP"/>
        </w:rPr>
        <w:t>neuropathies</w:t>
      </w:r>
      <w:r w:rsidRPr="00CA0607">
        <w:rPr>
          <w:rFonts w:eastAsia="MS Mincho"/>
          <w:spacing w:val="-9"/>
          <w:lang w:eastAsia="ja-JP"/>
        </w:rPr>
        <w:t xml:space="preserve"> </w:t>
      </w:r>
      <w:r w:rsidRPr="00CA0607">
        <w:rPr>
          <w:rFonts w:eastAsia="MS Mincho"/>
          <w:lang w:eastAsia="ja-JP"/>
        </w:rPr>
        <w:t>and</w:t>
      </w:r>
      <w:r w:rsidRPr="00CA0607">
        <w:rPr>
          <w:rFonts w:eastAsia="MS Mincho"/>
          <w:spacing w:val="-3"/>
          <w:lang w:eastAsia="ja-JP"/>
        </w:rPr>
        <w:t xml:space="preserve"> </w:t>
      </w:r>
      <w:r w:rsidRPr="00CA0607">
        <w:rPr>
          <w:rFonts w:eastAsia="MS Mincho"/>
          <w:lang w:eastAsia="ja-JP"/>
        </w:rPr>
        <w:t>plexopathies,(including</w:t>
      </w:r>
      <w:r w:rsidRPr="00CA0607">
        <w:rPr>
          <w:rFonts w:eastAsia="MS Mincho"/>
          <w:spacing w:val="-7"/>
          <w:lang w:eastAsia="ja-JP"/>
        </w:rPr>
        <w:t xml:space="preserve"> </w:t>
      </w:r>
      <w:r w:rsidRPr="00CA0607">
        <w:rPr>
          <w:rFonts w:eastAsia="MS Mincho"/>
          <w:lang w:eastAsia="ja-JP"/>
        </w:rPr>
        <w:t>chronic</w:t>
      </w:r>
      <w:r w:rsidRPr="00CA0607">
        <w:rPr>
          <w:rFonts w:eastAsia="MS Mincho"/>
          <w:spacing w:val="-5"/>
          <w:lang w:eastAsia="ja-JP"/>
        </w:rPr>
        <w:t xml:space="preserve"> </w:t>
      </w:r>
      <w:r w:rsidRPr="00CA0607">
        <w:rPr>
          <w:rFonts w:eastAsia="MS Mincho"/>
          <w:lang w:eastAsia="ja-JP"/>
        </w:rPr>
        <w:t>inflammatory demyelinating</w:t>
      </w:r>
      <w:r w:rsidRPr="00CA0607">
        <w:rPr>
          <w:rFonts w:eastAsia="MS Mincho"/>
          <w:spacing w:val="-10"/>
          <w:lang w:eastAsia="ja-JP"/>
        </w:rPr>
        <w:t xml:space="preserve"> </w:t>
      </w:r>
      <w:r w:rsidRPr="00CA0607">
        <w:rPr>
          <w:rFonts w:eastAsia="MS Mincho"/>
          <w:lang w:eastAsia="ja-JP"/>
        </w:rPr>
        <w:t>polyneuropathy,</w:t>
      </w:r>
      <w:r w:rsidRPr="00CA0607">
        <w:rPr>
          <w:rFonts w:eastAsia="MS Mincho"/>
          <w:spacing w:val="-12"/>
          <w:lang w:eastAsia="ja-JP"/>
        </w:rPr>
        <w:t xml:space="preserve"> </w:t>
      </w:r>
      <w:r w:rsidRPr="00CA0607">
        <w:rPr>
          <w:rFonts w:eastAsia="MS Mincho"/>
          <w:lang w:eastAsia="ja-JP"/>
        </w:rPr>
        <w:t>multifocal</w:t>
      </w:r>
      <w:r w:rsidRPr="00CA0607">
        <w:rPr>
          <w:rFonts w:eastAsia="MS Mincho"/>
          <w:spacing w:val="-7"/>
          <w:lang w:eastAsia="ja-JP"/>
        </w:rPr>
        <w:t xml:space="preserve"> </w:t>
      </w:r>
      <w:r w:rsidRPr="00CA0607">
        <w:rPr>
          <w:rFonts w:eastAsia="MS Mincho"/>
          <w:lang w:eastAsia="ja-JP"/>
        </w:rPr>
        <w:t>motor</w:t>
      </w:r>
      <w:r w:rsidRPr="00CA0607">
        <w:rPr>
          <w:rFonts w:eastAsia="MS Mincho"/>
          <w:spacing w:val="-4"/>
          <w:lang w:eastAsia="ja-JP"/>
        </w:rPr>
        <w:t xml:space="preserve"> </w:t>
      </w:r>
      <w:r w:rsidRPr="00CA0607">
        <w:rPr>
          <w:rFonts w:eastAsia="MS Mincho"/>
          <w:lang w:eastAsia="ja-JP"/>
        </w:rPr>
        <w:t>neuropathy</w:t>
      </w:r>
      <w:r w:rsidRPr="00CA0607">
        <w:rPr>
          <w:rFonts w:eastAsia="MS Mincho"/>
          <w:spacing w:val="-8"/>
          <w:lang w:eastAsia="ja-JP"/>
        </w:rPr>
        <w:t xml:space="preserve"> </w:t>
      </w:r>
      <w:r w:rsidRPr="00CA0607">
        <w:rPr>
          <w:rFonts w:eastAsia="MS Mincho"/>
          <w:lang w:eastAsia="ja-JP"/>
        </w:rPr>
        <w:t>and</w:t>
      </w:r>
      <w:r w:rsidRPr="00CA0607">
        <w:rPr>
          <w:rFonts w:eastAsia="MS Mincho"/>
          <w:spacing w:val="-3"/>
          <w:lang w:eastAsia="ja-JP"/>
        </w:rPr>
        <w:t xml:space="preserve"> </w:t>
      </w:r>
      <w:r w:rsidRPr="00CA0607">
        <w:rPr>
          <w:rFonts w:eastAsia="MS Mincho"/>
          <w:lang w:eastAsia="ja-JP"/>
        </w:rPr>
        <w:t>polyneuropathies</w:t>
      </w:r>
      <w:r w:rsidRPr="00CA0607">
        <w:rPr>
          <w:rFonts w:eastAsia="MS Mincho"/>
          <w:spacing w:val="-12"/>
          <w:lang w:eastAsia="ja-JP"/>
        </w:rPr>
        <w:t xml:space="preserve"> </w:t>
      </w:r>
      <w:r w:rsidRPr="00CA0607">
        <w:rPr>
          <w:rFonts w:eastAsia="MS Mincho"/>
          <w:lang w:eastAsia="ja-JP"/>
        </w:rPr>
        <w:t>associated</w:t>
      </w:r>
      <w:r w:rsidRPr="00CA0607">
        <w:rPr>
          <w:rFonts w:eastAsia="MS Mincho"/>
          <w:spacing w:val="-8"/>
          <w:lang w:eastAsia="ja-JP"/>
        </w:rPr>
        <w:t xml:space="preserve"> </w:t>
      </w:r>
      <w:r w:rsidRPr="00CA0607">
        <w:rPr>
          <w:rFonts w:eastAsia="MS Mincho"/>
          <w:lang w:eastAsia="ja-JP"/>
        </w:rPr>
        <w:t>with</w:t>
      </w:r>
      <w:r w:rsidRPr="00CA0607">
        <w:rPr>
          <w:rFonts w:eastAsia="MS Mincho"/>
          <w:spacing w:val="-3"/>
          <w:lang w:eastAsia="ja-JP"/>
        </w:rPr>
        <w:t xml:space="preserve"> </w:t>
      </w:r>
      <w:r w:rsidRPr="00CA0607">
        <w:rPr>
          <w:rFonts w:eastAsia="MS Mincho"/>
          <w:lang w:eastAsia="ja-JP"/>
        </w:rPr>
        <w:t>monoclonal</w:t>
      </w:r>
      <w:r w:rsidRPr="00CA0607">
        <w:rPr>
          <w:rFonts w:eastAsia="MS Mincho"/>
          <w:spacing w:val="-8"/>
          <w:lang w:eastAsia="ja-JP"/>
        </w:rPr>
        <w:t xml:space="preserve"> </w:t>
      </w:r>
      <w:r w:rsidRPr="00CA0607">
        <w:rPr>
          <w:rFonts w:eastAsia="MS Mincho"/>
          <w:lang w:eastAsia="ja-JP"/>
        </w:rPr>
        <w:t>gammopathy).</w:t>
      </w:r>
    </w:p>
    <w:p w14:paraId="1D4ED695" w14:textId="77777777" w:rsidR="002B237B" w:rsidRPr="00CA0607" w:rsidRDefault="002B237B" w:rsidP="002B237B">
      <w:pPr>
        <w:numPr>
          <w:ilvl w:val="0"/>
          <w:numId w:val="44"/>
        </w:numPr>
        <w:autoSpaceDE w:val="0"/>
        <w:autoSpaceDN w:val="0"/>
        <w:adjustRightInd w:val="0"/>
        <w:spacing w:line="240" w:lineRule="auto"/>
        <w:ind w:right="634"/>
        <w:contextualSpacing/>
        <w:rPr>
          <w:rFonts w:eastAsia="MS Mincho"/>
          <w:lang w:eastAsia="ja-JP"/>
        </w:rPr>
      </w:pPr>
      <w:r w:rsidRPr="00CA0607">
        <w:rPr>
          <w:rFonts w:eastAsia="MS Mincho"/>
          <w:lang w:eastAsia="ja-JP"/>
        </w:rPr>
        <w:t>Multiple sclerosis</w:t>
      </w:r>
    </w:p>
    <w:p w14:paraId="748AC1C8" w14:textId="77777777" w:rsidR="002B237B" w:rsidRPr="00CA0607" w:rsidRDefault="002B237B" w:rsidP="002B237B">
      <w:pPr>
        <w:numPr>
          <w:ilvl w:val="0"/>
          <w:numId w:val="44"/>
        </w:numPr>
        <w:autoSpaceDE w:val="0"/>
        <w:autoSpaceDN w:val="0"/>
        <w:adjustRightInd w:val="0"/>
        <w:spacing w:line="240" w:lineRule="auto"/>
        <w:ind w:right="634"/>
        <w:contextualSpacing/>
        <w:rPr>
          <w:rFonts w:eastAsia="MS Mincho"/>
          <w:lang w:eastAsia="ja-JP"/>
        </w:rPr>
      </w:pPr>
      <w:r w:rsidRPr="00CA0607">
        <w:rPr>
          <w:rFonts w:eastAsia="MS Mincho"/>
          <w:lang w:eastAsia="ja-JP"/>
        </w:rPr>
        <w:t>Narcolepsy</w:t>
      </w:r>
    </w:p>
    <w:p w14:paraId="0A390F15" w14:textId="77777777" w:rsidR="002B237B" w:rsidRPr="00CA0607" w:rsidRDefault="002B237B" w:rsidP="002B237B">
      <w:pPr>
        <w:numPr>
          <w:ilvl w:val="0"/>
          <w:numId w:val="44"/>
        </w:numPr>
        <w:autoSpaceDE w:val="0"/>
        <w:autoSpaceDN w:val="0"/>
        <w:adjustRightInd w:val="0"/>
        <w:spacing w:line="240" w:lineRule="auto"/>
        <w:ind w:right="634"/>
        <w:contextualSpacing/>
        <w:rPr>
          <w:rFonts w:eastAsia="MS Mincho"/>
          <w:lang w:eastAsia="ja-JP"/>
        </w:rPr>
      </w:pPr>
      <w:r w:rsidRPr="00CA0607">
        <w:rPr>
          <w:rFonts w:eastAsia="MS Mincho"/>
          <w:lang w:eastAsia="ja-JP"/>
        </w:rPr>
        <w:t>Optic neuritis</w:t>
      </w:r>
    </w:p>
    <w:p w14:paraId="4A044643" w14:textId="77777777" w:rsidR="002B237B" w:rsidRPr="00CA0607" w:rsidRDefault="002B237B" w:rsidP="002B237B">
      <w:pPr>
        <w:numPr>
          <w:ilvl w:val="0"/>
          <w:numId w:val="44"/>
        </w:numPr>
        <w:autoSpaceDE w:val="0"/>
        <w:autoSpaceDN w:val="0"/>
        <w:adjustRightInd w:val="0"/>
        <w:spacing w:line="240" w:lineRule="auto"/>
        <w:ind w:right="634"/>
        <w:contextualSpacing/>
        <w:rPr>
          <w:rFonts w:eastAsia="MS Mincho"/>
          <w:lang w:eastAsia="ja-JP"/>
        </w:rPr>
      </w:pPr>
      <w:r w:rsidRPr="00CA0607">
        <w:rPr>
          <w:rFonts w:eastAsia="MS Mincho"/>
          <w:lang w:eastAsia="ja-JP"/>
        </w:rPr>
        <w:t>Transverse Myelitis</w:t>
      </w:r>
    </w:p>
    <w:p w14:paraId="21084392" w14:textId="77777777" w:rsidR="002B237B" w:rsidRPr="00CA0607" w:rsidRDefault="002B237B" w:rsidP="002B237B">
      <w:pPr>
        <w:autoSpaceDE w:val="0"/>
        <w:autoSpaceDN w:val="0"/>
        <w:adjustRightInd w:val="0"/>
        <w:ind w:right="-20"/>
        <w:contextualSpacing/>
        <w:rPr>
          <w:rFonts w:eastAsia="MS Mincho"/>
          <w:lang w:eastAsia="ja-JP"/>
        </w:rPr>
      </w:pPr>
    </w:p>
    <w:p w14:paraId="5514F99A" w14:textId="77777777" w:rsidR="002B237B" w:rsidRPr="00CA0607" w:rsidRDefault="002B237B" w:rsidP="002B237B">
      <w:pPr>
        <w:contextualSpacing/>
        <w:rPr>
          <w:b/>
        </w:rPr>
      </w:pPr>
      <w:r w:rsidRPr="00CA0607">
        <w:rPr>
          <w:b/>
        </w:rPr>
        <w:t xml:space="preserve">Skin disorders </w:t>
      </w:r>
    </w:p>
    <w:p w14:paraId="20B86050" w14:textId="77777777" w:rsidR="002B237B" w:rsidRPr="00CA0607" w:rsidRDefault="002B237B" w:rsidP="002B237B">
      <w:pPr>
        <w:numPr>
          <w:ilvl w:val="0"/>
          <w:numId w:val="46"/>
        </w:numPr>
        <w:spacing w:line="240" w:lineRule="auto"/>
        <w:contextualSpacing/>
      </w:pPr>
      <w:r w:rsidRPr="00CA0607">
        <w:t xml:space="preserve">Alopecia areata </w:t>
      </w:r>
    </w:p>
    <w:p w14:paraId="5C53AEF5" w14:textId="77777777" w:rsidR="002B237B" w:rsidRPr="00CA0607" w:rsidRDefault="002B237B" w:rsidP="002B237B">
      <w:pPr>
        <w:numPr>
          <w:ilvl w:val="0"/>
          <w:numId w:val="46"/>
        </w:numPr>
        <w:spacing w:line="240" w:lineRule="auto"/>
        <w:contextualSpacing/>
      </w:pPr>
      <w:r w:rsidRPr="00CA0607">
        <w:t>Autoimmune bullous skin diseases (including pemphigus, pemphigoid and dermatitis herpetiformis)</w:t>
      </w:r>
    </w:p>
    <w:p w14:paraId="116BDB4D" w14:textId="77777777" w:rsidR="002B237B" w:rsidRPr="00CA0607" w:rsidRDefault="002B237B" w:rsidP="002B237B">
      <w:pPr>
        <w:numPr>
          <w:ilvl w:val="0"/>
          <w:numId w:val="46"/>
        </w:numPr>
        <w:spacing w:line="240" w:lineRule="auto"/>
        <w:contextualSpacing/>
      </w:pPr>
      <w:r w:rsidRPr="00CA0607">
        <w:t>Cutaneous lupus erythematosus</w:t>
      </w:r>
    </w:p>
    <w:p w14:paraId="71C8DAD5" w14:textId="77777777" w:rsidR="002B237B" w:rsidRPr="0066676B" w:rsidRDefault="002B237B" w:rsidP="002B237B">
      <w:pPr>
        <w:numPr>
          <w:ilvl w:val="0"/>
          <w:numId w:val="46"/>
        </w:numPr>
        <w:spacing w:line="240" w:lineRule="auto"/>
        <w:contextualSpacing/>
        <w:rPr>
          <w:b/>
        </w:rPr>
      </w:pPr>
      <w:r w:rsidRPr="00CA0607">
        <w:t xml:space="preserve">Erythema nodosum </w:t>
      </w:r>
    </w:p>
    <w:p w14:paraId="4180109E" w14:textId="77777777" w:rsidR="002B237B" w:rsidRPr="0066676B" w:rsidRDefault="002B237B" w:rsidP="002B237B">
      <w:pPr>
        <w:numPr>
          <w:ilvl w:val="0"/>
          <w:numId w:val="46"/>
        </w:numPr>
        <w:spacing w:line="240" w:lineRule="auto"/>
        <w:contextualSpacing/>
        <w:rPr>
          <w:b/>
        </w:rPr>
      </w:pPr>
      <w:r w:rsidRPr="00CA0607">
        <w:t>Morphoea</w:t>
      </w:r>
    </w:p>
    <w:p w14:paraId="690A652C" w14:textId="77777777" w:rsidR="002B237B" w:rsidRPr="0066676B" w:rsidRDefault="002B237B" w:rsidP="002B237B">
      <w:pPr>
        <w:numPr>
          <w:ilvl w:val="0"/>
          <w:numId w:val="46"/>
        </w:numPr>
        <w:spacing w:line="240" w:lineRule="auto"/>
        <w:contextualSpacing/>
        <w:rPr>
          <w:b/>
        </w:rPr>
      </w:pPr>
      <w:r w:rsidRPr="00CA0607">
        <w:t>Lichen planus</w:t>
      </w:r>
    </w:p>
    <w:p w14:paraId="4ED838C7" w14:textId="77777777" w:rsidR="002B237B" w:rsidRPr="0066676B" w:rsidRDefault="002B237B" w:rsidP="002B237B">
      <w:pPr>
        <w:numPr>
          <w:ilvl w:val="0"/>
          <w:numId w:val="46"/>
        </w:numPr>
        <w:spacing w:line="240" w:lineRule="auto"/>
        <w:contextualSpacing/>
        <w:rPr>
          <w:b/>
        </w:rPr>
      </w:pPr>
      <w:r w:rsidRPr="00CA0607">
        <w:t>Psoriasis</w:t>
      </w:r>
    </w:p>
    <w:p w14:paraId="5807046E" w14:textId="77777777" w:rsidR="002B237B" w:rsidRPr="0066676B" w:rsidRDefault="002B237B" w:rsidP="002B237B">
      <w:pPr>
        <w:numPr>
          <w:ilvl w:val="0"/>
          <w:numId w:val="46"/>
        </w:numPr>
        <w:spacing w:line="240" w:lineRule="auto"/>
        <w:contextualSpacing/>
        <w:rPr>
          <w:b/>
        </w:rPr>
      </w:pPr>
      <w:r w:rsidRPr="00CA0607">
        <w:t xml:space="preserve">Sweet’s syndrome </w:t>
      </w:r>
    </w:p>
    <w:p w14:paraId="2041DD82" w14:textId="77777777" w:rsidR="002B237B" w:rsidRPr="0066676B" w:rsidRDefault="002B237B" w:rsidP="002B237B">
      <w:pPr>
        <w:numPr>
          <w:ilvl w:val="0"/>
          <w:numId w:val="46"/>
        </w:numPr>
        <w:spacing w:line="240" w:lineRule="auto"/>
        <w:contextualSpacing/>
        <w:rPr>
          <w:b/>
        </w:rPr>
      </w:pPr>
      <w:r w:rsidRPr="00CA0607">
        <w:t>Vitiligo</w:t>
      </w:r>
    </w:p>
    <w:p w14:paraId="19DB8D22" w14:textId="77777777" w:rsidR="002B237B" w:rsidRPr="0066676B" w:rsidRDefault="002B237B" w:rsidP="002B237B">
      <w:pPr>
        <w:contextualSpacing/>
        <w:rPr>
          <w:b/>
        </w:rPr>
      </w:pPr>
    </w:p>
    <w:p w14:paraId="16C22114" w14:textId="77777777" w:rsidR="002B237B" w:rsidRPr="00CA0607" w:rsidRDefault="002B237B" w:rsidP="002B237B">
      <w:pPr>
        <w:contextualSpacing/>
        <w:rPr>
          <w:b/>
        </w:rPr>
      </w:pPr>
      <w:r w:rsidRPr="00CA0607">
        <w:rPr>
          <w:b/>
        </w:rPr>
        <w:t>Vasculitides</w:t>
      </w:r>
    </w:p>
    <w:p w14:paraId="307BB9EF" w14:textId="77777777" w:rsidR="002B237B" w:rsidRPr="005E13C1" w:rsidRDefault="002B237B" w:rsidP="002B237B">
      <w:pPr>
        <w:pStyle w:val="ListParagraph"/>
        <w:numPr>
          <w:ilvl w:val="0"/>
          <w:numId w:val="46"/>
        </w:numPr>
        <w:autoSpaceDE w:val="0"/>
        <w:autoSpaceDN w:val="0"/>
        <w:adjustRightInd w:val="0"/>
        <w:spacing w:after="0" w:line="240" w:lineRule="auto"/>
        <w:ind w:right="106"/>
        <w:rPr>
          <w:rFonts w:ascii="Arial" w:eastAsia="MS Mincho" w:hAnsi="Arial" w:cs="Arial"/>
          <w:lang w:eastAsia="ja-JP"/>
        </w:rPr>
      </w:pPr>
      <w:r w:rsidRPr="005E13C1">
        <w:rPr>
          <w:rFonts w:ascii="Arial" w:eastAsia="MS Mincho" w:hAnsi="Arial" w:cs="Arial"/>
          <w:lang w:eastAsia="ja-JP"/>
        </w:rPr>
        <w:t>Large</w:t>
      </w:r>
      <w:r w:rsidRPr="005E13C1">
        <w:rPr>
          <w:rFonts w:ascii="Arial" w:eastAsia="MS Mincho" w:hAnsi="Arial" w:cs="Arial"/>
          <w:spacing w:val="-4"/>
          <w:lang w:eastAsia="ja-JP"/>
        </w:rPr>
        <w:t xml:space="preserve"> </w:t>
      </w:r>
      <w:r w:rsidRPr="005E13C1">
        <w:rPr>
          <w:rFonts w:ascii="Arial" w:eastAsia="MS Mincho" w:hAnsi="Arial" w:cs="Arial"/>
          <w:lang w:eastAsia="ja-JP"/>
        </w:rPr>
        <w:t>vessels</w:t>
      </w:r>
      <w:r w:rsidRPr="005E13C1">
        <w:rPr>
          <w:rFonts w:ascii="Arial" w:eastAsia="MS Mincho" w:hAnsi="Arial" w:cs="Arial"/>
          <w:spacing w:val="-5"/>
          <w:lang w:eastAsia="ja-JP"/>
        </w:rPr>
        <w:t xml:space="preserve"> </w:t>
      </w:r>
      <w:r w:rsidRPr="005E13C1">
        <w:rPr>
          <w:rFonts w:ascii="Arial" w:eastAsia="MS Mincho" w:hAnsi="Arial" w:cs="Arial"/>
          <w:lang w:eastAsia="ja-JP"/>
        </w:rPr>
        <w:t>vasculitis</w:t>
      </w:r>
      <w:r w:rsidRPr="005E13C1">
        <w:rPr>
          <w:rFonts w:ascii="Arial" w:eastAsia="MS Mincho" w:hAnsi="Arial" w:cs="Arial"/>
          <w:spacing w:val="-7"/>
          <w:lang w:eastAsia="ja-JP"/>
        </w:rPr>
        <w:t xml:space="preserve"> </w:t>
      </w:r>
      <w:r w:rsidRPr="005E13C1">
        <w:rPr>
          <w:rFonts w:ascii="Arial" w:eastAsia="MS Mincho" w:hAnsi="Arial" w:cs="Arial"/>
          <w:lang w:eastAsia="ja-JP"/>
        </w:rPr>
        <w:t>including:</w:t>
      </w:r>
      <w:r w:rsidRPr="005E13C1">
        <w:rPr>
          <w:rFonts w:ascii="Arial" w:eastAsia="MS Mincho" w:hAnsi="Arial" w:cs="Arial"/>
          <w:spacing w:val="-7"/>
          <w:lang w:eastAsia="ja-JP"/>
        </w:rPr>
        <w:t xml:space="preserve"> </w:t>
      </w:r>
      <w:r w:rsidRPr="005E13C1">
        <w:rPr>
          <w:rFonts w:ascii="Arial" w:eastAsia="MS Mincho" w:hAnsi="Arial" w:cs="Arial"/>
          <w:lang w:eastAsia="ja-JP"/>
        </w:rPr>
        <w:t>giant</w:t>
      </w:r>
      <w:r w:rsidRPr="005E13C1">
        <w:rPr>
          <w:rFonts w:ascii="Arial" w:eastAsia="MS Mincho" w:hAnsi="Arial" w:cs="Arial"/>
          <w:spacing w:val="-4"/>
          <w:lang w:eastAsia="ja-JP"/>
        </w:rPr>
        <w:t xml:space="preserve"> </w:t>
      </w:r>
      <w:r w:rsidRPr="005E13C1">
        <w:rPr>
          <w:rFonts w:ascii="Arial" w:eastAsia="MS Mincho" w:hAnsi="Arial" w:cs="Arial"/>
          <w:lang w:eastAsia="ja-JP"/>
        </w:rPr>
        <w:t>cell</w:t>
      </w:r>
      <w:r w:rsidRPr="005E13C1">
        <w:rPr>
          <w:rFonts w:ascii="Arial" w:eastAsia="MS Mincho" w:hAnsi="Arial" w:cs="Arial"/>
          <w:spacing w:val="-2"/>
          <w:lang w:eastAsia="ja-JP"/>
        </w:rPr>
        <w:t xml:space="preserve"> </w:t>
      </w:r>
      <w:r w:rsidRPr="005E13C1">
        <w:rPr>
          <w:rFonts w:ascii="Arial" w:eastAsia="MS Mincho" w:hAnsi="Arial" w:cs="Arial"/>
          <w:lang w:eastAsia="ja-JP"/>
        </w:rPr>
        <w:t>arteritis</w:t>
      </w:r>
      <w:r w:rsidRPr="005E13C1">
        <w:rPr>
          <w:rFonts w:ascii="Arial" w:eastAsia="MS Mincho" w:hAnsi="Arial" w:cs="Arial"/>
          <w:spacing w:val="-5"/>
          <w:lang w:eastAsia="ja-JP"/>
        </w:rPr>
        <w:t xml:space="preserve"> </w:t>
      </w:r>
      <w:r w:rsidRPr="005E13C1">
        <w:rPr>
          <w:rFonts w:ascii="Arial" w:eastAsia="MS Mincho" w:hAnsi="Arial" w:cs="Arial"/>
          <w:lang w:eastAsia="ja-JP"/>
        </w:rPr>
        <w:t>such</w:t>
      </w:r>
      <w:r w:rsidRPr="005E13C1">
        <w:rPr>
          <w:rFonts w:ascii="Arial" w:eastAsia="MS Mincho" w:hAnsi="Arial" w:cs="Arial"/>
          <w:spacing w:val="-3"/>
          <w:lang w:eastAsia="ja-JP"/>
        </w:rPr>
        <w:t xml:space="preserve"> </w:t>
      </w:r>
      <w:r w:rsidRPr="005E13C1">
        <w:rPr>
          <w:rFonts w:ascii="Arial" w:eastAsia="MS Mincho" w:hAnsi="Arial" w:cs="Arial"/>
          <w:lang w:eastAsia="ja-JP"/>
        </w:rPr>
        <w:t>as</w:t>
      </w:r>
      <w:r w:rsidRPr="005E13C1">
        <w:rPr>
          <w:rFonts w:ascii="Arial" w:eastAsia="MS Mincho" w:hAnsi="Arial" w:cs="Arial"/>
          <w:spacing w:val="-2"/>
          <w:lang w:eastAsia="ja-JP"/>
        </w:rPr>
        <w:t xml:space="preserve"> </w:t>
      </w:r>
      <w:r w:rsidRPr="005E13C1">
        <w:rPr>
          <w:rFonts w:ascii="Arial" w:eastAsia="MS Mincho" w:hAnsi="Arial" w:cs="Arial"/>
          <w:lang w:eastAsia="ja-JP"/>
        </w:rPr>
        <w:t>Takayasu's</w:t>
      </w:r>
      <w:r w:rsidRPr="005E13C1">
        <w:rPr>
          <w:rFonts w:ascii="Arial" w:eastAsia="MS Mincho" w:hAnsi="Arial" w:cs="Arial"/>
          <w:spacing w:val="-8"/>
          <w:lang w:eastAsia="ja-JP"/>
        </w:rPr>
        <w:t xml:space="preserve"> </w:t>
      </w:r>
      <w:r w:rsidRPr="005E13C1">
        <w:rPr>
          <w:rFonts w:ascii="Arial" w:eastAsia="MS Mincho" w:hAnsi="Arial" w:cs="Arial"/>
          <w:lang w:eastAsia="ja-JP"/>
        </w:rPr>
        <w:t>arteritis and</w:t>
      </w:r>
      <w:r w:rsidRPr="005E13C1">
        <w:rPr>
          <w:rFonts w:ascii="Arial" w:eastAsia="MS Mincho" w:hAnsi="Arial" w:cs="Arial"/>
          <w:spacing w:val="-3"/>
          <w:lang w:eastAsia="ja-JP"/>
        </w:rPr>
        <w:t xml:space="preserve"> </w:t>
      </w:r>
      <w:r w:rsidRPr="005E13C1">
        <w:rPr>
          <w:rFonts w:ascii="Arial" w:eastAsia="MS Mincho" w:hAnsi="Arial" w:cs="Arial"/>
          <w:lang w:eastAsia="ja-JP"/>
        </w:rPr>
        <w:t>temporal</w:t>
      </w:r>
      <w:r w:rsidRPr="005E13C1">
        <w:rPr>
          <w:rFonts w:ascii="Arial" w:eastAsia="MS Mincho" w:hAnsi="Arial" w:cs="Arial"/>
          <w:spacing w:val="-6"/>
          <w:lang w:eastAsia="ja-JP"/>
        </w:rPr>
        <w:t xml:space="preserve"> </w:t>
      </w:r>
      <w:r w:rsidRPr="005E13C1">
        <w:rPr>
          <w:rFonts w:ascii="Arial" w:eastAsia="MS Mincho" w:hAnsi="Arial" w:cs="Arial"/>
          <w:lang w:eastAsia="ja-JP"/>
        </w:rPr>
        <w:t>arteritis.</w:t>
      </w:r>
    </w:p>
    <w:p w14:paraId="1598CC1C" w14:textId="77777777" w:rsidR="002B237B" w:rsidRPr="005E13C1" w:rsidRDefault="002B237B" w:rsidP="002B237B">
      <w:pPr>
        <w:pStyle w:val="ListParagraph"/>
        <w:numPr>
          <w:ilvl w:val="0"/>
          <w:numId w:val="46"/>
        </w:numPr>
        <w:autoSpaceDE w:val="0"/>
        <w:autoSpaceDN w:val="0"/>
        <w:adjustRightInd w:val="0"/>
        <w:spacing w:after="0" w:line="240" w:lineRule="auto"/>
        <w:ind w:right="85"/>
        <w:rPr>
          <w:rFonts w:ascii="Arial" w:eastAsia="MS Mincho" w:hAnsi="Arial" w:cs="Arial"/>
          <w:lang w:eastAsia="ja-JP"/>
        </w:rPr>
      </w:pPr>
      <w:r w:rsidRPr="005E13C1">
        <w:rPr>
          <w:rFonts w:ascii="Arial" w:eastAsia="MS Mincho" w:hAnsi="Arial" w:cs="Arial"/>
          <w:lang w:eastAsia="ja-JP"/>
        </w:rPr>
        <w:t>Medium</w:t>
      </w:r>
      <w:r w:rsidRPr="005E13C1">
        <w:rPr>
          <w:rFonts w:ascii="Arial" w:eastAsia="MS Mincho" w:hAnsi="Arial" w:cs="Arial"/>
          <w:spacing w:val="-6"/>
          <w:lang w:eastAsia="ja-JP"/>
        </w:rPr>
        <w:t xml:space="preserve"> </w:t>
      </w:r>
      <w:r w:rsidRPr="005E13C1">
        <w:rPr>
          <w:rFonts w:ascii="Arial" w:eastAsia="MS Mincho" w:hAnsi="Arial" w:cs="Arial"/>
          <w:lang w:eastAsia="ja-JP"/>
        </w:rPr>
        <w:t>sized</w:t>
      </w:r>
      <w:r w:rsidRPr="005E13C1">
        <w:rPr>
          <w:rFonts w:ascii="Arial" w:eastAsia="MS Mincho" w:hAnsi="Arial" w:cs="Arial"/>
          <w:spacing w:val="-4"/>
          <w:lang w:eastAsia="ja-JP"/>
        </w:rPr>
        <w:t xml:space="preserve"> </w:t>
      </w:r>
      <w:r w:rsidRPr="005E13C1">
        <w:rPr>
          <w:rFonts w:ascii="Arial" w:eastAsia="MS Mincho" w:hAnsi="Arial" w:cs="Arial"/>
          <w:lang w:eastAsia="ja-JP"/>
        </w:rPr>
        <w:t>and/or</w:t>
      </w:r>
      <w:r w:rsidRPr="005E13C1">
        <w:rPr>
          <w:rFonts w:ascii="Arial" w:eastAsia="MS Mincho" w:hAnsi="Arial" w:cs="Arial"/>
          <w:spacing w:val="-5"/>
          <w:lang w:eastAsia="ja-JP"/>
        </w:rPr>
        <w:t xml:space="preserve"> </w:t>
      </w:r>
      <w:r w:rsidRPr="005E13C1">
        <w:rPr>
          <w:rFonts w:ascii="Arial" w:eastAsia="MS Mincho" w:hAnsi="Arial" w:cs="Arial"/>
          <w:lang w:eastAsia="ja-JP"/>
        </w:rPr>
        <w:t>small</w:t>
      </w:r>
      <w:r w:rsidRPr="005E13C1">
        <w:rPr>
          <w:rFonts w:ascii="Arial" w:eastAsia="MS Mincho" w:hAnsi="Arial" w:cs="Arial"/>
          <w:spacing w:val="-4"/>
          <w:lang w:eastAsia="ja-JP"/>
        </w:rPr>
        <w:t xml:space="preserve"> </w:t>
      </w:r>
      <w:r w:rsidRPr="005E13C1">
        <w:rPr>
          <w:rFonts w:ascii="Arial" w:eastAsia="MS Mincho" w:hAnsi="Arial" w:cs="Arial"/>
          <w:lang w:eastAsia="ja-JP"/>
        </w:rPr>
        <w:t>vessels</w:t>
      </w:r>
      <w:r w:rsidRPr="005E13C1">
        <w:rPr>
          <w:rFonts w:ascii="Arial" w:eastAsia="MS Mincho" w:hAnsi="Arial" w:cs="Arial"/>
          <w:spacing w:val="-6"/>
          <w:lang w:eastAsia="ja-JP"/>
        </w:rPr>
        <w:t xml:space="preserve"> </w:t>
      </w:r>
      <w:r w:rsidRPr="005E13C1">
        <w:rPr>
          <w:rFonts w:ascii="Arial" w:eastAsia="MS Mincho" w:hAnsi="Arial" w:cs="Arial"/>
          <w:lang w:eastAsia="ja-JP"/>
        </w:rPr>
        <w:t>vasculitis</w:t>
      </w:r>
      <w:r w:rsidRPr="005E13C1">
        <w:rPr>
          <w:rFonts w:ascii="Arial" w:eastAsia="MS Mincho" w:hAnsi="Arial" w:cs="Arial"/>
          <w:spacing w:val="-7"/>
          <w:lang w:eastAsia="ja-JP"/>
        </w:rPr>
        <w:t xml:space="preserve"> </w:t>
      </w:r>
      <w:r w:rsidRPr="005E13C1">
        <w:rPr>
          <w:rFonts w:ascii="Arial" w:eastAsia="MS Mincho" w:hAnsi="Arial" w:cs="Arial"/>
          <w:lang w:eastAsia="ja-JP"/>
        </w:rPr>
        <w:t>including:</w:t>
      </w:r>
      <w:r w:rsidRPr="005E13C1">
        <w:rPr>
          <w:rFonts w:ascii="Arial" w:eastAsia="MS Mincho" w:hAnsi="Arial" w:cs="Arial"/>
          <w:spacing w:val="-7"/>
          <w:lang w:eastAsia="ja-JP"/>
        </w:rPr>
        <w:t xml:space="preserve"> </w:t>
      </w:r>
      <w:r w:rsidRPr="005E13C1">
        <w:rPr>
          <w:rFonts w:ascii="Arial" w:eastAsia="MS Mincho" w:hAnsi="Arial" w:cs="Arial"/>
          <w:lang w:eastAsia="ja-JP"/>
        </w:rPr>
        <w:t>polyarteritis</w:t>
      </w:r>
      <w:r w:rsidRPr="005E13C1">
        <w:rPr>
          <w:rFonts w:ascii="Arial" w:eastAsia="MS Mincho" w:hAnsi="Arial" w:cs="Arial"/>
          <w:spacing w:val="-8"/>
          <w:lang w:eastAsia="ja-JP"/>
        </w:rPr>
        <w:t xml:space="preserve"> </w:t>
      </w:r>
      <w:r w:rsidRPr="005E13C1">
        <w:rPr>
          <w:rFonts w:ascii="Arial" w:eastAsia="MS Mincho" w:hAnsi="Arial" w:cs="Arial"/>
          <w:lang w:eastAsia="ja-JP"/>
        </w:rPr>
        <w:t>nodosa,</w:t>
      </w:r>
      <w:r w:rsidRPr="005E13C1">
        <w:rPr>
          <w:rFonts w:ascii="Arial" w:eastAsia="MS Mincho" w:hAnsi="Arial" w:cs="Arial"/>
          <w:spacing w:val="-6"/>
          <w:lang w:eastAsia="ja-JP"/>
        </w:rPr>
        <w:t xml:space="preserve"> </w:t>
      </w:r>
      <w:r w:rsidRPr="005E13C1">
        <w:rPr>
          <w:rFonts w:ascii="Arial" w:eastAsia="MS Mincho" w:hAnsi="Arial" w:cs="Arial"/>
          <w:lang w:eastAsia="ja-JP"/>
        </w:rPr>
        <w:t>Kawasaki's</w:t>
      </w:r>
      <w:r w:rsidRPr="005E13C1">
        <w:rPr>
          <w:rFonts w:ascii="Arial" w:eastAsia="MS Mincho" w:hAnsi="Arial" w:cs="Arial"/>
          <w:spacing w:val="-8"/>
          <w:lang w:eastAsia="ja-JP"/>
        </w:rPr>
        <w:t xml:space="preserve"> </w:t>
      </w:r>
      <w:r w:rsidRPr="005E13C1">
        <w:rPr>
          <w:rFonts w:ascii="Arial" w:eastAsia="MS Mincho" w:hAnsi="Arial" w:cs="Arial"/>
          <w:lang w:eastAsia="ja-JP"/>
        </w:rPr>
        <w:t>disease,</w:t>
      </w:r>
      <w:r w:rsidRPr="005E13C1">
        <w:rPr>
          <w:rFonts w:ascii="Arial" w:eastAsia="MS Mincho" w:hAnsi="Arial" w:cs="Arial"/>
          <w:spacing w:val="-6"/>
          <w:lang w:eastAsia="ja-JP"/>
        </w:rPr>
        <w:t xml:space="preserve"> </w:t>
      </w:r>
      <w:r w:rsidRPr="005E13C1">
        <w:rPr>
          <w:rFonts w:ascii="Arial" w:eastAsia="MS Mincho" w:hAnsi="Arial" w:cs="Arial"/>
          <w:lang w:eastAsia="ja-JP"/>
        </w:rPr>
        <w:t>microscopic polyangiitis,</w:t>
      </w:r>
      <w:r w:rsidRPr="005E13C1">
        <w:rPr>
          <w:rFonts w:ascii="Arial" w:eastAsia="MS Mincho" w:hAnsi="Arial" w:cs="Arial"/>
          <w:spacing w:val="-9"/>
          <w:lang w:eastAsia="ja-JP"/>
        </w:rPr>
        <w:t xml:space="preserve"> </w:t>
      </w:r>
      <w:r w:rsidRPr="005E13C1">
        <w:rPr>
          <w:rFonts w:ascii="Arial" w:eastAsia="MS Mincho" w:hAnsi="Arial" w:cs="Arial"/>
          <w:lang w:eastAsia="ja-JP"/>
        </w:rPr>
        <w:t>Wegener's</w:t>
      </w:r>
      <w:r w:rsidRPr="005E13C1">
        <w:rPr>
          <w:rFonts w:ascii="Arial" w:eastAsia="MS Mincho" w:hAnsi="Arial" w:cs="Arial"/>
          <w:spacing w:val="-8"/>
          <w:lang w:eastAsia="ja-JP"/>
        </w:rPr>
        <w:t xml:space="preserve"> </w:t>
      </w:r>
      <w:r w:rsidRPr="005E13C1">
        <w:rPr>
          <w:rFonts w:ascii="Arial" w:eastAsia="MS Mincho" w:hAnsi="Arial" w:cs="Arial"/>
          <w:lang w:eastAsia="ja-JP"/>
        </w:rPr>
        <w:t>granulomatosis,</w:t>
      </w:r>
      <w:r w:rsidRPr="005E13C1">
        <w:rPr>
          <w:rFonts w:ascii="Arial" w:eastAsia="MS Mincho" w:hAnsi="Arial" w:cs="Arial"/>
          <w:spacing w:val="-12"/>
          <w:lang w:eastAsia="ja-JP"/>
        </w:rPr>
        <w:t xml:space="preserve"> </w:t>
      </w:r>
      <w:r w:rsidRPr="005E13C1">
        <w:rPr>
          <w:rFonts w:ascii="Arial" w:eastAsia="MS Mincho" w:hAnsi="Arial" w:cs="Arial"/>
          <w:lang w:eastAsia="ja-JP"/>
        </w:rPr>
        <w:t>Churg–Strauss</w:t>
      </w:r>
      <w:r w:rsidRPr="005E13C1">
        <w:rPr>
          <w:rFonts w:ascii="Arial" w:eastAsia="MS Mincho" w:hAnsi="Arial" w:cs="Arial"/>
          <w:spacing w:val="-11"/>
          <w:lang w:eastAsia="ja-JP"/>
        </w:rPr>
        <w:t xml:space="preserve"> </w:t>
      </w:r>
      <w:r w:rsidRPr="005E13C1">
        <w:rPr>
          <w:rFonts w:ascii="Arial" w:eastAsia="MS Mincho" w:hAnsi="Arial" w:cs="Arial"/>
          <w:lang w:eastAsia="ja-JP"/>
        </w:rPr>
        <w:t>syndrome</w:t>
      </w:r>
      <w:r w:rsidRPr="005E13C1">
        <w:rPr>
          <w:rFonts w:ascii="Arial" w:eastAsia="MS Mincho" w:hAnsi="Arial" w:cs="Arial"/>
          <w:spacing w:val="-7"/>
          <w:lang w:eastAsia="ja-JP"/>
        </w:rPr>
        <w:t xml:space="preserve"> </w:t>
      </w:r>
      <w:r w:rsidRPr="005E13C1">
        <w:rPr>
          <w:rFonts w:ascii="Arial" w:eastAsia="MS Mincho" w:hAnsi="Arial" w:cs="Arial"/>
          <w:lang w:eastAsia="ja-JP"/>
        </w:rPr>
        <w:t>(allergic</w:t>
      </w:r>
      <w:r w:rsidRPr="005E13C1">
        <w:rPr>
          <w:rFonts w:ascii="Arial" w:eastAsia="MS Mincho" w:hAnsi="Arial" w:cs="Arial"/>
          <w:spacing w:val="-6"/>
          <w:lang w:eastAsia="ja-JP"/>
        </w:rPr>
        <w:t xml:space="preserve"> </w:t>
      </w:r>
      <w:r w:rsidRPr="005E13C1">
        <w:rPr>
          <w:rFonts w:ascii="Arial" w:eastAsia="MS Mincho" w:hAnsi="Arial" w:cs="Arial"/>
          <w:lang w:eastAsia="ja-JP"/>
        </w:rPr>
        <w:t>granulomatous</w:t>
      </w:r>
      <w:r w:rsidRPr="005E13C1">
        <w:rPr>
          <w:rFonts w:ascii="Arial" w:eastAsia="MS Mincho" w:hAnsi="Arial" w:cs="Arial"/>
          <w:spacing w:val="-11"/>
          <w:lang w:eastAsia="ja-JP"/>
        </w:rPr>
        <w:t xml:space="preserve"> </w:t>
      </w:r>
      <w:r w:rsidRPr="005E13C1">
        <w:rPr>
          <w:rFonts w:ascii="Arial" w:eastAsia="MS Mincho" w:hAnsi="Arial" w:cs="Arial"/>
          <w:lang w:eastAsia="ja-JP"/>
        </w:rPr>
        <w:t>angiitis),</w:t>
      </w:r>
      <w:r w:rsidRPr="005E13C1">
        <w:rPr>
          <w:rFonts w:ascii="Arial" w:eastAsia="MS Mincho" w:hAnsi="Arial" w:cs="Arial"/>
          <w:spacing w:val="-6"/>
          <w:lang w:eastAsia="ja-JP"/>
        </w:rPr>
        <w:t xml:space="preserve"> </w:t>
      </w:r>
      <w:r w:rsidRPr="005E13C1">
        <w:rPr>
          <w:rFonts w:ascii="Arial" w:eastAsia="MS Mincho" w:hAnsi="Arial" w:cs="Arial"/>
          <w:lang w:eastAsia="ja-JP"/>
        </w:rPr>
        <w:t>Buerger’s</w:t>
      </w:r>
      <w:r w:rsidRPr="005E13C1">
        <w:rPr>
          <w:rFonts w:ascii="Arial" w:eastAsia="MS Mincho" w:hAnsi="Arial" w:cs="Arial"/>
          <w:spacing w:val="-7"/>
          <w:lang w:eastAsia="ja-JP"/>
        </w:rPr>
        <w:t xml:space="preserve"> </w:t>
      </w:r>
      <w:r w:rsidRPr="005E13C1">
        <w:rPr>
          <w:rFonts w:ascii="Arial" w:eastAsia="MS Mincho" w:hAnsi="Arial" w:cs="Arial"/>
          <w:lang w:eastAsia="ja-JP"/>
        </w:rPr>
        <w:t>disease</w:t>
      </w:r>
      <w:r w:rsidRPr="005E13C1">
        <w:rPr>
          <w:rFonts w:ascii="Arial" w:eastAsia="MS Mincho" w:hAnsi="Arial" w:cs="Arial"/>
          <w:spacing w:val="-6"/>
          <w:lang w:eastAsia="ja-JP"/>
        </w:rPr>
        <w:t xml:space="preserve"> </w:t>
      </w:r>
      <w:r w:rsidRPr="005E13C1">
        <w:rPr>
          <w:rFonts w:ascii="Arial" w:eastAsia="MS Mincho" w:hAnsi="Arial" w:cs="Arial"/>
          <w:lang w:eastAsia="ja-JP"/>
        </w:rPr>
        <w:t>thromboangiitis</w:t>
      </w:r>
      <w:r w:rsidRPr="005E13C1">
        <w:rPr>
          <w:rFonts w:ascii="Arial" w:eastAsia="MS Mincho" w:hAnsi="Arial" w:cs="Arial"/>
          <w:spacing w:val="-12"/>
          <w:lang w:eastAsia="ja-JP"/>
        </w:rPr>
        <w:t xml:space="preserve"> </w:t>
      </w:r>
      <w:r w:rsidRPr="005E13C1">
        <w:rPr>
          <w:rFonts w:ascii="Arial" w:eastAsia="MS Mincho" w:hAnsi="Arial" w:cs="Arial"/>
          <w:lang w:eastAsia="ja-JP"/>
        </w:rPr>
        <w:t>obliterans),</w:t>
      </w:r>
      <w:r w:rsidRPr="005E13C1">
        <w:rPr>
          <w:rFonts w:ascii="Arial" w:eastAsia="MS Mincho" w:hAnsi="Arial" w:cs="Arial"/>
          <w:spacing w:val="-9"/>
          <w:lang w:eastAsia="ja-JP"/>
        </w:rPr>
        <w:t xml:space="preserve"> </w:t>
      </w:r>
      <w:r w:rsidRPr="005E13C1">
        <w:rPr>
          <w:rFonts w:ascii="Arial" w:eastAsia="MS Mincho" w:hAnsi="Arial" w:cs="Arial"/>
          <w:lang w:eastAsia="ja-JP"/>
        </w:rPr>
        <w:t>necrotizing vasculitis</w:t>
      </w:r>
      <w:r w:rsidRPr="005E13C1">
        <w:rPr>
          <w:rFonts w:ascii="Arial" w:eastAsia="MS Mincho" w:hAnsi="Arial" w:cs="Arial"/>
          <w:spacing w:val="-7"/>
          <w:lang w:eastAsia="ja-JP"/>
        </w:rPr>
        <w:t xml:space="preserve"> </w:t>
      </w:r>
      <w:r w:rsidRPr="005E13C1">
        <w:rPr>
          <w:rFonts w:ascii="Arial" w:eastAsia="MS Mincho" w:hAnsi="Arial" w:cs="Arial"/>
          <w:lang w:eastAsia="ja-JP"/>
        </w:rPr>
        <w:t>and</w:t>
      </w:r>
      <w:r w:rsidRPr="005E13C1">
        <w:rPr>
          <w:rFonts w:ascii="Arial" w:eastAsia="MS Mincho" w:hAnsi="Arial" w:cs="Arial"/>
          <w:spacing w:val="-3"/>
          <w:lang w:eastAsia="ja-JP"/>
        </w:rPr>
        <w:t xml:space="preserve"> </w:t>
      </w:r>
      <w:r w:rsidRPr="005E13C1">
        <w:rPr>
          <w:rFonts w:ascii="Arial" w:eastAsia="MS Mincho" w:hAnsi="Arial" w:cs="Arial"/>
          <w:lang w:eastAsia="ja-JP"/>
        </w:rPr>
        <w:t>ant</w:t>
      </w:r>
      <w:r w:rsidRPr="005E13C1">
        <w:rPr>
          <w:rFonts w:ascii="Arial" w:eastAsia="MS Mincho" w:hAnsi="Arial" w:cs="Arial"/>
          <w:spacing w:val="1"/>
          <w:lang w:eastAsia="ja-JP"/>
        </w:rPr>
        <w:t>i-</w:t>
      </w:r>
      <w:r w:rsidRPr="005E13C1">
        <w:rPr>
          <w:rFonts w:ascii="Arial" w:eastAsia="MS Mincho" w:hAnsi="Arial" w:cs="Arial"/>
          <w:lang w:eastAsia="ja-JP"/>
        </w:rPr>
        <w:t>n</w:t>
      </w:r>
      <w:r w:rsidRPr="005E13C1">
        <w:rPr>
          <w:rFonts w:ascii="Arial" w:eastAsia="MS Mincho" w:hAnsi="Arial" w:cs="Arial"/>
          <w:spacing w:val="3"/>
          <w:lang w:eastAsia="ja-JP"/>
        </w:rPr>
        <w:t>e</w:t>
      </w:r>
      <w:r w:rsidRPr="005E13C1">
        <w:rPr>
          <w:rFonts w:ascii="Arial" w:eastAsia="MS Mincho" w:hAnsi="Arial" w:cs="Arial"/>
          <w:lang w:eastAsia="ja-JP"/>
        </w:rPr>
        <w:t>utrophil</w:t>
      </w:r>
      <w:r w:rsidRPr="005E13C1">
        <w:rPr>
          <w:rFonts w:ascii="Arial" w:eastAsia="MS Mincho" w:hAnsi="Arial" w:cs="Arial"/>
          <w:spacing w:val="-11"/>
          <w:lang w:eastAsia="ja-JP"/>
        </w:rPr>
        <w:t xml:space="preserve"> </w:t>
      </w:r>
      <w:r w:rsidRPr="005E13C1">
        <w:rPr>
          <w:rFonts w:ascii="Arial" w:eastAsia="MS Mincho" w:hAnsi="Arial" w:cs="Arial"/>
          <w:lang w:eastAsia="ja-JP"/>
        </w:rPr>
        <w:t>cytoplasmic</w:t>
      </w:r>
      <w:r w:rsidRPr="005E13C1">
        <w:rPr>
          <w:rFonts w:ascii="Arial" w:eastAsia="MS Mincho" w:hAnsi="Arial" w:cs="Arial"/>
          <w:spacing w:val="-9"/>
          <w:lang w:eastAsia="ja-JP"/>
        </w:rPr>
        <w:t xml:space="preserve"> </w:t>
      </w:r>
      <w:r w:rsidRPr="005E13C1">
        <w:rPr>
          <w:rFonts w:ascii="Arial" w:eastAsia="MS Mincho" w:hAnsi="Arial" w:cs="Arial"/>
          <w:lang w:eastAsia="ja-JP"/>
        </w:rPr>
        <w:t>antibody</w:t>
      </w:r>
      <w:r w:rsidRPr="005E13C1">
        <w:rPr>
          <w:rFonts w:ascii="Arial" w:eastAsia="MS Mincho" w:hAnsi="Arial" w:cs="Arial"/>
          <w:spacing w:val="-6"/>
          <w:lang w:eastAsia="ja-JP"/>
        </w:rPr>
        <w:t xml:space="preserve"> </w:t>
      </w:r>
      <w:r w:rsidRPr="005E13C1">
        <w:rPr>
          <w:rFonts w:ascii="Arial" w:eastAsia="MS Mincho" w:hAnsi="Arial" w:cs="Arial"/>
          <w:lang w:eastAsia="ja-JP"/>
        </w:rPr>
        <w:t>(ANCA)</w:t>
      </w:r>
      <w:r w:rsidRPr="005E13C1">
        <w:rPr>
          <w:rFonts w:ascii="Arial" w:eastAsia="MS Mincho" w:hAnsi="Arial" w:cs="Arial"/>
          <w:spacing w:val="-6"/>
          <w:lang w:eastAsia="ja-JP"/>
        </w:rPr>
        <w:t xml:space="preserve"> </w:t>
      </w:r>
      <w:r w:rsidRPr="005E13C1">
        <w:rPr>
          <w:rFonts w:ascii="Arial" w:eastAsia="MS Mincho" w:hAnsi="Arial" w:cs="Arial"/>
          <w:lang w:eastAsia="ja-JP"/>
        </w:rPr>
        <w:t>positive</w:t>
      </w:r>
      <w:r w:rsidRPr="005E13C1">
        <w:rPr>
          <w:rFonts w:ascii="Arial" w:eastAsia="MS Mincho" w:hAnsi="Arial" w:cs="Arial"/>
          <w:spacing w:val="-6"/>
          <w:lang w:eastAsia="ja-JP"/>
        </w:rPr>
        <w:t xml:space="preserve"> </w:t>
      </w:r>
      <w:r w:rsidRPr="005E13C1">
        <w:rPr>
          <w:rFonts w:ascii="Arial" w:eastAsia="MS Mincho" w:hAnsi="Arial" w:cs="Arial"/>
          <w:lang w:eastAsia="ja-JP"/>
        </w:rPr>
        <w:t>vasculitis</w:t>
      </w:r>
      <w:r w:rsidRPr="005E13C1">
        <w:rPr>
          <w:rFonts w:ascii="Arial" w:eastAsia="MS Mincho" w:hAnsi="Arial" w:cs="Arial"/>
          <w:spacing w:val="-7"/>
          <w:lang w:eastAsia="ja-JP"/>
        </w:rPr>
        <w:t xml:space="preserve"> </w:t>
      </w:r>
      <w:r w:rsidRPr="005E13C1">
        <w:rPr>
          <w:rFonts w:ascii="Arial" w:eastAsia="MS Mincho" w:hAnsi="Arial" w:cs="Arial"/>
          <w:lang w:eastAsia="ja-JP"/>
        </w:rPr>
        <w:t>(type</w:t>
      </w:r>
      <w:r w:rsidRPr="005E13C1">
        <w:rPr>
          <w:rFonts w:ascii="Arial" w:eastAsia="MS Mincho" w:hAnsi="Arial" w:cs="Arial"/>
          <w:spacing w:val="-4"/>
          <w:lang w:eastAsia="ja-JP"/>
        </w:rPr>
        <w:t xml:space="preserve"> </w:t>
      </w:r>
      <w:r w:rsidRPr="005E13C1">
        <w:rPr>
          <w:rFonts w:ascii="Arial" w:eastAsia="MS Mincho" w:hAnsi="Arial" w:cs="Arial"/>
          <w:lang w:eastAsia="ja-JP"/>
        </w:rPr>
        <w:t>unspecified),</w:t>
      </w:r>
      <w:r w:rsidRPr="005E13C1">
        <w:rPr>
          <w:rFonts w:ascii="Arial" w:eastAsia="MS Mincho" w:hAnsi="Arial" w:cs="Arial"/>
          <w:spacing w:val="-9"/>
          <w:lang w:eastAsia="ja-JP"/>
        </w:rPr>
        <w:t xml:space="preserve"> </w:t>
      </w:r>
      <w:r w:rsidRPr="005E13C1">
        <w:rPr>
          <w:rFonts w:ascii="Arial" w:eastAsia="MS Mincho" w:hAnsi="Arial" w:cs="Arial"/>
          <w:lang w:eastAsia="ja-JP"/>
        </w:rPr>
        <w:t>Henoc</w:t>
      </w:r>
      <w:r w:rsidRPr="005E13C1">
        <w:rPr>
          <w:rFonts w:ascii="Arial" w:eastAsia="MS Mincho" w:hAnsi="Arial" w:cs="Arial"/>
          <w:spacing w:val="1"/>
          <w:lang w:eastAsia="ja-JP"/>
        </w:rPr>
        <w:t>h</w:t>
      </w:r>
      <w:r w:rsidRPr="005E13C1">
        <w:rPr>
          <w:rFonts w:ascii="Arial" w:eastAsia="MS Mincho" w:hAnsi="Arial" w:cs="Arial"/>
          <w:lang w:eastAsia="ja-JP"/>
        </w:rPr>
        <w:t>-</w:t>
      </w:r>
      <w:r w:rsidRPr="005E13C1">
        <w:rPr>
          <w:rFonts w:ascii="Arial" w:eastAsia="MS Mincho" w:hAnsi="Arial" w:cs="Arial"/>
          <w:spacing w:val="-7"/>
          <w:lang w:eastAsia="ja-JP"/>
        </w:rPr>
        <w:t xml:space="preserve"> </w:t>
      </w:r>
      <w:r w:rsidRPr="005E13C1">
        <w:rPr>
          <w:rFonts w:ascii="Arial" w:eastAsia="MS Mincho" w:hAnsi="Arial" w:cs="Arial"/>
          <w:lang w:eastAsia="ja-JP"/>
        </w:rPr>
        <w:t>Schonlein</w:t>
      </w:r>
      <w:r w:rsidRPr="005E13C1">
        <w:rPr>
          <w:rFonts w:ascii="Arial" w:eastAsia="MS Mincho" w:hAnsi="Arial" w:cs="Arial"/>
          <w:spacing w:val="-7"/>
          <w:lang w:eastAsia="ja-JP"/>
        </w:rPr>
        <w:t xml:space="preserve"> </w:t>
      </w:r>
      <w:r w:rsidRPr="005E13C1">
        <w:rPr>
          <w:rFonts w:ascii="Arial" w:eastAsia="MS Mincho" w:hAnsi="Arial" w:cs="Arial"/>
          <w:lang w:eastAsia="ja-JP"/>
        </w:rPr>
        <w:t>purpura,</w:t>
      </w:r>
      <w:r w:rsidRPr="005E13C1">
        <w:rPr>
          <w:rFonts w:ascii="Arial" w:eastAsia="MS Mincho" w:hAnsi="Arial" w:cs="Arial"/>
          <w:spacing w:val="-6"/>
          <w:lang w:eastAsia="ja-JP"/>
        </w:rPr>
        <w:t xml:space="preserve"> </w:t>
      </w:r>
      <w:r w:rsidRPr="005E13C1">
        <w:rPr>
          <w:rFonts w:ascii="Arial" w:eastAsia="MS Mincho" w:hAnsi="Arial" w:cs="Arial"/>
          <w:lang w:eastAsia="ja-JP"/>
        </w:rPr>
        <w:t>Behcet's</w:t>
      </w:r>
      <w:r w:rsidRPr="005E13C1">
        <w:rPr>
          <w:rFonts w:ascii="Arial" w:eastAsia="MS Mincho" w:hAnsi="Arial" w:cs="Arial"/>
          <w:spacing w:val="-6"/>
          <w:lang w:eastAsia="ja-JP"/>
        </w:rPr>
        <w:t xml:space="preserve"> </w:t>
      </w:r>
      <w:r w:rsidRPr="005E13C1">
        <w:rPr>
          <w:rFonts w:ascii="Arial" w:eastAsia="MS Mincho" w:hAnsi="Arial" w:cs="Arial"/>
          <w:lang w:eastAsia="ja-JP"/>
        </w:rPr>
        <w:t>syndrome,</w:t>
      </w:r>
      <w:r w:rsidRPr="005E13C1">
        <w:rPr>
          <w:rFonts w:ascii="Arial" w:eastAsia="MS Mincho" w:hAnsi="Arial" w:cs="Arial"/>
          <w:spacing w:val="-8"/>
          <w:lang w:eastAsia="ja-JP"/>
        </w:rPr>
        <w:t xml:space="preserve"> </w:t>
      </w:r>
      <w:r w:rsidRPr="005E13C1">
        <w:rPr>
          <w:rFonts w:ascii="Arial" w:eastAsia="MS Mincho" w:hAnsi="Arial" w:cs="Arial"/>
          <w:lang w:eastAsia="ja-JP"/>
        </w:rPr>
        <w:t>leukocytoclastic vasculitis.</w:t>
      </w:r>
    </w:p>
    <w:p w14:paraId="21DB1030" w14:textId="77777777" w:rsidR="002B237B" w:rsidRPr="0066676B" w:rsidRDefault="002B237B" w:rsidP="002B237B">
      <w:pPr>
        <w:contextualSpacing/>
        <w:rPr>
          <w:b/>
        </w:rPr>
      </w:pPr>
    </w:p>
    <w:p w14:paraId="6C08B5E3" w14:textId="77777777" w:rsidR="002B237B" w:rsidRPr="00CA0607" w:rsidRDefault="002B237B" w:rsidP="002B237B">
      <w:pPr>
        <w:contextualSpacing/>
        <w:rPr>
          <w:b/>
        </w:rPr>
      </w:pPr>
      <w:r w:rsidRPr="00CA0607">
        <w:rPr>
          <w:b/>
        </w:rPr>
        <w:t>Others</w:t>
      </w:r>
    </w:p>
    <w:p w14:paraId="2536A500" w14:textId="77777777" w:rsidR="002B237B" w:rsidRPr="00CA0607" w:rsidRDefault="002B237B" w:rsidP="002B237B">
      <w:pPr>
        <w:numPr>
          <w:ilvl w:val="0"/>
          <w:numId w:val="48"/>
        </w:numPr>
        <w:spacing w:line="240" w:lineRule="auto"/>
        <w:contextualSpacing/>
      </w:pPr>
      <w:r w:rsidRPr="00CA0607">
        <w:t xml:space="preserve">Antiphospholipid syndrome </w:t>
      </w:r>
    </w:p>
    <w:p w14:paraId="3C64BB41" w14:textId="77777777" w:rsidR="002B237B" w:rsidRPr="00CA0607" w:rsidRDefault="002B237B" w:rsidP="002B237B">
      <w:pPr>
        <w:numPr>
          <w:ilvl w:val="0"/>
          <w:numId w:val="47"/>
        </w:numPr>
        <w:spacing w:line="240" w:lineRule="auto"/>
        <w:contextualSpacing/>
      </w:pPr>
      <w:r w:rsidRPr="00CA0607">
        <w:t>Autoimmune hemolytic anemia</w:t>
      </w:r>
    </w:p>
    <w:p w14:paraId="7F7086AC" w14:textId="77777777" w:rsidR="002B237B" w:rsidRPr="00CA0607" w:rsidRDefault="002B237B" w:rsidP="002B237B">
      <w:pPr>
        <w:numPr>
          <w:ilvl w:val="0"/>
          <w:numId w:val="47"/>
        </w:numPr>
        <w:spacing w:line="240" w:lineRule="auto"/>
        <w:contextualSpacing/>
      </w:pPr>
      <w:r w:rsidRPr="00CA0607">
        <w:t>Autoimmune glomerulonephritis (including IgA nephropathy, glomerulonephritis rapidly progressive, membranous glomerulonephritis, membranoproliferative glomerulonephritis, and mesangioproliferative glomerulonephritis)</w:t>
      </w:r>
    </w:p>
    <w:p w14:paraId="1AEB816D" w14:textId="77777777" w:rsidR="002B237B" w:rsidRPr="00CA0607" w:rsidRDefault="002B237B" w:rsidP="002B237B">
      <w:pPr>
        <w:numPr>
          <w:ilvl w:val="0"/>
          <w:numId w:val="47"/>
        </w:numPr>
        <w:spacing w:line="240" w:lineRule="auto"/>
        <w:contextualSpacing/>
      </w:pPr>
      <w:r w:rsidRPr="00CA0607">
        <w:t xml:space="preserve">Autoimmune myocarditis/cardiomyopathy </w:t>
      </w:r>
    </w:p>
    <w:p w14:paraId="57D0FFB3" w14:textId="77777777" w:rsidR="002B237B" w:rsidRPr="00CA0607" w:rsidRDefault="002B237B" w:rsidP="002B237B">
      <w:pPr>
        <w:numPr>
          <w:ilvl w:val="0"/>
          <w:numId w:val="47"/>
        </w:numPr>
        <w:spacing w:line="240" w:lineRule="auto"/>
        <w:contextualSpacing/>
      </w:pPr>
      <w:r w:rsidRPr="00CA0607">
        <w:t xml:space="preserve">Autoimmune thrombocytopenia </w:t>
      </w:r>
    </w:p>
    <w:p w14:paraId="07EE4C59" w14:textId="77777777" w:rsidR="002B237B" w:rsidRPr="00CA0607" w:rsidRDefault="002B237B" w:rsidP="002B237B">
      <w:pPr>
        <w:numPr>
          <w:ilvl w:val="0"/>
          <w:numId w:val="47"/>
        </w:numPr>
        <w:spacing w:line="240" w:lineRule="auto"/>
        <w:contextualSpacing/>
      </w:pPr>
      <w:r w:rsidRPr="00CA0607">
        <w:t xml:space="preserve">Goodpasture syndrome </w:t>
      </w:r>
    </w:p>
    <w:p w14:paraId="5BF3AF66" w14:textId="77777777" w:rsidR="002B237B" w:rsidRPr="00CA0607" w:rsidRDefault="002B237B" w:rsidP="002B237B">
      <w:pPr>
        <w:numPr>
          <w:ilvl w:val="0"/>
          <w:numId w:val="47"/>
        </w:numPr>
        <w:spacing w:line="240" w:lineRule="auto"/>
        <w:contextualSpacing/>
      </w:pPr>
      <w:r w:rsidRPr="00CA0607">
        <w:t>Idiopathic pulmonary fibrosis</w:t>
      </w:r>
    </w:p>
    <w:p w14:paraId="2E9CB752" w14:textId="77777777" w:rsidR="002B237B" w:rsidRPr="00CA0607" w:rsidRDefault="002B237B" w:rsidP="002B237B">
      <w:pPr>
        <w:numPr>
          <w:ilvl w:val="0"/>
          <w:numId w:val="47"/>
        </w:numPr>
        <w:spacing w:line="240" w:lineRule="auto"/>
        <w:contextualSpacing/>
      </w:pPr>
      <w:r w:rsidRPr="00CA0607">
        <w:t xml:space="preserve">Pernicious anemia </w:t>
      </w:r>
    </w:p>
    <w:p w14:paraId="4D318168" w14:textId="77777777" w:rsidR="002B237B" w:rsidRPr="00CA0607" w:rsidRDefault="002B237B" w:rsidP="002B237B">
      <w:pPr>
        <w:numPr>
          <w:ilvl w:val="0"/>
          <w:numId w:val="47"/>
        </w:numPr>
        <w:spacing w:line="240" w:lineRule="auto"/>
        <w:contextualSpacing/>
      </w:pPr>
      <w:r w:rsidRPr="00CA0607">
        <w:t>Raynaud’s phenomenon</w:t>
      </w:r>
    </w:p>
    <w:p w14:paraId="7F3E4A98" w14:textId="77777777" w:rsidR="002B237B" w:rsidRPr="00CA0607" w:rsidRDefault="002B237B" w:rsidP="002B237B">
      <w:pPr>
        <w:numPr>
          <w:ilvl w:val="0"/>
          <w:numId w:val="47"/>
        </w:numPr>
        <w:spacing w:line="240" w:lineRule="auto"/>
        <w:contextualSpacing/>
      </w:pPr>
      <w:r w:rsidRPr="00CA0607">
        <w:t xml:space="preserve">Sarcoidosis </w:t>
      </w:r>
    </w:p>
    <w:p w14:paraId="13C0A4EE" w14:textId="77777777" w:rsidR="002B237B" w:rsidRPr="00CA0607" w:rsidRDefault="002B237B" w:rsidP="002B237B">
      <w:pPr>
        <w:numPr>
          <w:ilvl w:val="0"/>
          <w:numId w:val="47"/>
        </w:numPr>
        <w:spacing w:line="240" w:lineRule="auto"/>
        <w:contextualSpacing/>
      </w:pPr>
      <w:r w:rsidRPr="00CA0607">
        <w:t xml:space="preserve">Sjögren’s syndrome </w:t>
      </w:r>
    </w:p>
    <w:p w14:paraId="6083EDBD" w14:textId="77777777" w:rsidR="002B237B" w:rsidRPr="00CA0607" w:rsidRDefault="002B237B" w:rsidP="002B237B">
      <w:pPr>
        <w:numPr>
          <w:ilvl w:val="0"/>
          <w:numId w:val="47"/>
        </w:numPr>
        <w:spacing w:line="240" w:lineRule="auto"/>
        <w:contextualSpacing/>
      </w:pPr>
      <w:r w:rsidRPr="00CA0607">
        <w:t>Stevens-</w:t>
      </w:r>
      <w:r>
        <w:t>J</w:t>
      </w:r>
      <w:r w:rsidRPr="00CA0607">
        <w:t xml:space="preserve">ohnson syndrome </w:t>
      </w:r>
    </w:p>
    <w:p w14:paraId="40445D1A" w14:textId="77777777" w:rsidR="002B237B" w:rsidRPr="0066676B" w:rsidRDefault="002B237B" w:rsidP="002B237B">
      <w:pPr>
        <w:numPr>
          <w:ilvl w:val="0"/>
          <w:numId w:val="47"/>
        </w:numPr>
        <w:spacing w:line="240" w:lineRule="auto"/>
        <w:contextualSpacing/>
      </w:pPr>
      <w:r w:rsidRPr="00CA0607">
        <w:t>Uveitis</w:t>
      </w:r>
    </w:p>
    <w:p w14:paraId="0A763C7B" w14:textId="2EAFD46F" w:rsidR="002B237B" w:rsidRPr="002B237B" w:rsidRDefault="002B237B" w:rsidP="00C940B4"/>
    <w:sectPr w:rsidR="002B237B" w:rsidRPr="002B237B" w:rsidSect="00300759">
      <w:endnotePr>
        <w:numFmt w:val="decimal"/>
      </w:endnotePr>
      <w:pgSz w:w="12240" w:h="15840" w:code="1"/>
      <w:pgMar w:top="1440" w:right="1440" w:bottom="1440" w:left="1440" w:header="1152"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11668" w14:textId="77777777" w:rsidR="004A3C48" w:rsidRDefault="004A3C48">
      <w:r>
        <w:separator/>
      </w:r>
    </w:p>
  </w:endnote>
  <w:endnote w:type="continuationSeparator" w:id="0">
    <w:p w14:paraId="47A5C529" w14:textId="77777777" w:rsidR="004A3C48" w:rsidRDefault="004A3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46647" w14:textId="287F6E6A" w:rsidR="004A3C48" w:rsidRPr="00463AB6" w:rsidRDefault="004A3C48" w:rsidP="00463AB6">
    <w:pPr>
      <w:pStyle w:val="Footer"/>
      <w:tabs>
        <w:tab w:val="clear" w:pos="4320"/>
        <w:tab w:val="clear" w:pos="8640"/>
      </w:tabs>
      <w:spacing w:after="120"/>
      <w:jc w:val="center"/>
      <w:rPr>
        <w:rStyle w:val="PageNumber"/>
        <w:sz w:val="20"/>
      </w:rPr>
    </w:pPr>
    <w:r w:rsidRPr="00463AB6">
      <w:rPr>
        <w:rStyle w:val="PageNumber"/>
        <w:sz w:val="20"/>
      </w:rPr>
      <w:t xml:space="preserve">Page </w:t>
    </w:r>
    <w:r w:rsidRPr="00463AB6">
      <w:rPr>
        <w:rStyle w:val="PageNumber"/>
        <w:b/>
        <w:sz w:val="20"/>
      </w:rPr>
      <w:fldChar w:fldCharType="begin"/>
    </w:r>
    <w:r w:rsidRPr="00463AB6">
      <w:rPr>
        <w:rStyle w:val="PageNumber"/>
        <w:b/>
        <w:sz w:val="20"/>
      </w:rPr>
      <w:instrText xml:space="preserve"> PAGE  \* Arabic  \* MERGEFORMAT </w:instrText>
    </w:r>
    <w:r w:rsidRPr="00463AB6">
      <w:rPr>
        <w:rStyle w:val="PageNumber"/>
        <w:b/>
        <w:sz w:val="20"/>
      </w:rPr>
      <w:fldChar w:fldCharType="separate"/>
    </w:r>
    <w:r w:rsidR="00024E24">
      <w:rPr>
        <w:rStyle w:val="PageNumber"/>
        <w:b/>
        <w:noProof/>
        <w:sz w:val="20"/>
      </w:rPr>
      <w:t>14</w:t>
    </w:r>
    <w:r w:rsidRPr="00463AB6">
      <w:rPr>
        <w:rStyle w:val="PageNumber"/>
        <w:b/>
        <w:sz w:val="20"/>
      </w:rPr>
      <w:fldChar w:fldCharType="end"/>
    </w:r>
    <w:r w:rsidRPr="00463AB6">
      <w:rPr>
        <w:rStyle w:val="PageNumber"/>
        <w:sz w:val="20"/>
      </w:rPr>
      <w:t xml:space="preserve"> of </w:t>
    </w:r>
    <w:r w:rsidRPr="00463AB6">
      <w:rPr>
        <w:rStyle w:val="PageNumber"/>
        <w:b/>
        <w:sz w:val="20"/>
      </w:rPr>
      <w:fldChar w:fldCharType="begin"/>
    </w:r>
    <w:r w:rsidRPr="00463AB6">
      <w:rPr>
        <w:rStyle w:val="PageNumber"/>
        <w:b/>
        <w:sz w:val="20"/>
      </w:rPr>
      <w:instrText xml:space="preserve"> NUMPAGES  \* Arabic  \* MERGEFORMAT </w:instrText>
    </w:r>
    <w:r w:rsidRPr="00463AB6">
      <w:rPr>
        <w:rStyle w:val="PageNumber"/>
        <w:b/>
        <w:sz w:val="20"/>
      </w:rPr>
      <w:fldChar w:fldCharType="separate"/>
    </w:r>
    <w:r w:rsidR="00024E24">
      <w:rPr>
        <w:rStyle w:val="PageNumber"/>
        <w:b/>
        <w:noProof/>
        <w:sz w:val="20"/>
      </w:rPr>
      <w:t>87</w:t>
    </w:r>
    <w:r w:rsidRPr="00463AB6">
      <w:rPr>
        <w:rStyle w:val="PageNumber"/>
        <w:b/>
        <w:sz w:val="20"/>
      </w:rPr>
      <w:fldChar w:fldCharType="end"/>
    </w:r>
  </w:p>
  <w:p w14:paraId="7D8E0005" w14:textId="4BA3C171" w:rsidR="004A3C48" w:rsidRDefault="004A3C48" w:rsidP="002E5560">
    <w:pPr>
      <w:pStyle w:val="Footer"/>
      <w:tabs>
        <w:tab w:val="clear" w:pos="4320"/>
        <w:tab w:val="clear" w:pos="8640"/>
      </w:tabs>
      <w:jc w:val="center"/>
      <w:rPr>
        <w:sz w:val="20"/>
      </w:rPr>
    </w:pPr>
    <w:r>
      <w:rPr>
        <w:sz w:val="16"/>
        <w:szCs w:val="16"/>
      </w:rPr>
      <w:t>This document is proprietary and is to be used only as authorized. No part is to be reproduced, disclosed to others, or quoted without prior written authorization from IDRI.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4DB3D" w14:textId="77777777" w:rsidR="004A3C48" w:rsidRDefault="004A3C48">
      <w:r>
        <w:separator/>
      </w:r>
    </w:p>
  </w:footnote>
  <w:footnote w:type="continuationSeparator" w:id="0">
    <w:p w14:paraId="29E44BDB" w14:textId="77777777" w:rsidR="004A3C48" w:rsidRDefault="004A3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36301" w14:textId="13C6B20A" w:rsidR="004A3C48" w:rsidRPr="001C4280" w:rsidRDefault="004A3C48" w:rsidP="00E21053">
    <w:pPr>
      <w:pStyle w:val="Header"/>
      <w:tabs>
        <w:tab w:val="clear" w:pos="8640"/>
        <w:tab w:val="right" w:pos="9360"/>
      </w:tabs>
      <w:rPr>
        <w:sz w:val="20"/>
      </w:rPr>
    </w:pPr>
    <w:r>
      <w:rPr>
        <w:sz w:val="20"/>
      </w:rPr>
      <w:t xml:space="preserve">Protocol </w:t>
    </w:r>
    <w:r w:rsidRPr="001C4280">
      <w:rPr>
        <w:sz w:val="20"/>
      </w:rPr>
      <w:t>IDRI-TBVPX-203 version</w:t>
    </w:r>
    <w:r>
      <w:rPr>
        <w:sz w:val="20"/>
      </w:rPr>
      <w:t xml:space="preserve"> 1.3</w:t>
    </w:r>
    <w:r w:rsidRPr="001C4280">
      <w:rPr>
        <w:sz w:val="20"/>
      </w:rPr>
      <w:tab/>
    </w:r>
    <w:r w:rsidRPr="001C4280">
      <w:rPr>
        <w:sz w:val="20"/>
      </w:rPr>
      <w:tab/>
    </w:r>
    <w:r>
      <w:rPr>
        <w:sz w:val="20"/>
      </w:rPr>
      <w:t>14 Jan 2016</w:t>
    </w:r>
  </w:p>
  <w:p w14:paraId="1EB22731" w14:textId="77777777" w:rsidR="004A3C48" w:rsidRDefault="004A3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2BE"/>
    <w:multiLevelType w:val="hybridMultilevel"/>
    <w:tmpl w:val="FE18A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61F1D"/>
    <w:multiLevelType w:val="hybridMultilevel"/>
    <w:tmpl w:val="C6A08890"/>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 w15:restartNumberingAfterBreak="0">
    <w:nsid w:val="08AD7C08"/>
    <w:multiLevelType w:val="hybridMultilevel"/>
    <w:tmpl w:val="218E8B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5D2E2D"/>
    <w:multiLevelType w:val="hybridMultilevel"/>
    <w:tmpl w:val="654C8B5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0BF2005A"/>
    <w:multiLevelType w:val="hybridMultilevel"/>
    <w:tmpl w:val="675A7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847FCC"/>
    <w:multiLevelType w:val="hybridMultilevel"/>
    <w:tmpl w:val="1A46416C"/>
    <w:lvl w:ilvl="0" w:tplc="94EE0C66">
      <w:start w:val="6"/>
      <w:numFmt w:val="bullet"/>
      <w:lvlText w:val="•"/>
      <w:lvlJc w:val="left"/>
      <w:pPr>
        <w:ind w:left="720" w:hanging="360"/>
      </w:pPr>
      <w:rPr>
        <w:rFonts w:ascii="Times New Roman" w:hAnsi="Times New Roman" w:hint="default"/>
        <w:caps w:val="0"/>
        <w:strike w:val="0"/>
        <w:dstrike w:val="0"/>
        <w:vanish w:val="0"/>
        <w:sz w:val="24"/>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E7ED7"/>
    <w:multiLevelType w:val="hybridMultilevel"/>
    <w:tmpl w:val="041E2DD2"/>
    <w:lvl w:ilvl="0" w:tplc="04090001">
      <w:start w:val="1"/>
      <w:numFmt w:val="decimal"/>
      <w:lvlText w:val="%1."/>
      <w:lvlJc w:val="left"/>
      <w:pPr>
        <w:ind w:left="360" w:hanging="360"/>
      </w:pPr>
      <w:rPr>
        <w:rFonts w:cs="Times New Roman"/>
      </w:rPr>
    </w:lvl>
    <w:lvl w:ilvl="1" w:tplc="04090003">
      <w:start w:val="1"/>
      <w:numFmt w:val="lowerLetter"/>
      <w:lvlText w:val="%2."/>
      <w:lvlJc w:val="left"/>
      <w:pPr>
        <w:ind w:left="1080" w:hanging="360"/>
      </w:pPr>
      <w:rPr>
        <w:rFonts w:cs="Times New Roman"/>
      </w:rPr>
    </w:lvl>
    <w:lvl w:ilvl="2" w:tplc="04090005">
      <w:start w:val="1"/>
      <w:numFmt w:val="lowerRoman"/>
      <w:lvlText w:val="%3."/>
      <w:lvlJc w:val="right"/>
      <w:pPr>
        <w:ind w:left="1800" w:hanging="180"/>
      </w:pPr>
      <w:rPr>
        <w:rFonts w:cs="Times New Roman"/>
      </w:rPr>
    </w:lvl>
    <w:lvl w:ilvl="3" w:tplc="04090001">
      <w:start w:val="1"/>
      <w:numFmt w:val="decimal"/>
      <w:lvlText w:val="%4."/>
      <w:lvlJc w:val="left"/>
      <w:pPr>
        <w:ind w:left="2520" w:hanging="360"/>
      </w:pPr>
      <w:rPr>
        <w:rFonts w:cs="Times New Roman"/>
      </w:rPr>
    </w:lvl>
    <w:lvl w:ilvl="4" w:tplc="04090003">
      <w:start w:val="1"/>
      <w:numFmt w:val="lowerLetter"/>
      <w:lvlText w:val="%5."/>
      <w:lvlJc w:val="left"/>
      <w:pPr>
        <w:ind w:left="3240" w:hanging="360"/>
      </w:pPr>
      <w:rPr>
        <w:rFonts w:cs="Times New Roman"/>
      </w:rPr>
    </w:lvl>
    <w:lvl w:ilvl="5" w:tplc="04090005">
      <w:start w:val="1"/>
      <w:numFmt w:val="lowerRoman"/>
      <w:lvlText w:val="%6."/>
      <w:lvlJc w:val="right"/>
      <w:pPr>
        <w:ind w:left="3960" w:hanging="180"/>
      </w:pPr>
      <w:rPr>
        <w:rFonts w:cs="Times New Roman"/>
      </w:rPr>
    </w:lvl>
    <w:lvl w:ilvl="6" w:tplc="04090001">
      <w:start w:val="1"/>
      <w:numFmt w:val="decimal"/>
      <w:lvlText w:val="%7."/>
      <w:lvlJc w:val="left"/>
      <w:pPr>
        <w:ind w:left="4680" w:hanging="360"/>
      </w:pPr>
      <w:rPr>
        <w:rFonts w:cs="Times New Roman"/>
      </w:rPr>
    </w:lvl>
    <w:lvl w:ilvl="7" w:tplc="04090003">
      <w:start w:val="1"/>
      <w:numFmt w:val="lowerLetter"/>
      <w:lvlText w:val="%8."/>
      <w:lvlJc w:val="left"/>
      <w:pPr>
        <w:ind w:left="5400" w:hanging="360"/>
      </w:pPr>
      <w:rPr>
        <w:rFonts w:cs="Times New Roman"/>
      </w:rPr>
    </w:lvl>
    <w:lvl w:ilvl="8" w:tplc="04090005">
      <w:start w:val="1"/>
      <w:numFmt w:val="lowerRoman"/>
      <w:lvlText w:val="%9."/>
      <w:lvlJc w:val="right"/>
      <w:pPr>
        <w:ind w:left="6120" w:hanging="180"/>
      </w:pPr>
      <w:rPr>
        <w:rFonts w:cs="Times New Roman"/>
      </w:rPr>
    </w:lvl>
  </w:abstractNum>
  <w:abstractNum w:abstractNumId="7" w15:restartNumberingAfterBreak="0">
    <w:nsid w:val="16B3149C"/>
    <w:multiLevelType w:val="hybridMultilevel"/>
    <w:tmpl w:val="B27E117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16E2034D"/>
    <w:multiLevelType w:val="hybridMultilevel"/>
    <w:tmpl w:val="802E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6748D"/>
    <w:multiLevelType w:val="hybridMultilevel"/>
    <w:tmpl w:val="1578F0B4"/>
    <w:lvl w:ilvl="0" w:tplc="0E4A9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7249C"/>
    <w:multiLevelType w:val="hybridMultilevel"/>
    <w:tmpl w:val="2C46F56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9DF283B"/>
    <w:multiLevelType w:val="hybridMultilevel"/>
    <w:tmpl w:val="1200DD3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20BE438E"/>
    <w:multiLevelType w:val="hybridMultilevel"/>
    <w:tmpl w:val="C19A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D626D"/>
    <w:multiLevelType w:val="hybridMultilevel"/>
    <w:tmpl w:val="516AC0FA"/>
    <w:lvl w:ilvl="0" w:tplc="6832E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6165"/>
    <w:multiLevelType w:val="hybridMultilevel"/>
    <w:tmpl w:val="6B40D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D3C3E"/>
    <w:multiLevelType w:val="hybridMultilevel"/>
    <w:tmpl w:val="8A1AB274"/>
    <w:lvl w:ilvl="0" w:tplc="934C36B0">
      <w:start w:val="3"/>
      <w:numFmt w:val="decimal"/>
      <w:lvlText w:val="%1."/>
      <w:lvlJc w:val="left"/>
      <w:pPr>
        <w:ind w:left="720" w:hanging="360"/>
      </w:pPr>
      <w:rPr>
        <w:rFonts w:hint="default"/>
        <w:b/>
        <w:bCs/>
        <w:i w:val="0"/>
        <w:i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C3D56E9"/>
    <w:multiLevelType w:val="hybridMultilevel"/>
    <w:tmpl w:val="05CA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63852"/>
    <w:multiLevelType w:val="hybridMultilevel"/>
    <w:tmpl w:val="CF242D6C"/>
    <w:lvl w:ilvl="0" w:tplc="0F76A8D2">
      <w:start w:val="1"/>
      <w:numFmt w:val="bullet"/>
      <w:lvlText w:val="•"/>
      <w:lvlJc w:val="left"/>
      <w:pPr>
        <w:tabs>
          <w:tab w:val="num" w:pos="720"/>
        </w:tabs>
        <w:ind w:left="720" w:hanging="360"/>
      </w:pPr>
      <w:rPr>
        <w:rFonts w:ascii="Arial" w:hAnsi="Arial" w:hint="default"/>
      </w:rPr>
    </w:lvl>
    <w:lvl w:ilvl="1" w:tplc="079C2850" w:tentative="1">
      <w:start w:val="1"/>
      <w:numFmt w:val="bullet"/>
      <w:lvlText w:val="•"/>
      <w:lvlJc w:val="left"/>
      <w:pPr>
        <w:tabs>
          <w:tab w:val="num" w:pos="1440"/>
        </w:tabs>
        <w:ind w:left="1440" w:hanging="360"/>
      </w:pPr>
      <w:rPr>
        <w:rFonts w:ascii="Arial" w:hAnsi="Arial" w:hint="default"/>
      </w:rPr>
    </w:lvl>
    <w:lvl w:ilvl="2" w:tplc="F61C1346" w:tentative="1">
      <w:start w:val="1"/>
      <w:numFmt w:val="bullet"/>
      <w:lvlText w:val="•"/>
      <w:lvlJc w:val="left"/>
      <w:pPr>
        <w:tabs>
          <w:tab w:val="num" w:pos="2160"/>
        </w:tabs>
        <w:ind w:left="2160" w:hanging="360"/>
      </w:pPr>
      <w:rPr>
        <w:rFonts w:ascii="Arial" w:hAnsi="Arial" w:hint="default"/>
      </w:rPr>
    </w:lvl>
    <w:lvl w:ilvl="3" w:tplc="D3C23F68" w:tentative="1">
      <w:start w:val="1"/>
      <w:numFmt w:val="bullet"/>
      <w:lvlText w:val="•"/>
      <w:lvlJc w:val="left"/>
      <w:pPr>
        <w:tabs>
          <w:tab w:val="num" w:pos="2880"/>
        </w:tabs>
        <w:ind w:left="2880" w:hanging="360"/>
      </w:pPr>
      <w:rPr>
        <w:rFonts w:ascii="Arial" w:hAnsi="Arial" w:hint="default"/>
      </w:rPr>
    </w:lvl>
    <w:lvl w:ilvl="4" w:tplc="0736EE40" w:tentative="1">
      <w:start w:val="1"/>
      <w:numFmt w:val="bullet"/>
      <w:lvlText w:val="•"/>
      <w:lvlJc w:val="left"/>
      <w:pPr>
        <w:tabs>
          <w:tab w:val="num" w:pos="3600"/>
        </w:tabs>
        <w:ind w:left="3600" w:hanging="360"/>
      </w:pPr>
      <w:rPr>
        <w:rFonts w:ascii="Arial" w:hAnsi="Arial" w:hint="default"/>
      </w:rPr>
    </w:lvl>
    <w:lvl w:ilvl="5" w:tplc="92040984" w:tentative="1">
      <w:start w:val="1"/>
      <w:numFmt w:val="bullet"/>
      <w:lvlText w:val="•"/>
      <w:lvlJc w:val="left"/>
      <w:pPr>
        <w:tabs>
          <w:tab w:val="num" w:pos="4320"/>
        </w:tabs>
        <w:ind w:left="4320" w:hanging="360"/>
      </w:pPr>
      <w:rPr>
        <w:rFonts w:ascii="Arial" w:hAnsi="Arial" w:hint="default"/>
      </w:rPr>
    </w:lvl>
    <w:lvl w:ilvl="6" w:tplc="5544735E" w:tentative="1">
      <w:start w:val="1"/>
      <w:numFmt w:val="bullet"/>
      <w:lvlText w:val="•"/>
      <w:lvlJc w:val="left"/>
      <w:pPr>
        <w:tabs>
          <w:tab w:val="num" w:pos="5040"/>
        </w:tabs>
        <w:ind w:left="5040" w:hanging="360"/>
      </w:pPr>
      <w:rPr>
        <w:rFonts w:ascii="Arial" w:hAnsi="Arial" w:hint="default"/>
      </w:rPr>
    </w:lvl>
    <w:lvl w:ilvl="7" w:tplc="7048195E" w:tentative="1">
      <w:start w:val="1"/>
      <w:numFmt w:val="bullet"/>
      <w:lvlText w:val="•"/>
      <w:lvlJc w:val="left"/>
      <w:pPr>
        <w:tabs>
          <w:tab w:val="num" w:pos="5760"/>
        </w:tabs>
        <w:ind w:left="5760" w:hanging="360"/>
      </w:pPr>
      <w:rPr>
        <w:rFonts w:ascii="Arial" w:hAnsi="Arial" w:hint="default"/>
      </w:rPr>
    </w:lvl>
    <w:lvl w:ilvl="8" w:tplc="98907B6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F1A2ED5"/>
    <w:multiLevelType w:val="hybridMultilevel"/>
    <w:tmpl w:val="DA70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6E3078"/>
    <w:multiLevelType w:val="hybridMultilevel"/>
    <w:tmpl w:val="49DA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AF54CF"/>
    <w:multiLevelType w:val="hybridMultilevel"/>
    <w:tmpl w:val="A5343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B17CE5"/>
    <w:multiLevelType w:val="hybridMultilevel"/>
    <w:tmpl w:val="041E2DD2"/>
    <w:lvl w:ilvl="0" w:tplc="04090001">
      <w:start w:val="1"/>
      <w:numFmt w:val="decimal"/>
      <w:lvlText w:val="%1."/>
      <w:lvlJc w:val="left"/>
      <w:pPr>
        <w:ind w:left="360" w:hanging="360"/>
      </w:pPr>
      <w:rPr>
        <w:rFonts w:cs="Times New Roman"/>
      </w:rPr>
    </w:lvl>
    <w:lvl w:ilvl="1" w:tplc="04090003">
      <w:start w:val="1"/>
      <w:numFmt w:val="lowerLetter"/>
      <w:lvlText w:val="%2."/>
      <w:lvlJc w:val="left"/>
      <w:pPr>
        <w:ind w:left="1080" w:hanging="360"/>
      </w:pPr>
      <w:rPr>
        <w:rFonts w:cs="Times New Roman"/>
      </w:rPr>
    </w:lvl>
    <w:lvl w:ilvl="2" w:tplc="04090005">
      <w:start w:val="1"/>
      <w:numFmt w:val="lowerRoman"/>
      <w:lvlText w:val="%3."/>
      <w:lvlJc w:val="right"/>
      <w:pPr>
        <w:ind w:left="1800" w:hanging="180"/>
      </w:pPr>
      <w:rPr>
        <w:rFonts w:cs="Times New Roman"/>
      </w:rPr>
    </w:lvl>
    <w:lvl w:ilvl="3" w:tplc="04090001">
      <w:start w:val="1"/>
      <w:numFmt w:val="decimal"/>
      <w:lvlText w:val="%4."/>
      <w:lvlJc w:val="left"/>
      <w:pPr>
        <w:ind w:left="2520" w:hanging="360"/>
      </w:pPr>
      <w:rPr>
        <w:rFonts w:cs="Times New Roman"/>
      </w:rPr>
    </w:lvl>
    <w:lvl w:ilvl="4" w:tplc="04090003">
      <w:start w:val="1"/>
      <w:numFmt w:val="lowerLetter"/>
      <w:lvlText w:val="%5."/>
      <w:lvlJc w:val="left"/>
      <w:pPr>
        <w:ind w:left="3240" w:hanging="360"/>
      </w:pPr>
      <w:rPr>
        <w:rFonts w:cs="Times New Roman"/>
      </w:rPr>
    </w:lvl>
    <w:lvl w:ilvl="5" w:tplc="04090005">
      <w:start w:val="1"/>
      <w:numFmt w:val="lowerRoman"/>
      <w:lvlText w:val="%6."/>
      <w:lvlJc w:val="right"/>
      <w:pPr>
        <w:ind w:left="3960" w:hanging="180"/>
      </w:pPr>
      <w:rPr>
        <w:rFonts w:cs="Times New Roman"/>
      </w:rPr>
    </w:lvl>
    <w:lvl w:ilvl="6" w:tplc="04090001">
      <w:start w:val="1"/>
      <w:numFmt w:val="decimal"/>
      <w:lvlText w:val="%7."/>
      <w:lvlJc w:val="left"/>
      <w:pPr>
        <w:ind w:left="4680" w:hanging="360"/>
      </w:pPr>
      <w:rPr>
        <w:rFonts w:cs="Times New Roman"/>
      </w:rPr>
    </w:lvl>
    <w:lvl w:ilvl="7" w:tplc="04090003">
      <w:start w:val="1"/>
      <w:numFmt w:val="lowerLetter"/>
      <w:lvlText w:val="%8."/>
      <w:lvlJc w:val="left"/>
      <w:pPr>
        <w:ind w:left="5400" w:hanging="360"/>
      </w:pPr>
      <w:rPr>
        <w:rFonts w:cs="Times New Roman"/>
      </w:rPr>
    </w:lvl>
    <w:lvl w:ilvl="8" w:tplc="04090005">
      <w:start w:val="1"/>
      <w:numFmt w:val="lowerRoman"/>
      <w:lvlText w:val="%9."/>
      <w:lvlJc w:val="right"/>
      <w:pPr>
        <w:ind w:left="6120" w:hanging="180"/>
      </w:pPr>
      <w:rPr>
        <w:rFonts w:cs="Times New Roman"/>
      </w:rPr>
    </w:lvl>
  </w:abstractNum>
  <w:abstractNum w:abstractNumId="22" w15:restartNumberingAfterBreak="0">
    <w:nsid w:val="36EF381B"/>
    <w:multiLevelType w:val="hybridMultilevel"/>
    <w:tmpl w:val="5418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557F87"/>
    <w:multiLevelType w:val="hybridMultilevel"/>
    <w:tmpl w:val="50A07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F70FA1"/>
    <w:multiLevelType w:val="hybridMultilevel"/>
    <w:tmpl w:val="AC62C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BCA6ACD"/>
    <w:multiLevelType w:val="hybridMultilevel"/>
    <w:tmpl w:val="E9E8F56A"/>
    <w:lvl w:ilvl="0" w:tplc="04090001">
      <w:start w:val="1"/>
      <w:numFmt w:val="decimal"/>
      <w:lvlText w:val="%1."/>
      <w:lvlJc w:val="left"/>
      <w:pPr>
        <w:tabs>
          <w:tab w:val="num" w:pos="1440"/>
        </w:tabs>
        <w:ind w:left="1440" w:hanging="360"/>
      </w:p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C1B0922"/>
    <w:multiLevelType w:val="hybridMultilevel"/>
    <w:tmpl w:val="F990A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D58273E"/>
    <w:multiLevelType w:val="hybridMultilevel"/>
    <w:tmpl w:val="63E49BC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8" w15:restartNumberingAfterBreak="0">
    <w:nsid w:val="3DC7426C"/>
    <w:multiLevelType w:val="hybridMultilevel"/>
    <w:tmpl w:val="C2941B60"/>
    <w:lvl w:ilvl="0" w:tplc="94EE0C66">
      <w:start w:val="6"/>
      <w:numFmt w:val="bullet"/>
      <w:lvlText w:val="•"/>
      <w:lvlJc w:val="left"/>
      <w:pPr>
        <w:ind w:left="720" w:hanging="360"/>
      </w:pPr>
      <w:rPr>
        <w:rFonts w:ascii="Times New Roman" w:hAnsi="Times New Roman" w:hint="default"/>
        <w:caps w:val="0"/>
        <w:strike w:val="0"/>
        <w:dstrike w:val="0"/>
        <w:vanish w:val="0"/>
        <w:sz w:val="24"/>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EA67E1"/>
    <w:multiLevelType w:val="hybridMultilevel"/>
    <w:tmpl w:val="041E2DD2"/>
    <w:lvl w:ilvl="0" w:tplc="04090001">
      <w:start w:val="1"/>
      <w:numFmt w:val="decimal"/>
      <w:lvlText w:val="%1."/>
      <w:lvlJc w:val="left"/>
      <w:pPr>
        <w:ind w:left="360" w:hanging="360"/>
      </w:pPr>
      <w:rPr>
        <w:rFonts w:cs="Times New Roman"/>
      </w:rPr>
    </w:lvl>
    <w:lvl w:ilvl="1" w:tplc="04090003">
      <w:start w:val="1"/>
      <w:numFmt w:val="lowerLetter"/>
      <w:lvlText w:val="%2."/>
      <w:lvlJc w:val="left"/>
      <w:pPr>
        <w:ind w:left="1080" w:hanging="360"/>
      </w:pPr>
      <w:rPr>
        <w:rFonts w:cs="Times New Roman"/>
      </w:rPr>
    </w:lvl>
    <w:lvl w:ilvl="2" w:tplc="04090005">
      <w:start w:val="1"/>
      <w:numFmt w:val="lowerRoman"/>
      <w:lvlText w:val="%3."/>
      <w:lvlJc w:val="right"/>
      <w:pPr>
        <w:ind w:left="1800" w:hanging="180"/>
      </w:pPr>
      <w:rPr>
        <w:rFonts w:cs="Times New Roman"/>
      </w:rPr>
    </w:lvl>
    <w:lvl w:ilvl="3" w:tplc="04090001">
      <w:start w:val="1"/>
      <w:numFmt w:val="decimal"/>
      <w:lvlText w:val="%4."/>
      <w:lvlJc w:val="left"/>
      <w:pPr>
        <w:ind w:left="2520" w:hanging="360"/>
      </w:pPr>
      <w:rPr>
        <w:rFonts w:cs="Times New Roman"/>
      </w:rPr>
    </w:lvl>
    <w:lvl w:ilvl="4" w:tplc="04090003">
      <w:start w:val="1"/>
      <w:numFmt w:val="lowerLetter"/>
      <w:lvlText w:val="%5."/>
      <w:lvlJc w:val="left"/>
      <w:pPr>
        <w:ind w:left="3240" w:hanging="360"/>
      </w:pPr>
      <w:rPr>
        <w:rFonts w:cs="Times New Roman"/>
      </w:rPr>
    </w:lvl>
    <w:lvl w:ilvl="5" w:tplc="04090005">
      <w:start w:val="1"/>
      <w:numFmt w:val="lowerRoman"/>
      <w:lvlText w:val="%6."/>
      <w:lvlJc w:val="right"/>
      <w:pPr>
        <w:ind w:left="3960" w:hanging="180"/>
      </w:pPr>
      <w:rPr>
        <w:rFonts w:cs="Times New Roman"/>
      </w:rPr>
    </w:lvl>
    <w:lvl w:ilvl="6" w:tplc="04090001">
      <w:start w:val="1"/>
      <w:numFmt w:val="decimal"/>
      <w:lvlText w:val="%7."/>
      <w:lvlJc w:val="left"/>
      <w:pPr>
        <w:ind w:left="4680" w:hanging="360"/>
      </w:pPr>
      <w:rPr>
        <w:rFonts w:cs="Times New Roman"/>
      </w:rPr>
    </w:lvl>
    <w:lvl w:ilvl="7" w:tplc="04090003">
      <w:start w:val="1"/>
      <w:numFmt w:val="lowerLetter"/>
      <w:lvlText w:val="%8."/>
      <w:lvlJc w:val="left"/>
      <w:pPr>
        <w:ind w:left="5400" w:hanging="360"/>
      </w:pPr>
      <w:rPr>
        <w:rFonts w:cs="Times New Roman"/>
      </w:rPr>
    </w:lvl>
    <w:lvl w:ilvl="8" w:tplc="04090005">
      <w:start w:val="1"/>
      <w:numFmt w:val="lowerRoman"/>
      <w:lvlText w:val="%9."/>
      <w:lvlJc w:val="right"/>
      <w:pPr>
        <w:ind w:left="6120" w:hanging="180"/>
      </w:pPr>
      <w:rPr>
        <w:rFonts w:cs="Times New Roman"/>
      </w:rPr>
    </w:lvl>
  </w:abstractNum>
  <w:abstractNum w:abstractNumId="30" w15:restartNumberingAfterBreak="0">
    <w:nsid w:val="41104664"/>
    <w:multiLevelType w:val="hybridMultilevel"/>
    <w:tmpl w:val="60C499DE"/>
    <w:lvl w:ilvl="0" w:tplc="06AE862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CC0A43"/>
    <w:multiLevelType w:val="hybridMultilevel"/>
    <w:tmpl w:val="C7E0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660E6F"/>
    <w:multiLevelType w:val="hybridMultilevel"/>
    <w:tmpl w:val="B9E62BC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3" w15:restartNumberingAfterBreak="0">
    <w:nsid w:val="48C60EFC"/>
    <w:multiLevelType w:val="hybridMultilevel"/>
    <w:tmpl w:val="C2ACF002"/>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B3A0B3A4">
      <w:start w:val="1"/>
      <w:numFmt w:val="bullet"/>
      <w:lvlText w:val="–"/>
      <w:lvlJc w:val="left"/>
      <w:pPr>
        <w:ind w:left="3600" w:hanging="360"/>
      </w:pPr>
      <w:rPr>
        <w:rFonts w:ascii="Calibri" w:eastAsiaTheme="minorHAnsi" w:hAnsi="Calibri" w:cs="Calibri" w:hint="default"/>
      </w:rPr>
    </w:lvl>
    <w:lvl w:ilvl="4" w:tplc="1C090003">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4" w15:restartNumberingAfterBreak="0">
    <w:nsid w:val="499F2324"/>
    <w:multiLevelType w:val="hybridMultilevel"/>
    <w:tmpl w:val="AFCA8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B165A5E"/>
    <w:multiLevelType w:val="hybridMultilevel"/>
    <w:tmpl w:val="EBFC9FA4"/>
    <w:lvl w:ilvl="0" w:tplc="46D25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D13996"/>
    <w:multiLevelType w:val="hybridMultilevel"/>
    <w:tmpl w:val="B7F26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1254914"/>
    <w:multiLevelType w:val="hybridMultilevel"/>
    <w:tmpl w:val="250A704C"/>
    <w:lvl w:ilvl="0" w:tplc="4AAE5A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52C94270"/>
    <w:multiLevelType w:val="hybridMultilevel"/>
    <w:tmpl w:val="E568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AA5721"/>
    <w:multiLevelType w:val="hybridMultilevel"/>
    <w:tmpl w:val="C4708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BE20D5"/>
    <w:multiLevelType w:val="hybridMultilevel"/>
    <w:tmpl w:val="60B8DDFE"/>
    <w:lvl w:ilvl="0" w:tplc="94EE0C66">
      <w:start w:val="6"/>
      <w:numFmt w:val="bullet"/>
      <w:lvlText w:val="•"/>
      <w:lvlJc w:val="left"/>
      <w:pPr>
        <w:ind w:left="720" w:hanging="360"/>
      </w:pPr>
      <w:rPr>
        <w:rFonts w:ascii="Times New Roman" w:hAnsi="Times New Roman" w:hint="default"/>
        <w:caps w:val="0"/>
        <w:strike w:val="0"/>
        <w:dstrike w:val="0"/>
        <w:vanish w:val="0"/>
        <w:sz w:val="24"/>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6D4FCD"/>
    <w:multiLevelType w:val="hybridMultilevel"/>
    <w:tmpl w:val="73F2A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6A06C9"/>
    <w:multiLevelType w:val="multilevel"/>
    <w:tmpl w:val="ADECC63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550"/>
        </w:tabs>
        <w:ind w:left="1550" w:hanging="864"/>
      </w:pPr>
      <w:rPr>
        <w:rFonts w:hint="default"/>
      </w:rPr>
    </w:lvl>
    <w:lvl w:ilvl="3">
      <w:start w:val="1"/>
      <w:numFmt w:val="decimal"/>
      <w:lvlText w:val="%1.%2.%3.%4"/>
      <w:lvlJc w:val="left"/>
      <w:pPr>
        <w:tabs>
          <w:tab w:val="num" w:pos="2160"/>
        </w:tabs>
        <w:ind w:left="2160" w:hanging="1080"/>
      </w:pPr>
      <w:rPr>
        <w:rFonts w:hint="default"/>
      </w:rPr>
    </w:lvl>
    <w:lvl w:ilvl="4">
      <w:start w:val="1"/>
      <w:numFmt w:val="none"/>
      <w:lvlRestart w:val="0"/>
      <w:lvlText w:val=""/>
      <w:lvlJc w:val="left"/>
      <w:pPr>
        <w:tabs>
          <w:tab w:val="num" w:pos="2160"/>
        </w:tabs>
        <w:ind w:left="2160" w:hanging="720"/>
      </w:pPr>
      <w:rPr>
        <w:rFonts w:hint="default"/>
      </w:rPr>
    </w:lvl>
    <w:lvl w:ilvl="5">
      <w:start w:val="1"/>
      <w:numFmt w:val="decimal"/>
      <w:lvlText w:val="%1.%2.%3.%4.%5.%6."/>
      <w:lvlJc w:val="left"/>
      <w:pPr>
        <w:tabs>
          <w:tab w:val="num" w:pos="5040"/>
        </w:tabs>
        <w:ind w:left="4896" w:hanging="936"/>
      </w:pPr>
      <w:rPr>
        <w:rFonts w:hint="default"/>
      </w:rPr>
    </w:lvl>
    <w:lvl w:ilvl="6">
      <w:start w:val="1"/>
      <w:numFmt w:val="decimal"/>
      <w:lvlText w:val="%1.%2.%3.%4.%5.%6.%7."/>
      <w:lvlJc w:val="left"/>
      <w:pPr>
        <w:tabs>
          <w:tab w:val="num" w:pos="5760"/>
        </w:tabs>
        <w:ind w:left="5400" w:hanging="1080"/>
      </w:pPr>
      <w:rPr>
        <w:rFonts w:hint="default"/>
      </w:rPr>
    </w:lvl>
    <w:lvl w:ilvl="7">
      <w:start w:val="1"/>
      <w:numFmt w:val="decimal"/>
      <w:lvlText w:val="%1.%2.%3.%4.%5.%6.%7.%8."/>
      <w:lvlJc w:val="left"/>
      <w:pPr>
        <w:tabs>
          <w:tab w:val="num" w:pos="6120"/>
        </w:tabs>
        <w:ind w:left="5904" w:hanging="1224"/>
      </w:pPr>
      <w:rPr>
        <w:rFonts w:hint="default"/>
      </w:rPr>
    </w:lvl>
    <w:lvl w:ilvl="8">
      <w:start w:val="1"/>
      <w:numFmt w:val="decimal"/>
      <w:lvlText w:val="%1.%2.%3.%4.%5.%6.%7.%8.%9."/>
      <w:lvlJc w:val="left"/>
      <w:pPr>
        <w:tabs>
          <w:tab w:val="num" w:pos="6840"/>
        </w:tabs>
        <w:ind w:left="6480" w:hanging="1440"/>
      </w:pPr>
      <w:rPr>
        <w:rFonts w:hint="default"/>
      </w:rPr>
    </w:lvl>
  </w:abstractNum>
  <w:abstractNum w:abstractNumId="43" w15:restartNumberingAfterBreak="0">
    <w:nsid w:val="59834938"/>
    <w:multiLevelType w:val="hybridMultilevel"/>
    <w:tmpl w:val="BA3E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59B84140"/>
    <w:multiLevelType w:val="hybridMultilevel"/>
    <w:tmpl w:val="D2AE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727ADE"/>
    <w:multiLevelType w:val="hybridMultilevel"/>
    <w:tmpl w:val="EEDE67A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6" w15:restartNumberingAfterBreak="0">
    <w:nsid w:val="5F447F8C"/>
    <w:multiLevelType w:val="multilevel"/>
    <w:tmpl w:val="5866D6A0"/>
    <w:lvl w:ilvl="0">
      <w:start w:val="1"/>
      <w:numFmt w:val="decimal"/>
      <w:pStyle w:val="Heading1"/>
      <w:lvlText w:val="%1"/>
      <w:lvlJc w:val="left"/>
      <w:pPr>
        <w:tabs>
          <w:tab w:val="num" w:pos="720"/>
        </w:tabs>
        <w:ind w:left="720" w:hanging="720"/>
      </w:pPr>
      <w:rPr>
        <w:rFonts w:ascii="Arial" w:hAnsi="Arial" w:cs="Times New Roman" w:hint="default"/>
        <w:b/>
        <w:i w:val="0"/>
        <w:sz w:val="32"/>
        <w:szCs w:val="32"/>
      </w:rPr>
    </w:lvl>
    <w:lvl w:ilvl="1">
      <w:start w:val="1"/>
      <w:numFmt w:val="decimal"/>
      <w:pStyle w:val="Heading2"/>
      <w:lvlText w:val="%1.%2"/>
      <w:lvlJc w:val="left"/>
      <w:pPr>
        <w:tabs>
          <w:tab w:val="num" w:pos="720"/>
        </w:tabs>
        <w:ind w:left="720" w:hanging="720"/>
      </w:pPr>
      <w:rPr>
        <w:rFonts w:cs="Times New Roman" w:hint="default"/>
        <w:b/>
      </w:rPr>
    </w:lvl>
    <w:lvl w:ilvl="2">
      <w:start w:val="1"/>
      <w:numFmt w:val="decimal"/>
      <w:pStyle w:val="Heading3"/>
      <w:lvlText w:val="%1.%2.%3"/>
      <w:lvlJc w:val="left"/>
      <w:pPr>
        <w:tabs>
          <w:tab w:val="num" w:pos="1440"/>
        </w:tabs>
        <w:ind w:left="1440" w:hanging="720"/>
      </w:pPr>
      <w:rPr>
        <w:rFonts w:ascii="Arial" w:hAnsi="Arial" w:cs="Times New Roman" w:hint="default"/>
        <w:b/>
        <w:i w:val="0"/>
        <w:sz w:val="24"/>
      </w:rPr>
    </w:lvl>
    <w:lvl w:ilvl="3">
      <w:start w:val="1"/>
      <w:numFmt w:val="decimal"/>
      <w:pStyle w:val="Heading4"/>
      <w:lvlText w:val="%1.%2.%3.%4"/>
      <w:lvlJc w:val="left"/>
      <w:pPr>
        <w:tabs>
          <w:tab w:val="num" w:pos="2160"/>
        </w:tabs>
        <w:ind w:left="1728" w:hanging="648"/>
      </w:pPr>
      <w:rPr>
        <w:rFonts w:cs="Times New Roman" w:hint="default"/>
      </w:rPr>
    </w:lvl>
    <w:lvl w:ilvl="4">
      <w:start w:val="1"/>
      <w:numFmt w:val="decimal"/>
      <w:pStyle w:val="Heading5"/>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47" w15:restartNumberingAfterBreak="0">
    <w:nsid w:val="5F73188E"/>
    <w:multiLevelType w:val="hybridMultilevel"/>
    <w:tmpl w:val="6F92B84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48" w15:restartNumberingAfterBreak="0">
    <w:nsid w:val="60265C19"/>
    <w:multiLevelType w:val="hybridMultilevel"/>
    <w:tmpl w:val="05EA3032"/>
    <w:lvl w:ilvl="0" w:tplc="06AE862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0F7C8B"/>
    <w:multiLevelType w:val="hybridMultilevel"/>
    <w:tmpl w:val="108885F0"/>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50" w15:restartNumberingAfterBreak="0">
    <w:nsid w:val="637A087A"/>
    <w:multiLevelType w:val="hybridMultilevel"/>
    <w:tmpl w:val="CCDE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6056B2"/>
    <w:multiLevelType w:val="hybridMultilevel"/>
    <w:tmpl w:val="041E2DD2"/>
    <w:lvl w:ilvl="0" w:tplc="04090001">
      <w:start w:val="1"/>
      <w:numFmt w:val="decimal"/>
      <w:lvlText w:val="%1."/>
      <w:lvlJc w:val="left"/>
      <w:pPr>
        <w:ind w:left="360" w:hanging="360"/>
      </w:pPr>
      <w:rPr>
        <w:rFonts w:cs="Times New Roman"/>
      </w:rPr>
    </w:lvl>
    <w:lvl w:ilvl="1" w:tplc="04090003">
      <w:start w:val="1"/>
      <w:numFmt w:val="lowerLetter"/>
      <w:lvlText w:val="%2."/>
      <w:lvlJc w:val="left"/>
      <w:pPr>
        <w:ind w:left="1080" w:hanging="360"/>
      </w:pPr>
      <w:rPr>
        <w:rFonts w:cs="Times New Roman"/>
      </w:rPr>
    </w:lvl>
    <w:lvl w:ilvl="2" w:tplc="04090005">
      <w:start w:val="1"/>
      <w:numFmt w:val="lowerRoman"/>
      <w:lvlText w:val="%3."/>
      <w:lvlJc w:val="right"/>
      <w:pPr>
        <w:ind w:left="1800" w:hanging="180"/>
      </w:pPr>
      <w:rPr>
        <w:rFonts w:cs="Times New Roman"/>
      </w:rPr>
    </w:lvl>
    <w:lvl w:ilvl="3" w:tplc="04090001">
      <w:start w:val="1"/>
      <w:numFmt w:val="decimal"/>
      <w:lvlText w:val="%4."/>
      <w:lvlJc w:val="left"/>
      <w:pPr>
        <w:ind w:left="2520" w:hanging="360"/>
      </w:pPr>
      <w:rPr>
        <w:rFonts w:cs="Times New Roman"/>
      </w:rPr>
    </w:lvl>
    <w:lvl w:ilvl="4" w:tplc="04090003">
      <w:start w:val="1"/>
      <w:numFmt w:val="lowerLetter"/>
      <w:lvlText w:val="%5."/>
      <w:lvlJc w:val="left"/>
      <w:pPr>
        <w:ind w:left="3240" w:hanging="360"/>
      </w:pPr>
      <w:rPr>
        <w:rFonts w:cs="Times New Roman"/>
      </w:rPr>
    </w:lvl>
    <w:lvl w:ilvl="5" w:tplc="04090005">
      <w:start w:val="1"/>
      <w:numFmt w:val="lowerRoman"/>
      <w:lvlText w:val="%6."/>
      <w:lvlJc w:val="right"/>
      <w:pPr>
        <w:ind w:left="3960" w:hanging="180"/>
      </w:pPr>
      <w:rPr>
        <w:rFonts w:cs="Times New Roman"/>
      </w:rPr>
    </w:lvl>
    <w:lvl w:ilvl="6" w:tplc="04090001">
      <w:start w:val="1"/>
      <w:numFmt w:val="decimal"/>
      <w:lvlText w:val="%7."/>
      <w:lvlJc w:val="left"/>
      <w:pPr>
        <w:ind w:left="4680" w:hanging="360"/>
      </w:pPr>
      <w:rPr>
        <w:rFonts w:cs="Times New Roman"/>
      </w:rPr>
    </w:lvl>
    <w:lvl w:ilvl="7" w:tplc="04090003">
      <w:start w:val="1"/>
      <w:numFmt w:val="lowerLetter"/>
      <w:lvlText w:val="%8."/>
      <w:lvlJc w:val="left"/>
      <w:pPr>
        <w:ind w:left="5400" w:hanging="360"/>
      </w:pPr>
      <w:rPr>
        <w:rFonts w:cs="Times New Roman"/>
      </w:rPr>
    </w:lvl>
    <w:lvl w:ilvl="8" w:tplc="04090005">
      <w:start w:val="1"/>
      <w:numFmt w:val="lowerRoman"/>
      <w:lvlText w:val="%9."/>
      <w:lvlJc w:val="right"/>
      <w:pPr>
        <w:ind w:left="6120" w:hanging="180"/>
      </w:pPr>
      <w:rPr>
        <w:rFonts w:cs="Times New Roman"/>
      </w:rPr>
    </w:lvl>
  </w:abstractNum>
  <w:abstractNum w:abstractNumId="52" w15:restartNumberingAfterBreak="0">
    <w:nsid w:val="69842E03"/>
    <w:multiLevelType w:val="hybridMultilevel"/>
    <w:tmpl w:val="C59C7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D4244B5"/>
    <w:multiLevelType w:val="hybridMultilevel"/>
    <w:tmpl w:val="BE6E1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E063185"/>
    <w:multiLevelType w:val="hybridMultilevel"/>
    <w:tmpl w:val="02CA7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1C439C0"/>
    <w:multiLevelType w:val="hybridMultilevel"/>
    <w:tmpl w:val="66DC72B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6" w15:restartNumberingAfterBreak="0">
    <w:nsid w:val="741F2068"/>
    <w:multiLevelType w:val="hybridMultilevel"/>
    <w:tmpl w:val="BD52816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7" w15:restartNumberingAfterBreak="0">
    <w:nsid w:val="7A252D76"/>
    <w:multiLevelType w:val="hybridMultilevel"/>
    <w:tmpl w:val="7B36263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8" w15:restartNumberingAfterBreak="0">
    <w:nsid w:val="7BDB4DC4"/>
    <w:multiLevelType w:val="hybridMultilevel"/>
    <w:tmpl w:val="5E12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E963D7"/>
    <w:multiLevelType w:val="hybridMultilevel"/>
    <w:tmpl w:val="04AA46A6"/>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60" w15:restartNumberingAfterBreak="0">
    <w:nsid w:val="7F604BCF"/>
    <w:multiLevelType w:val="hybridMultilevel"/>
    <w:tmpl w:val="FB02439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46"/>
  </w:num>
  <w:num w:numId="2">
    <w:abstractNumId w:val="43"/>
  </w:num>
  <w:num w:numId="3">
    <w:abstractNumId w:val="50"/>
  </w:num>
  <w:num w:numId="4">
    <w:abstractNumId w:val="10"/>
  </w:num>
  <w:num w:numId="5">
    <w:abstractNumId w:val="57"/>
  </w:num>
  <w:num w:numId="6">
    <w:abstractNumId w:val="47"/>
  </w:num>
  <w:num w:numId="7">
    <w:abstractNumId w:val="59"/>
  </w:num>
  <w:num w:numId="8">
    <w:abstractNumId w:val="49"/>
  </w:num>
  <w:num w:numId="9">
    <w:abstractNumId w:val="33"/>
  </w:num>
  <w:num w:numId="10">
    <w:abstractNumId w:val="55"/>
  </w:num>
  <w:num w:numId="11">
    <w:abstractNumId w:val="56"/>
  </w:num>
  <w:num w:numId="12">
    <w:abstractNumId w:val="60"/>
  </w:num>
  <w:num w:numId="13">
    <w:abstractNumId w:val="7"/>
  </w:num>
  <w:num w:numId="14">
    <w:abstractNumId w:val="3"/>
  </w:num>
  <w:num w:numId="15">
    <w:abstractNumId w:val="11"/>
  </w:num>
  <w:num w:numId="16">
    <w:abstractNumId w:val="27"/>
  </w:num>
  <w:num w:numId="17">
    <w:abstractNumId w:val="32"/>
  </w:num>
  <w:num w:numId="18">
    <w:abstractNumId w:val="42"/>
  </w:num>
  <w:num w:numId="19">
    <w:abstractNumId w:val="35"/>
  </w:num>
  <w:num w:numId="20">
    <w:abstractNumId w:val="13"/>
  </w:num>
  <w:num w:numId="21">
    <w:abstractNumId w:val="41"/>
  </w:num>
  <w:num w:numId="22">
    <w:abstractNumId w:val="9"/>
  </w:num>
  <w:num w:numId="23">
    <w:abstractNumId w:val="44"/>
  </w:num>
  <w:num w:numId="24">
    <w:abstractNumId w:val="8"/>
  </w:num>
  <w:num w:numId="25">
    <w:abstractNumId w:val="36"/>
  </w:num>
  <w:num w:numId="26">
    <w:abstractNumId w:val="39"/>
  </w:num>
  <w:num w:numId="27">
    <w:abstractNumId w:val="37"/>
  </w:num>
  <w:num w:numId="28">
    <w:abstractNumId w:val="15"/>
  </w:num>
  <w:num w:numId="29">
    <w:abstractNumId w:val="30"/>
  </w:num>
  <w:num w:numId="30">
    <w:abstractNumId w:val="48"/>
  </w:num>
  <w:num w:numId="31">
    <w:abstractNumId w:val="2"/>
  </w:num>
  <w:num w:numId="32">
    <w:abstractNumId w:val="29"/>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6"/>
  </w:num>
  <w:num w:numId="36">
    <w:abstractNumId w:val="21"/>
  </w:num>
  <w:num w:numId="37">
    <w:abstractNumId w:val="51"/>
  </w:num>
  <w:num w:numId="38">
    <w:abstractNumId w:val="12"/>
  </w:num>
  <w:num w:numId="39">
    <w:abstractNumId w:val="1"/>
  </w:num>
  <w:num w:numId="40">
    <w:abstractNumId w:val="28"/>
  </w:num>
  <w:num w:numId="41">
    <w:abstractNumId w:val="40"/>
  </w:num>
  <w:num w:numId="42">
    <w:abstractNumId w:val="25"/>
  </w:num>
  <w:num w:numId="43">
    <w:abstractNumId w:val="23"/>
  </w:num>
  <w:num w:numId="44">
    <w:abstractNumId w:val="53"/>
  </w:num>
  <w:num w:numId="45">
    <w:abstractNumId w:val="34"/>
  </w:num>
  <w:num w:numId="46">
    <w:abstractNumId w:val="24"/>
  </w:num>
  <w:num w:numId="47">
    <w:abstractNumId w:val="0"/>
  </w:num>
  <w:num w:numId="48">
    <w:abstractNumId w:val="20"/>
  </w:num>
  <w:num w:numId="49">
    <w:abstractNumId w:val="14"/>
  </w:num>
  <w:num w:numId="50">
    <w:abstractNumId w:val="19"/>
  </w:num>
  <w:num w:numId="51">
    <w:abstractNumId w:val="38"/>
  </w:num>
  <w:num w:numId="52">
    <w:abstractNumId w:val="16"/>
  </w:num>
  <w:num w:numId="53">
    <w:abstractNumId w:val="18"/>
  </w:num>
  <w:num w:numId="54">
    <w:abstractNumId w:val="58"/>
  </w:num>
  <w:num w:numId="55">
    <w:abstractNumId w:val="54"/>
  </w:num>
  <w:num w:numId="56">
    <w:abstractNumId w:val="4"/>
  </w:num>
  <w:num w:numId="57">
    <w:abstractNumId w:val="52"/>
  </w:num>
  <w:num w:numId="58">
    <w:abstractNumId w:val="31"/>
  </w:num>
  <w:num w:numId="59">
    <w:abstractNumId w:val="22"/>
  </w:num>
  <w:num w:numId="60">
    <w:abstractNumId w:val="17"/>
  </w:num>
  <w:num w:numId="61">
    <w:abstractNumId w:val="45"/>
  </w:num>
  <w:num w:numId="62">
    <w:abstractNumId w:val="2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fr-FR" w:vendorID="64" w:dllVersion="131078" w:nlCheck="1" w:checkStyle="0"/>
  <w:activeWritingStyle w:appName="MSWord" w:lang="en-US" w:vendorID="64" w:dllVersion="131078" w:nlCheck="1" w:checkStyle="1"/>
  <w:activeWritingStyle w:appName="MSWord" w:lang="en-ZA"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4337"/>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wz9pswzer5s0dewarv5ve5fs9ee5vxs9zfp&quot;&gt;TB&lt;record-ids&gt;&lt;item&gt;8763&lt;/item&gt;&lt;item&gt;13199&lt;/item&gt;&lt;item&gt;13203&lt;/item&gt;&lt;item&gt;13264&lt;/item&gt;&lt;item&gt;13305&lt;/item&gt;&lt;/record-ids&gt;&lt;/item&gt;&lt;/Libraries&gt;"/>
  </w:docVars>
  <w:rsids>
    <w:rsidRoot w:val="00726044"/>
    <w:rsid w:val="00000981"/>
    <w:rsid w:val="00001E6D"/>
    <w:rsid w:val="000027D6"/>
    <w:rsid w:val="00002F95"/>
    <w:rsid w:val="00006D56"/>
    <w:rsid w:val="000073A7"/>
    <w:rsid w:val="000075E4"/>
    <w:rsid w:val="0000770D"/>
    <w:rsid w:val="00007815"/>
    <w:rsid w:val="000150FF"/>
    <w:rsid w:val="0001559E"/>
    <w:rsid w:val="0001588D"/>
    <w:rsid w:val="00016C26"/>
    <w:rsid w:val="00017A49"/>
    <w:rsid w:val="00017D2A"/>
    <w:rsid w:val="00021049"/>
    <w:rsid w:val="00021460"/>
    <w:rsid w:val="00021F85"/>
    <w:rsid w:val="000225E3"/>
    <w:rsid w:val="0002310A"/>
    <w:rsid w:val="00024E24"/>
    <w:rsid w:val="00025D36"/>
    <w:rsid w:val="00026C60"/>
    <w:rsid w:val="000317FD"/>
    <w:rsid w:val="00031D0F"/>
    <w:rsid w:val="00031F6A"/>
    <w:rsid w:val="00033A57"/>
    <w:rsid w:val="00035366"/>
    <w:rsid w:val="0003616A"/>
    <w:rsid w:val="000373E5"/>
    <w:rsid w:val="00037A68"/>
    <w:rsid w:val="00040765"/>
    <w:rsid w:val="00041EFB"/>
    <w:rsid w:val="00042945"/>
    <w:rsid w:val="00043193"/>
    <w:rsid w:val="00043B80"/>
    <w:rsid w:val="0005094C"/>
    <w:rsid w:val="00052022"/>
    <w:rsid w:val="00052520"/>
    <w:rsid w:val="000551C5"/>
    <w:rsid w:val="000571E3"/>
    <w:rsid w:val="00057F1D"/>
    <w:rsid w:val="00060CF8"/>
    <w:rsid w:val="000637DE"/>
    <w:rsid w:val="00063DC0"/>
    <w:rsid w:val="00066134"/>
    <w:rsid w:val="00066572"/>
    <w:rsid w:val="00070472"/>
    <w:rsid w:val="000717B2"/>
    <w:rsid w:val="00072313"/>
    <w:rsid w:val="0007275E"/>
    <w:rsid w:val="00072A4E"/>
    <w:rsid w:val="00072B81"/>
    <w:rsid w:val="00073FBC"/>
    <w:rsid w:val="00075C83"/>
    <w:rsid w:val="00081139"/>
    <w:rsid w:val="0008171B"/>
    <w:rsid w:val="00081AA5"/>
    <w:rsid w:val="00083DB2"/>
    <w:rsid w:val="00084AF1"/>
    <w:rsid w:val="00085557"/>
    <w:rsid w:val="00085936"/>
    <w:rsid w:val="00092E80"/>
    <w:rsid w:val="00093124"/>
    <w:rsid w:val="00093584"/>
    <w:rsid w:val="00095F64"/>
    <w:rsid w:val="0009685B"/>
    <w:rsid w:val="000976B4"/>
    <w:rsid w:val="00097AE0"/>
    <w:rsid w:val="000A18FD"/>
    <w:rsid w:val="000A31FB"/>
    <w:rsid w:val="000A3540"/>
    <w:rsid w:val="000A5076"/>
    <w:rsid w:val="000A5C21"/>
    <w:rsid w:val="000A6285"/>
    <w:rsid w:val="000A6EF8"/>
    <w:rsid w:val="000A78E0"/>
    <w:rsid w:val="000B033A"/>
    <w:rsid w:val="000B09F8"/>
    <w:rsid w:val="000B0D03"/>
    <w:rsid w:val="000B1998"/>
    <w:rsid w:val="000B481F"/>
    <w:rsid w:val="000B4EE7"/>
    <w:rsid w:val="000B51E2"/>
    <w:rsid w:val="000B603B"/>
    <w:rsid w:val="000B7056"/>
    <w:rsid w:val="000C004C"/>
    <w:rsid w:val="000C33D0"/>
    <w:rsid w:val="000C49A3"/>
    <w:rsid w:val="000C5A32"/>
    <w:rsid w:val="000C7935"/>
    <w:rsid w:val="000C7E76"/>
    <w:rsid w:val="000D08E6"/>
    <w:rsid w:val="000D238C"/>
    <w:rsid w:val="000D2E24"/>
    <w:rsid w:val="000D3B48"/>
    <w:rsid w:val="000D3FAA"/>
    <w:rsid w:val="000E0D7E"/>
    <w:rsid w:val="000E104F"/>
    <w:rsid w:val="000E1270"/>
    <w:rsid w:val="000E2267"/>
    <w:rsid w:val="000E2CD3"/>
    <w:rsid w:val="000E33F2"/>
    <w:rsid w:val="000E369B"/>
    <w:rsid w:val="000E50BB"/>
    <w:rsid w:val="000E54DD"/>
    <w:rsid w:val="000E58EB"/>
    <w:rsid w:val="000E5A91"/>
    <w:rsid w:val="000E6749"/>
    <w:rsid w:val="000E7E34"/>
    <w:rsid w:val="000F1C1E"/>
    <w:rsid w:val="000F3BCD"/>
    <w:rsid w:val="000F4FEB"/>
    <w:rsid w:val="000F5FC9"/>
    <w:rsid w:val="000F630A"/>
    <w:rsid w:val="000F708E"/>
    <w:rsid w:val="000F750F"/>
    <w:rsid w:val="000F7E06"/>
    <w:rsid w:val="00101FC1"/>
    <w:rsid w:val="0010397D"/>
    <w:rsid w:val="00103CE7"/>
    <w:rsid w:val="001066CF"/>
    <w:rsid w:val="00106D1B"/>
    <w:rsid w:val="00107648"/>
    <w:rsid w:val="00110A1E"/>
    <w:rsid w:val="001115BE"/>
    <w:rsid w:val="001139B1"/>
    <w:rsid w:val="00116266"/>
    <w:rsid w:val="00116892"/>
    <w:rsid w:val="00116C31"/>
    <w:rsid w:val="001170BA"/>
    <w:rsid w:val="00117674"/>
    <w:rsid w:val="00120A71"/>
    <w:rsid w:val="00130070"/>
    <w:rsid w:val="00130231"/>
    <w:rsid w:val="00130E00"/>
    <w:rsid w:val="0013315F"/>
    <w:rsid w:val="001356D5"/>
    <w:rsid w:val="00135F6A"/>
    <w:rsid w:val="00137731"/>
    <w:rsid w:val="0013794C"/>
    <w:rsid w:val="001421BB"/>
    <w:rsid w:val="00143E40"/>
    <w:rsid w:val="001445A9"/>
    <w:rsid w:val="00145746"/>
    <w:rsid w:val="00146184"/>
    <w:rsid w:val="00146395"/>
    <w:rsid w:val="00146531"/>
    <w:rsid w:val="0014740B"/>
    <w:rsid w:val="00152606"/>
    <w:rsid w:val="00152755"/>
    <w:rsid w:val="001535B5"/>
    <w:rsid w:val="00153B34"/>
    <w:rsid w:val="00156C70"/>
    <w:rsid w:val="0016010A"/>
    <w:rsid w:val="0016051B"/>
    <w:rsid w:val="00160BED"/>
    <w:rsid w:val="001627DD"/>
    <w:rsid w:val="00162A99"/>
    <w:rsid w:val="00163613"/>
    <w:rsid w:val="00164A59"/>
    <w:rsid w:val="00166B3F"/>
    <w:rsid w:val="001678F8"/>
    <w:rsid w:val="00167F77"/>
    <w:rsid w:val="0017181E"/>
    <w:rsid w:val="00172472"/>
    <w:rsid w:val="0017342D"/>
    <w:rsid w:val="0017455B"/>
    <w:rsid w:val="00174F08"/>
    <w:rsid w:val="00176FED"/>
    <w:rsid w:val="001772E7"/>
    <w:rsid w:val="00177657"/>
    <w:rsid w:val="00177C35"/>
    <w:rsid w:val="00180AEB"/>
    <w:rsid w:val="0018241D"/>
    <w:rsid w:val="001835FD"/>
    <w:rsid w:val="00183AAC"/>
    <w:rsid w:val="001856E7"/>
    <w:rsid w:val="00185B55"/>
    <w:rsid w:val="0018634B"/>
    <w:rsid w:val="00186E82"/>
    <w:rsid w:val="00187FCE"/>
    <w:rsid w:val="00190E58"/>
    <w:rsid w:val="00194090"/>
    <w:rsid w:val="00194ACF"/>
    <w:rsid w:val="00194FDC"/>
    <w:rsid w:val="001953B6"/>
    <w:rsid w:val="00196013"/>
    <w:rsid w:val="001A1029"/>
    <w:rsid w:val="001A1F59"/>
    <w:rsid w:val="001A29BE"/>
    <w:rsid w:val="001A31CA"/>
    <w:rsid w:val="001A6373"/>
    <w:rsid w:val="001B01EF"/>
    <w:rsid w:val="001B148A"/>
    <w:rsid w:val="001B1532"/>
    <w:rsid w:val="001B1988"/>
    <w:rsid w:val="001B23AC"/>
    <w:rsid w:val="001B2446"/>
    <w:rsid w:val="001B3435"/>
    <w:rsid w:val="001B4382"/>
    <w:rsid w:val="001B4EE0"/>
    <w:rsid w:val="001B507B"/>
    <w:rsid w:val="001B50A7"/>
    <w:rsid w:val="001B51AC"/>
    <w:rsid w:val="001C0A9F"/>
    <w:rsid w:val="001C1A92"/>
    <w:rsid w:val="001C4280"/>
    <w:rsid w:val="001C448D"/>
    <w:rsid w:val="001C5C25"/>
    <w:rsid w:val="001C7F42"/>
    <w:rsid w:val="001D0607"/>
    <w:rsid w:val="001D0926"/>
    <w:rsid w:val="001D19BA"/>
    <w:rsid w:val="001D2209"/>
    <w:rsid w:val="001D3EC6"/>
    <w:rsid w:val="001D77A2"/>
    <w:rsid w:val="001E006F"/>
    <w:rsid w:val="001E01AA"/>
    <w:rsid w:val="001E1346"/>
    <w:rsid w:val="001E16A4"/>
    <w:rsid w:val="001E4B90"/>
    <w:rsid w:val="001F0014"/>
    <w:rsid w:val="001F45FF"/>
    <w:rsid w:val="001F5158"/>
    <w:rsid w:val="001F5BB8"/>
    <w:rsid w:val="001F5C92"/>
    <w:rsid w:val="001F7CF8"/>
    <w:rsid w:val="0020164F"/>
    <w:rsid w:val="00201D26"/>
    <w:rsid w:val="00203E16"/>
    <w:rsid w:val="002047AB"/>
    <w:rsid w:val="00204853"/>
    <w:rsid w:val="00205E15"/>
    <w:rsid w:val="0021094B"/>
    <w:rsid w:val="00210FA1"/>
    <w:rsid w:val="0021201A"/>
    <w:rsid w:val="00213CE1"/>
    <w:rsid w:val="002177DF"/>
    <w:rsid w:val="00220146"/>
    <w:rsid w:val="00220635"/>
    <w:rsid w:val="0022190E"/>
    <w:rsid w:val="00226BDA"/>
    <w:rsid w:val="00226E0B"/>
    <w:rsid w:val="00232A9F"/>
    <w:rsid w:val="00233B08"/>
    <w:rsid w:val="00233C55"/>
    <w:rsid w:val="00234705"/>
    <w:rsid w:val="00234945"/>
    <w:rsid w:val="00234D03"/>
    <w:rsid w:val="00241EB5"/>
    <w:rsid w:val="00242FC6"/>
    <w:rsid w:val="00243AB0"/>
    <w:rsid w:val="00247534"/>
    <w:rsid w:val="00250F7F"/>
    <w:rsid w:val="002532FE"/>
    <w:rsid w:val="00253CC5"/>
    <w:rsid w:val="0025539B"/>
    <w:rsid w:val="00255502"/>
    <w:rsid w:val="00256DFE"/>
    <w:rsid w:val="0025780B"/>
    <w:rsid w:val="00261C1E"/>
    <w:rsid w:val="0026417C"/>
    <w:rsid w:val="00267217"/>
    <w:rsid w:val="00270F50"/>
    <w:rsid w:val="00271941"/>
    <w:rsid w:val="0027243C"/>
    <w:rsid w:val="0027299B"/>
    <w:rsid w:val="0027311D"/>
    <w:rsid w:val="002739A1"/>
    <w:rsid w:val="002749A0"/>
    <w:rsid w:val="00275558"/>
    <w:rsid w:val="0027586B"/>
    <w:rsid w:val="00276A9A"/>
    <w:rsid w:val="00276ADA"/>
    <w:rsid w:val="0028107B"/>
    <w:rsid w:val="00281E77"/>
    <w:rsid w:val="002833B6"/>
    <w:rsid w:val="00287547"/>
    <w:rsid w:val="0029198A"/>
    <w:rsid w:val="00291C78"/>
    <w:rsid w:val="00292161"/>
    <w:rsid w:val="00292D46"/>
    <w:rsid w:val="00293C14"/>
    <w:rsid w:val="002962AC"/>
    <w:rsid w:val="002967B3"/>
    <w:rsid w:val="002A31FA"/>
    <w:rsid w:val="002A5C8E"/>
    <w:rsid w:val="002A5D50"/>
    <w:rsid w:val="002B1AC5"/>
    <w:rsid w:val="002B237B"/>
    <w:rsid w:val="002B35B9"/>
    <w:rsid w:val="002B4648"/>
    <w:rsid w:val="002B4662"/>
    <w:rsid w:val="002B5764"/>
    <w:rsid w:val="002B6E6E"/>
    <w:rsid w:val="002C0E39"/>
    <w:rsid w:val="002C3511"/>
    <w:rsid w:val="002C3CB7"/>
    <w:rsid w:val="002C589F"/>
    <w:rsid w:val="002C59ED"/>
    <w:rsid w:val="002C6058"/>
    <w:rsid w:val="002C61CF"/>
    <w:rsid w:val="002C7697"/>
    <w:rsid w:val="002D0515"/>
    <w:rsid w:val="002D0748"/>
    <w:rsid w:val="002D0D8C"/>
    <w:rsid w:val="002D119D"/>
    <w:rsid w:val="002D19CF"/>
    <w:rsid w:val="002D39E9"/>
    <w:rsid w:val="002D4B35"/>
    <w:rsid w:val="002D4DF6"/>
    <w:rsid w:val="002D53B6"/>
    <w:rsid w:val="002D5788"/>
    <w:rsid w:val="002D75FF"/>
    <w:rsid w:val="002E0203"/>
    <w:rsid w:val="002E0296"/>
    <w:rsid w:val="002E1214"/>
    <w:rsid w:val="002E2977"/>
    <w:rsid w:val="002E29BE"/>
    <w:rsid w:val="002E2FE9"/>
    <w:rsid w:val="002E376B"/>
    <w:rsid w:val="002E42AB"/>
    <w:rsid w:val="002E5560"/>
    <w:rsid w:val="002E5BD7"/>
    <w:rsid w:val="002E6276"/>
    <w:rsid w:val="002E799E"/>
    <w:rsid w:val="002F03BB"/>
    <w:rsid w:val="002F0BA6"/>
    <w:rsid w:val="002F1581"/>
    <w:rsid w:val="002F1AA2"/>
    <w:rsid w:val="002F20E6"/>
    <w:rsid w:val="002F4CA3"/>
    <w:rsid w:val="002F55F6"/>
    <w:rsid w:val="002F7080"/>
    <w:rsid w:val="002F76CF"/>
    <w:rsid w:val="002F7D89"/>
    <w:rsid w:val="00300147"/>
    <w:rsid w:val="00300759"/>
    <w:rsid w:val="003010D2"/>
    <w:rsid w:val="003013A5"/>
    <w:rsid w:val="003028D9"/>
    <w:rsid w:val="00303C77"/>
    <w:rsid w:val="00303F0A"/>
    <w:rsid w:val="00304120"/>
    <w:rsid w:val="00305001"/>
    <w:rsid w:val="00312AE2"/>
    <w:rsid w:val="003151E0"/>
    <w:rsid w:val="00316368"/>
    <w:rsid w:val="00323901"/>
    <w:rsid w:val="00330D07"/>
    <w:rsid w:val="003321BC"/>
    <w:rsid w:val="00332C25"/>
    <w:rsid w:val="00333DE2"/>
    <w:rsid w:val="003375E9"/>
    <w:rsid w:val="003400EE"/>
    <w:rsid w:val="003412F6"/>
    <w:rsid w:val="00342536"/>
    <w:rsid w:val="003429F4"/>
    <w:rsid w:val="00342C78"/>
    <w:rsid w:val="00344220"/>
    <w:rsid w:val="0034434E"/>
    <w:rsid w:val="00344CAF"/>
    <w:rsid w:val="00346295"/>
    <w:rsid w:val="003464D4"/>
    <w:rsid w:val="00347AE6"/>
    <w:rsid w:val="00347B69"/>
    <w:rsid w:val="003505D9"/>
    <w:rsid w:val="0035062E"/>
    <w:rsid w:val="00353452"/>
    <w:rsid w:val="00353AF3"/>
    <w:rsid w:val="00354187"/>
    <w:rsid w:val="003551BB"/>
    <w:rsid w:val="00357766"/>
    <w:rsid w:val="0036151F"/>
    <w:rsid w:val="00362EC8"/>
    <w:rsid w:val="00364B2D"/>
    <w:rsid w:val="00365E47"/>
    <w:rsid w:val="00366BDE"/>
    <w:rsid w:val="00367DBC"/>
    <w:rsid w:val="003700F2"/>
    <w:rsid w:val="003708CF"/>
    <w:rsid w:val="00370C9B"/>
    <w:rsid w:val="003738E3"/>
    <w:rsid w:val="00373ED7"/>
    <w:rsid w:val="00374F06"/>
    <w:rsid w:val="003751AA"/>
    <w:rsid w:val="003755C8"/>
    <w:rsid w:val="00376750"/>
    <w:rsid w:val="00377364"/>
    <w:rsid w:val="0037757A"/>
    <w:rsid w:val="0038213F"/>
    <w:rsid w:val="00384CB5"/>
    <w:rsid w:val="00385B57"/>
    <w:rsid w:val="0038687D"/>
    <w:rsid w:val="00391C52"/>
    <w:rsid w:val="00392EF5"/>
    <w:rsid w:val="00393727"/>
    <w:rsid w:val="0039470B"/>
    <w:rsid w:val="003A160E"/>
    <w:rsid w:val="003A223A"/>
    <w:rsid w:val="003A3E07"/>
    <w:rsid w:val="003A42D1"/>
    <w:rsid w:val="003A5657"/>
    <w:rsid w:val="003B043F"/>
    <w:rsid w:val="003B0826"/>
    <w:rsid w:val="003B0B90"/>
    <w:rsid w:val="003B185F"/>
    <w:rsid w:val="003B413D"/>
    <w:rsid w:val="003B4DB5"/>
    <w:rsid w:val="003B54E3"/>
    <w:rsid w:val="003B760F"/>
    <w:rsid w:val="003B7749"/>
    <w:rsid w:val="003C19BC"/>
    <w:rsid w:val="003C47F3"/>
    <w:rsid w:val="003C4830"/>
    <w:rsid w:val="003C7CF5"/>
    <w:rsid w:val="003C7E7D"/>
    <w:rsid w:val="003D0CE7"/>
    <w:rsid w:val="003D325B"/>
    <w:rsid w:val="003D4E41"/>
    <w:rsid w:val="003E163C"/>
    <w:rsid w:val="003E256E"/>
    <w:rsid w:val="003E365B"/>
    <w:rsid w:val="003E40DB"/>
    <w:rsid w:val="003E46FA"/>
    <w:rsid w:val="003E68EE"/>
    <w:rsid w:val="003E77ED"/>
    <w:rsid w:val="003F0938"/>
    <w:rsid w:val="003F14B3"/>
    <w:rsid w:val="003F581F"/>
    <w:rsid w:val="003F6206"/>
    <w:rsid w:val="003F7B81"/>
    <w:rsid w:val="003F7D0A"/>
    <w:rsid w:val="0040275E"/>
    <w:rsid w:val="00403136"/>
    <w:rsid w:val="00403D99"/>
    <w:rsid w:val="004045F1"/>
    <w:rsid w:val="00404ACF"/>
    <w:rsid w:val="00404B56"/>
    <w:rsid w:val="0040579A"/>
    <w:rsid w:val="0040591B"/>
    <w:rsid w:val="00405C9F"/>
    <w:rsid w:val="004065B1"/>
    <w:rsid w:val="00406FF2"/>
    <w:rsid w:val="00410373"/>
    <w:rsid w:val="0041184A"/>
    <w:rsid w:val="004118CA"/>
    <w:rsid w:val="00412F9F"/>
    <w:rsid w:val="0041302F"/>
    <w:rsid w:val="00413A6A"/>
    <w:rsid w:val="00415F23"/>
    <w:rsid w:val="00417D89"/>
    <w:rsid w:val="00421446"/>
    <w:rsid w:val="00422790"/>
    <w:rsid w:val="004240C5"/>
    <w:rsid w:val="00424E69"/>
    <w:rsid w:val="00425D4C"/>
    <w:rsid w:val="004323F2"/>
    <w:rsid w:val="004343AB"/>
    <w:rsid w:val="00434BB2"/>
    <w:rsid w:val="00434EFD"/>
    <w:rsid w:val="004351FE"/>
    <w:rsid w:val="00435D2F"/>
    <w:rsid w:val="00436DB4"/>
    <w:rsid w:val="004370B4"/>
    <w:rsid w:val="0044025C"/>
    <w:rsid w:val="00440372"/>
    <w:rsid w:val="004414C3"/>
    <w:rsid w:val="00441708"/>
    <w:rsid w:val="00441C79"/>
    <w:rsid w:val="00442794"/>
    <w:rsid w:val="00443AF7"/>
    <w:rsid w:val="00444C0F"/>
    <w:rsid w:val="004451D6"/>
    <w:rsid w:val="00445DB6"/>
    <w:rsid w:val="00446159"/>
    <w:rsid w:val="00446596"/>
    <w:rsid w:val="004514A4"/>
    <w:rsid w:val="00453B80"/>
    <w:rsid w:val="004604A4"/>
    <w:rsid w:val="00463012"/>
    <w:rsid w:val="00463A85"/>
    <w:rsid w:val="00463AB6"/>
    <w:rsid w:val="00466FA5"/>
    <w:rsid w:val="004709A9"/>
    <w:rsid w:val="00470B40"/>
    <w:rsid w:val="00473A95"/>
    <w:rsid w:val="00475327"/>
    <w:rsid w:val="00476896"/>
    <w:rsid w:val="00477A71"/>
    <w:rsid w:val="00477CD1"/>
    <w:rsid w:val="00480E4C"/>
    <w:rsid w:val="00481C61"/>
    <w:rsid w:val="00484C94"/>
    <w:rsid w:val="004864B0"/>
    <w:rsid w:val="00486B09"/>
    <w:rsid w:val="00486F43"/>
    <w:rsid w:val="00487230"/>
    <w:rsid w:val="00487308"/>
    <w:rsid w:val="00491EC6"/>
    <w:rsid w:val="004927D8"/>
    <w:rsid w:val="00494873"/>
    <w:rsid w:val="00494FCF"/>
    <w:rsid w:val="00495509"/>
    <w:rsid w:val="004A0592"/>
    <w:rsid w:val="004A355C"/>
    <w:rsid w:val="004A3C48"/>
    <w:rsid w:val="004A432C"/>
    <w:rsid w:val="004A7F6C"/>
    <w:rsid w:val="004B17CA"/>
    <w:rsid w:val="004B1990"/>
    <w:rsid w:val="004B4609"/>
    <w:rsid w:val="004B465F"/>
    <w:rsid w:val="004B4A48"/>
    <w:rsid w:val="004B675C"/>
    <w:rsid w:val="004B6D16"/>
    <w:rsid w:val="004C18C6"/>
    <w:rsid w:val="004C279B"/>
    <w:rsid w:val="004C59BD"/>
    <w:rsid w:val="004C5DB7"/>
    <w:rsid w:val="004D1A4A"/>
    <w:rsid w:val="004D1DCC"/>
    <w:rsid w:val="004D2151"/>
    <w:rsid w:val="004D31F5"/>
    <w:rsid w:val="004D3D2D"/>
    <w:rsid w:val="004D51B7"/>
    <w:rsid w:val="004D6A80"/>
    <w:rsid w:val="004D72D9"/>
    <w:rsid w:val="004D7567"/>
    <w:rsid w:val="004D7D01"/>
    <w:rsid w:val="004E1552"/>
    <w:rsid w:val="004E1C21"/>
    <w:rsid w:val="004E22EE"/>
    <w:rsid w:val="004E50B0"/>
    <w:rsid w:val="004E7A3E"/>
    <w:rsid w:val="004F1C6A"/>
    <w:rsid w:val="004F541B"/>
    <w:rsid w:val="004F660B"/>
    <w:rsid w:val="005002D9"/>
    <w:rsid w:val="005007B3"/>
    <w:rsid w:val="00501C04"/>
    <w:rsid w:val="005028F6"/>
    <w:rsid w:val="005037E7"/>
    <w:rsid w:val="00504B5C"/>
    <w:rsid w:val="005058F2"/>
    <w:rsid w:val="005069E8"/>
    <w:rsid w:val="005070AD"/>
    <w:rsid w:val="00510EC3"/>
    <w:rsid w:val="00511DF0"/>
    <w:rsid w:val="00511E03"/>
    <w:rsid w:val="00511FF5"/>
    <w:rsid w:val="00513103"/>
    <w:rsid w:val="005141BB"/>
    <w:rsid w:val="00514B2D"/>
    <w:rsid w:val="00514BA7"/>
    <w:rsid w:val="005158D6"/>
    <w:rsid w:val="0051685F"/>
    <w:rsid w:val="005178B6"/>
    <w:rsid w:val="00521197"/>
    <w:rsid w:val="0052124F"/>
    <w:rsid w:val="00521AEB"/>
    <w:rsid w:val="00522676"/>
    <w:rsid w:val="00522E5A"/>
    <w:rsid w:val="00523D49"/>
    <w:rsid w:val="005251AA"/>
    <w:rsid w:val="00527192"/>
    <w:rsid w:val="00530364"/>
    <w:rsid w:val="005317B0"/>
    <w:rsid w:val="005320F9"/>
    <w:rsid w:val="00532A01"/>
    <w:rsid w:val="00532ACC"/>
    <w:rsid w:val="00533523"/>
    <w:rsid w:val="005344A3"/>
    <w:rsid w:val="00534A40"/>
    <w:rsid w:val="00534ABD"/>
    <w:rsid w:val="00535E0D"/>
    <w:rsid w:val="00536BF3"/>
    <w:rsid w:val="0054194D"/>
    <w:rsid w:val="00541F6E"/>
    <w:rsid w:val="005421EF"/>
    <w:rsid w:val="00546B91"/>
    <w:rsid w:val="00553047"/>
    <w:rsid w:val="0055384F"/>
    <w:rsid w:val="0056043F"/>
    <w:rsid w:val="00560E3A"/>
    <w:rsid w:val="005620B3"/>
    <w:rsid w:val="00562264"/>
    <w:rsid w:val="00563898"/>
    <w:rsid w:val="00563F07"/>
    <w:rsid w:val="00564C2D"/>
    <w:rsid w:val="0056589D"/>
    <w:rsid w:val="005669C1"/>
    <w:rsid w:val="00567485"/>
    <w:rsid w:val="0057008D"/>
    <w:rsid w:val="0057158F"/>
    <w:rsid w:val="005757A1"/>
    <w:rsid w:val="005772EA"/>
    <w:rsid w:val="005804DF"/>
    <w:rsid w:val="005815AE"/>
    <w:rsid w:val="0058212B"/>
    <w:rsid w:val="005821EE"/>
    <w:rsid w:val="00582C9F"/>
    <w:rsid w:val="00583070"/>
    <w:rsid w:val="0058361B"/>
    <w:rsid w:val="005863A4"/>
    <w:rsid w:val="00587C6A"/>
    <w:rsid w:val="00590BE5"/>
    <w:rsid w:val="00591C3C"/>
    <w:rsid w:val="00592066"/>
    <w:rsid w:val="0059250A"/>
    <w:rsid w:val="005966A7"/>
    <w:rsid w:val="005A0BDA"/>
    <w:rsid w:val="005A1700"/>
    <w:rsid w:val="005A1AEE"/>
    <w:rsid w:val="005A34A1"/>
    <w:rsid w:val="005A3586"/>
    <w:rsid w:val="005A40DA"/>
    <w:rsid w:val="005A44B5"/>
    <w:rsid w:val="005A520A"/>
    <w:rsid w:val="005A746A"/>
    <w:rsid w:val="005B0745"/>
    <w:rsid w:val="005B1951"/>
    <w:rsid w:val="005B25CC"/>
    <w:rsid w:val="005B3567"/>
    <w:rsid w:val="005B3D81"/>
    <w:rsid w:val="005B43E7"/>
    <w:rsid w:val="005B4655"/>
    <w:rsid w:val="005B4F23"/>
    <w:rsid w:val="005B5156"/>
    <w:rsid w:val="005B7066"/>
    <w:rsid w:val="005C070C"/>
    <w:rsid w:val="005C2051"/>
    <w:rsid w:val="005C2116"/>
    <w:rsid w:val="005C30F3"/>
    <w:rsid w:val="005C3568"/>
    <w:rsid w:val="005C3A58"/>
    <w:rsid w:val="005C70E0"/>
    <w:rsid w:val="005D1E90"/>
    <w:rsid w:val="005D4591"/>
    <w:rsid w:val="005D5A5A"/>
    <w:rsid w:val="005E04C8"/>
    <w:rsid w:val="005E13C1"/>
    <w:rsid w:val="005E31A3"/>
    <w:rsid w:val="005E3277"/>
    <w:rsid w:val="005E6C23"/>
    <w:rsid w:val="005E7565"/>
    <w:rsid w:val="005E7A42"/>
    <w:rsid w:val="005F0F23"/>
    <w:rsid w:val="005F1662"/>
    <w:rsid w:val="005F1962"/>
    <w:rsid w:val="005F2BC6"/>
    <w:rsid w:val="005F314B"/>
    <w:rsid w:val="005F35E8"/>
    <w:rsid w:val="005F3987"/>
    <w:rsid w:val="005F4982"/>
    <w:rsid w:val="005F5802"/>
    <w:rsid w:val="005F6E32"/>
    <w:rsid w:val="00600CEE"/>
    <w:rsid w:val="00601E11"/>
    <w:rsid w:val="006022F9"/>
    <w:rsid w:val="00602EA5"/>
    <w:rsid w:val="00603478"/>
    <w:rsid w:val="00603CC2"/>
    <w:rsid w:val="006049F0"/>
    <w:rsid w:val="00604DEB"/>
    <w:rsid w:val="006058AE"/>
    <w:rsid w:val="0060598F"/>
    <w:rsid w:val="00610EFA"/>
    <w:rsid w:val="0061101D"/>
    <w:rsid w:val="006113DB"/>
    <w:rsid w:val="00611849"/>
    <w:rsid w:val="00612DB9"/>
    <w:rsid w:val="00613D64"/>
    <w:rsid w:val="00614BDC"/>
    <w:rsid w:val="006151C3"/>
    <w:rsid w:val="00615FC7"/>
    <w:rsid w:val="006160BA"/>
    <w:rsid w:val="00616BF9"/>
    <w:rsid w:val="00620C9F"/>
    <w:rsid w:val="00621D19"/>
    <w:rsid w:val="00622B76"/>
    <w:rsid w:val="00623B0B"/>
    <w:rsid w:val="00623C0A"/>
    <w:rsid w:val="00625505"/>
    <w:rsid w:val="006257D6"/>
    <w:rsid w:val="0062594E"/>
    <w:rsid w:val="00625F48"/>
    <w:rsid w:val="00631E50"/>
    <w:rsid w:val="006332B7"/>
    <w:rsid w:val="00633984"/>
    <w:rsid w:val="0063574B"/>
    <w:rsid w:val="00636014"/>
    <w:rsid w:val="006377C3"/>
    <w:rsid w:val="0064293F"/>
    <w:rsid w:val="006439AB"/>
    <w:rsid w:val="00645B42"/>
    <w:rsid w:val="00645CCC"/>
    <w:rsid w:val="00645FB1"/>
    <w:rsid w:val="00650E00"/>
    <w:rsid w:val="00651BB4"/>
    <w:rsid w:val="00652307"/>
    <w:rsid w:val="00654E5F"/>
    <w:rsid w:val="00655167"/>
    <w:rsid w:val="0065519B"/>
    <w:rsid w:val="006647F3"/>
    <w:rsid w:val="0067150D"/>
    <w:rsid w:val="0067221B"/>
    <w:rsid w:val="00673734"/>
    <w:rsid w:val="0067506F"/>
    <w:rsid w:val="006755C9"/>
    <w:rsid w:val="00675FD1"/>
    <w:rsid w:val="0067645B"/>
    <w:rsid w:val="00676583"/>
    <w:rsid w:val="006804B3"/>
    <w:rsid w:val="00681884"/>
    <w:rsid w:val="00684188"/>
    <w:rsid w:val="006850BC"/>
    <w:rsid w:val="006855F1"/>
    <w:rsid w:val="00686F83"/>
    <w:rsid w:val="006943F6"/>
    <w:rsid w:val="006A17FA"/>
    <w:rsid w:val="006A49A8"/>
    <w:rsid w:val="006A662D"/>
    <w:rsid w:val="006B049F"/>
    <w:rsid w:val="006B328C"/>
    <w:rsid w:val="006B3A11"/>
    <w:rsid w:val="006B6C9B"/>
    <w:rsid w:val="006C0DCD"/>
    <w:rsid w:val="006C2C5B"/>
    <w:rsid w:val="006C4CB0"/>
    <w:rsid w:val="006D2A44"/>
    <w:rsid w:val="006D672F"/>
    <w:rsid w:val="006D6A54"/>
    <w:rsid w:val="006E3E7F"/>
    <w:rsid w:val="006E41C8"/>
    <w:rsid w:val="006E4241"/>
    <w:rsid w:val="006E4896"/>
    <w:rsid w:val="006E4A94"/>
    <w:rsid w:val="006E4C7F"/>
    <w:rsid w:val="006F072C"/>
    <w:rsid w:val="006F324C"/>
    <w:rsid w:val="006F3879"/>
    <w:rsid w:val="006F5E76"/>
    <w:rsid w:val="006F7759"/>
    <w:rsid w:val="00701E3B"/>
    <w:rsid w:val="007020D4"/>
    <w:rsid w:val="0070279B"/>
    <w:rsid w:val="007030F1"/>
    <w:rsid w:val="007034D7"/>
    <w:rsid w:val="00704E5B"/>
    <w:rsid w:val="00706685"/>
    <w:rsid w:val="007078D5"/>
    <w:rsid w:val="00711DD8"/>
    <w:rsid w:val="00712687"/>
    <w:rsid w:val="00712A3B"/>
    <w:rsid w:val="00712E0D"/>
    <w:rsid w:val="007146DE"/>
    <w:rsid w:val="0071576B"/>
    <w:rsid w:val="00717D30"/>
    <w:rsid w:val="00720474"/>
    <w:rsid w:val="00722319"/>
    <w:rsid w:val="00723123"/>
    <w:rsid w:val="00723BE7"/>
    <w:rsid w:val="00725327"/>
    <w:rsid w:val="00726044"/>
    <w:rsid w:val="0072680F"/>
    <w:rsid w:val="00731C16"/>
    <w:rsid w:val="00731E17"/>
    <w:rsid w:val="00732F03"/>
    <w:rsid w:val="007346FE"/>
    <w:rsid w:val="00735088"/>
    <w:rsid w:val="0073660C"/>
    <w:rsid w:val="0074206A"/>
    <w:rsid w:val="007428CA"/>
    <w:rsid w:val="007465A9"/>
    <w:rsid w:val="007469A2"/>
    <w:rsid w:val="007474C7"/>
    <w:rsid w:val="007476C6"/>
    <w:rsid w:val="00751333"/>
    <w:rsid w:val="007524E8"/>
    <w:rsid w:val="00752D5E"/>
    <w:rsid w:val="00757C9D"/>
    <w:rsid w:val="00760958"/>
    <w:rsid w:val="0076106E"/>
    <w:rsid w:val="0076437C"/>
    <w:rsid w:val="007664C2"/>
    <w:rsid w:val="00766B27"/>
    <w:rsid w:val="007673E0"/>
    <w:rsid w:val="00771269"/>
    <w:rsid w:val="00772693"/>
    <w:rsid w:val="00772A62"/>
    <w:rsid w:val="00773291"/>
    <w:rsid w:val="007733C1"/>
    <w:rsid w:val="00774753"/>
    <w:rsid w:val="00776000"/>
    <w:rsid w:val="00781129"/>
    <w:rsid w:val="00783764"/>
    <w:rsid w:val="00783AD1"/>
    <w:rsid w:val="007840B7"/>
    <w:rsid w:val="007900E4"/>
    <w:rsid w:val="00790223"/>
    <w:rsid w:val="00793AD5"/>
    <w:rsid w:val="00793D20"/>
    <w:rsid w:val="00794758"/>
    <w:rsid w:val="00797F1D"/>
    <w:rsid w:val="007A2101"/>
    <w:rsid w:val="007A2188"/>
    <w:rsid w:val="007A24F0"/>
    <w:rsid w:val="007A35E7"/>
    <w:rsid w:val="007A4F49"/>
    <w:rsid w:val="007A7D49"/>
    <w:rsid w:val="007B2DBD"/>
    <w:rsid w:val="007B33B3"/>
    <w:rsid w:val="007B7E9B"/>
    <w:rsid w:val="007C09F7"/>
    <w:rsid w:val="007C0BDD"/>
    <w:rsid w:val="007C0DD0"/>
    <w:rsid w:val="007C0DFD"/>
    <w:rsid w:val="007C35D9"/>
    <w:rsid w:val="007C7509"/>
    <w:rsid w:val="007C7622"/>
    <w:rsid w:val="007C7C3F"/>
    <w:rsid w:val="007D03BC"/>
    <w:rsid w:val="007D0FCA"/>
    <w:rsid w:val="007D1EEA"/>
    <w:rsid w:val="007D4266"/>
    <w:rsid w:val="007D44AF"/>
    <w:rsid w:val="007D5002"/>
    <w:rsid w:val="007D66C1"/>
    <w:rsid w:val="007D704E"/>
    <w:rsid w:val="007D7B6E"/>
    <w:rsid w:val="007E02DD"/>
    <w:rsid w:val="007E1C16"/>
    <w:rsid w:val="007E2EDF"/>
    <w:rsid w:val="007E3D69"/>
    <w:rsid w:val="007E530D"/>
    <w:rsid w:val="007E7FDE"/>
    <w:rsid w:val="007F3D02"/>
    <w:rsid w:val="007F43C0"/>
    <w:rsid w:val="007F679F"/>
    <w:rsid w:val="00800833"/>
    <w:rsid w:val="00801571"/>
    <w:rsid w:val="00801892"/>
    <w:rsid w:val="00802D99"/>
    <w:rsid w:val="008055F0"/>
    <w:rsid w:val="00807C57"/>
    <w:rsid w:val="00810C49"/>
    <w:rsid w:val="00811513"/>
    <w:rsid w:val="00811FDA"/>
    <w:rsid w:val="00813C83"/>
    <w:rsid w:val="00813E6C"/>
    <w:rsid w:val="00814FE7"/>
    <w:rsid w:val="00821022"/>
    <w:rsid w:val="008211B4"/>
    <w:rsid w:val="00824713"/>
    <w:rsid w:val="00825626"/>
    <w:rsid w:val="00827AFA"/>
    <w:rsid w:val="00832AE1"/>
    <w:rsid w:val="008335A4"/>
    <w:rsid w:val="0083449C"/>
    <w:rsid w:val="008366AA"/>
    <w:rsid w:val="0084062C"/>
    <w:rsid w:val="008435C4"/>
    <w:rsid w:val="00845019"/>
    <w:rsid w:val="00845FF9"/>
    <w:rsid w:val="00846605"/>
    <w:rsid w:val="008466F6"/>
    <w:rsid w:val="00846E4D"/>
    <w:rsid w:val="008475B7"/>
    <w:rsid w:val="0085173A"/>
    <w:rsid w:val="00851C2A"/>
    <w:rsid w:val="008527A6"/>
    <w:rsid w:val="00854B71"/>
    <w:rsid w:val="00855E0B"/>
    <w:rsid w:val="00856D76"/>
    <w:rsid w:val="00857778"/>
    <w:rsid w:val="0086054F"/>
    <w:rsid w:val="00862132"/>
    <w:rsid w:val="0086311E"/>
    <w:rsid w:val="0086351C"/>
    <w:rsid w:val="00863894"/>
    <w:rsid w:val="00865AF3"/>
    <w:rsid w:val="00865B37"/>
    <w:rsid w:val="00866058"/>
    <w:rsid w:val="0087054A"/>
    <w:rsid w:val="0087159C"/>
    <w:rsid w:val="008734A2"/>
    <w:rsid w:val="0087469C"/>
    <w:rsid w:val="00874CA8"/>
    <w:rsid w:val="00874D3C"/>
    <w:rsid w:val="00875897"/>
    <w:rsid w:val="00877506"/>
    <w:rsid w:val="008804B0"/>
    <w:rsid w:val="00882A2D"/>
    <w:rsid w:val="00883185"/>
    <w:rsid w:val="00883227"/>
    <w:rsid w:val="00883462"/>
    <w:rsid w:val="008842FC"/>
    <w:rsid w:val="00886CA1"/>
    <w:rsid w:val="0088770E"/>
    <w:rsid w:val="00893E46"/>
    <w:rsid w:val="00896149"/>
    <w:rsid w:val="008A0612"/>
    <w:rsid w:val="008A1BD9"/>
    <w:rsid w:val="008A1C37"/>
    <w:rsid w:val="008A3264"/>
    <w:rsid w:val="008A360D"/>
    <w:rsid w:val="008A3C93"/>
    <w:rsid w:val="008A4286"/>
    <w:rsid w:val="008A680D"/>
    <w:rsid w:val="008A6826"/>
    <w:rsid w:val="008B0315"/>
    <w:rsid w:val="008B107F"/>
    <w:rsid w:val="008B1E7E"/>
    <w:rsid w:val="008B4551"/>
    <w:rsid w:val="008B5191"/>
    <w:rsid w:val="008B6426"/>
    <w:rsid w:val="008C0A42"/>
    <w:rsid w:val="008C0B8E"/>
    <w:rsid w:val="008C233B"/>
    <w:rsid w:val="008C342E"/>
    <w:rsid w:val="008C4E10"/>
    <w:rsid w:val="008C4F23"/>
    <w:rsid w:val="008C555F"/>
    <w:rsid w:val="008C5AE1"/>
    <w:rsid w:val="008C6517"/>
    <w:rsid w:val="008D14B7"/>
    <w:rsid w:val="008D1AF6"/>
    <w:rsid w:val="008D1DD5"/>
    <w:rsid w:val="008D23AD"/>
    <w:rsid w:val="008D2C2C"/>
    <w:rsid w:val="008D35D4"/>
    <w:rsid w:val="008D3873"/>
    <w:rsid w:val="008D4AA5"/>
    <w:rsid w:val="008D542B"/>
    <w:rsid w:val="008D7097"/>
    <w:rsid w:val="008D7C22"/>
    <w:rsid w:val="008E1B03"/>
    <w:rsid w:val="008E29E3"/>
    <w:rsid w:val="008E31C5"/>
    <w:rsid w:val="008E3468"/>
    <w:rsid w:val="008E3619"/>
    <w:rsid w:val="008E37CD"/>
    <w:rsid w:val="008E390B"/>
    <w:rsid w:val="008E3CD9"/>
    <w:rsid w:val="008E4043"/>
    <w:rsid w:val="008E490C"/>
    <w:rsid w:val="008E5060"/>
    <w:rsid w:val="008E57AD"/>
    <w:rsid w:val="008E5F24"/>
    <w:rsid w:val="008F0C26"/>
    <w:rsid w:val="008F3522"/>
    <w:rsid w:val="008F36F2"/>
    <w:rsid w:val="008F501C"/>
    <w:rsid w:val="008F50D1"/>
    <w:rsid w:val="008F6283"/>
    <w:rsid w:val="008F6719"/>
    <w:rsid w:val="009005D7"/>
    <w:rsid w:val="009014C7"/>
    <w:rsid w:val="0090356E"/>
    <w:rsid w:val="009040C7"/>
    <w:rsid w:val="00905220"/>
    <w:rsid w:val="00906CD6"/>
    <w:rsid w:val="009075A8"/>
    <w:rsid w:val="00907E86"/>
    <w:rsid w:val="0091200C"/>
    <w:rsid w:val="0091473A"/>
    <w:rsid w:val="00915CE7"/>
    <w:rsid w:val="00916727"/>
    <w:rsid w:val="00920D5A"/>
    <w:rsid w:val="00922882"/>
    <w:rsid w:val="0092585F"/>
    <w:rsid w:val="00925A90"/>
    <w:rsid w:val="00926902"/>
    <w:rsid w:val="0093096C"/>
    <w:rsid w:val="00930E61"/>
    <w:rsid w:val="00931B2D"/>
    <w:rsid w:val="00931B5A"/>
    <w:rsid w:val="009372DD"/>
    <w:rsid w:val="00937AAF"/>
    <w:rsid w:val="00937DA2"/>
    <w:rsid w:val="00937E46"/>
    <w:rsid w:val="00943A4B"/>
    <w:rsid w:val="00945E6B"/>
    <w:rsid w:val="00946011"/>
    <w:rsid w:val="00946348"/>
    <w:rsid w:val="009463A0"/>
    <w:rsid w:val="009475B2"/>
    <w:rsid w:val="00950107"/>
    <w:rsid w:val="0095034F"/>
    <w:rsid w:val="00950C7C"/>
    <w:rsid w:val="00952F15"/>
    <w:rsid w:val="00954E40"/>
    <w:rsid w:val="009550DD"/>
    <w:rsid w:val="009552B9"/>
    <w:rsid w:val="00955E64"/>
    <w:rsid w:val="00956EE8"/>
    <w:rsid w:val="00964990"/>
    <w:rsid w:val="00965F63"/>
    <w:rsid w:val="009700E5"/>
    <w:rsid w:val="00970EC1"/>
    <w:rsid w:val="009712A8"/>
    <w:rsid w:val="009719EE"/>
    <w:rsid w:val="009821CE"/>
    <w:rsid w:val="00982E16"/>
    <w:rsid w:val="009840D2"/>
    <w:rsid w:val="00984D64"/>
    <w:rsid w:val="00985CDE"/>
    <w:rsid w:val="009862EB"/>
    <w:rsid w:val="0098671D"/>
    <w:rsid w:val="009873B7"/>
    <w:rsid w:val="00987F20"/>
    <w:rsid w:val="00987FC7"/>
    <w:rsid w:val="009918A2"/>
    <w:rsid w:val="009919E4"/>
    <w:rsid w:val="00991D42"/>
    <w:rsid w:val="0099222D"/>
    <w:rsid w:val="0099263C"/>
    <w:rsid w:val="009926A6"/>
    <w:rsid w:val="009940D1"/>
    <w:rsid w:val="0099456B"/>
    <w:rsid w:val="009945B4"/>
    <w:rsid w:val="00996202"/>
    <w:rsid w:val="00996CEE"/>
    <w:rsid w:val="00996D27"/>
    <w:rsid w:val="00997723"/>
    <w:rsid w:val="009A04B1"/>
    <w:rsid w:val="009A1AA3"/>
    <w:rsid w:val="009A26B2"/>
    <w:rsid w:val="009A35CB"/>
    <w:rsid w:val="009A43D6"/>
    <w:rsid w:val="009A5FA0"/>
    <w:rsid w:val="009A6889"/>
    <w:rsid w:val="009B0277"/>
    <w:rsid w:val="009B1047"/>
    <w:rsid w:val="009B5CFC"/>
    <w:rsid w:val="009B5D90"/>
    <w:rsid w:val="009B649A"/>
    <w:rsid w:val="009B772E"/>
    <w:rsid w:val="009C09ED"/>
    <w:rsid w:val="009C25F6"/>
    <w:rsid w:val="009C42B8"/>
    <w:rsid w:val="009D19EA"/>
    <w:rsid w:val="009D1CAB"/>
    <w:rsid w:val="009D3981"/>
    <w:rsid w:val="009D4C33"/>
    <w:rsid w:val="009D5043"/>
    <w:rsid w:val="009D5172"/>
    <w:rsid w:val="009E0AB3"/>
    <w:rsid w:val="009E1FDE"/>
    <w:rsid w:val="009E3B0E"/>
    <w:rsid w:val="009E41CD"/>
    <w:rsid w:val="009E651E"/>
    <w:rsid w:val="009E7E87"/>
    <w:rsid w:val="009F0C38"/>
    <w:rsid w:val="009F1A62"/>
    <w:rsid w:val="009F2176"/>
    <w:rsid w:val="009F569F"/>
    <w:rsid w:val="009F5990"/>
    <w:rsid w:val="00A0090F"/>
    <w:rsid w:val="00A018C5"/>
    <w:rsid w:val="00A023CC"/>
    <w:rsid w:val="00A053D7"/>
    <w:rsid w:val="00A058F8"/>
    <w:rsid w:val="00A06735"/>
    <w:rsid w:val="00A073BE"/>
    <w:rsid w:val="00A07AA8"/>
    <w:rsid w:val="00A104BB"/>
    <w:rsid w:val="00A12F05"/>
    <w:rsid w:val="00A14BC2"/>
    <w:rsid w:val="00A16C86"/>
    <w:rsid w:val="00A21428"/>
    <w:rsid w:val="00A21D53"/>
    <w:rsid w:val="00A2283A"/>
    <w:rsid w:val="00A23DED"/>
    <w:rsid w:val="00A245A0"/>
    <w:rsid w:val="00A25ACE"/>
    <w:rsid w:val="00A2672B"/>
    <w:rsid w:val="00A2705D"/>
    <w:rsid w:val="00A30858"/>
    <w:rsid w:val="00A335E8"/>
    <w:rsid w:val="00A339B3"/>
    <w:rsid w:val="00A35315"/>
    <w:rsid w:val="00A35962"/>
    <w:rsid w:val="00A35ED8"/>
    <w:rsid w:val="00A36C33"/>
    <w:rsid w:val="00A40648"/>
    <w:rsid w:val="00A410DA"/>
    <w:rsid w:val="00A41735"/>
    <w:rsid w:val="00A41B6A"/>
    <w:rsid w:val="00A41DBD"/>
    <w:rsid w:val="00A42073"/>
    <w:rsid w:val="00A43095"/>
    <w:rsid w:val="00A4391B"/>
    <w:rsid w:val="00A441DA"/>
    <w:rsid w:val="00A46898"/>
    <w:rsid w:val="00A47EEF"/>
    <w:rsid w:val="00A47EF5"/>
    <w:rsid w:val="00A50122"/>
    <w:rsid w:val="00A519C5"/>
    <w:rsid w:val="00A5202C"/>
    <w:rsid w:val="00A52749"/>
    <w:rsid w:val="00A52805"/>
    <w:rsid w:val="00A53B50"/>
    <w:rsid w:val="00A54718"/>
    <w:rsid w:val="00A54FC4"/>
    <w:rsid w:val="00A61047"/>
    <w:rsid w:val="00A6244F"/>
    <w:rsid w:val="00A633F4"/>
    <w:rsid w:val="00A651DC"/>
    <w:rsid w:val="00A65C9C"/>
    <w:rsid w:val="00A662FE"/>
    <w:rsid w:val="00A67E7E"/>
    <w:rsid w:val="00A70679"/>
    <w:rsid w:val="00A71D1E"/>
    <w:rsid w:val="00A73055"/>
    <w:rsid w:val="00A762A9"/>
    <w:rsid w:val="00A76440"/>
    <w:rsid w:val="00A7691D"/>
    <w:rsid w:val="00A775E0"/>
    <w:rsid w:val="00A8674E"/>
    <w:rsid w:val="00A86979"/>
    <w:rsid w:val="00A9226F"/>
    <w:rsid w:val="00A946AA"/>
    <w:rsid w:val="00A95506"/>
    <w:rsid w:val="00A95DD1"/>
    <w:rsid w:val="00A97A86"/>
    <w:rsid w:val="00AA1AA3"/>
    <w:rsid w:val="00AA3E1B"/>
    <w:rsid w:val="00AA4DA5"/>
    <w:rsid w:val="00AA5C8D"/>
    <w:rsid w:val="00AA6C51"/>
    <w:rsid w:val="00AA6DD0"/>
    <w:rsid w:val="00AA73C4"/>
    <w:rsid w:val="00AA74EA"/>
    <w:rsid w:val="00AB1FBE"/>
    <w:rsid w:val="00AB5DB4"/>
    <w:rsid w:val="00AB643B"/>
    <w:rsid w:val="00AB75FD"/>
    <w:rsid w:val="00AC28D6"/>
    <w:rsid w:val="00AC30F9"/>
    <w:rsid w:val="00AC32ED"/>
    <w:rsid w:val="00AC49E2"/>
    <w:rsid w:val="00AC4D9C"/>
    <w:rsid w:val="00AC607F"/>
    <w:rsid w:val="00AC6A21"/>
    <w:rsid w:val="00AC7100"/>
    <w:rsid w:val="00AD098B"/>
    <w:rsid w:val="00AD17DE"/>
    <w:rsid w:val="00AD259A"/>
    <w:rsid w:val="00AD3D1A"/>
    <w:rsid w:val="00AD3D41"/>
    <w:rsid w:val="00AD511F"/>
    <w:rsid w:val="00AD5CB0"/>
    <w:rsid w:val="00AD6340"/>
    <w:rsid w:val="00AD6C1B"/>
    <w:rsid w:val="00AD78AD"/>
    <w:rsid w:val="00AE1388"/>
    <w:rsid w:val="00AE1B38"/>
    <w:rsid w:val="00AE5841"/>
    <w:rsid w:val="00AE58B2"/>
    <w:rsid w:val="00AF0707"/>
    <w:rsid w:val="00AF1B72"/>
    <w:rsid w:val="00AF2B33"/>
    <w:rsid w:val="00AF5CB1"/>
    <w:rsid w:val="00AF69D5"/>
    <w:rsid w:val="00AF6F45"/>
    <w:rsid w:val="00AF7219"/>
    <w:rsid w:val="00AF7E34"/>
    <w:rsid w:val="00B0118E"/>
    <w:rsid w:val="00B013FB"/>
    <w:rsid w:val="00B01FE8"/>
    <w:rsid w:val="00B046CF"/>
    <w:rsid w:val="00B04B48"/>
    <w:rsid w:val="00B0579D"/>
    <w:rsid w:val="00B111A4"/>
    <w:rsid w:val="00B114D0"/>
    <w:rsid w:val="00B11957"/>
    <w:rsid w:val="00B11CAF"/>
    <w:rsid w:val="00B11D79"/>
    <w:rsid w:val="00B1205C"/>
    <w:rsid w:val="00B121D6"/>
    <w:rsid w:val="00B1306E"/>
    <w:rsid w:val="00B13BFB"/>
    <w:rsid w:val="00B149FF"/>
    <w:rsid w:val="00B22AF3"/>
    <w:rsid w:val="00B22E17"/>
    <w:rsid w:val="00B23393"/>
    <w:rsid w:val="00B241E4"/>
    <w:rsid w:val="00B246F5"/>
    <w:rsid w:val="00B258F1"/>
    <w:rsid w:val="00B30D41"/>
    <w:rsid w:val="00B312C8"/>
    <w:rsid w:val="00B31423"/>
    <w:rsid w:val="00B32BC7"/>
    <w:rsid w:val="00B34D3D"/>
    <w:rsid w:val="00B37AFD"/>
    <w:rsid w:val="00B41BFE"/>
    <w:rsid w:val="00B4234F"/>
    <w:rsid w:val="00B4443C"/>
    <w:rsid w:val="00B44A45"/>
    <w:rsid w:val="00B46417"/>
    <w:rsid w:val="00B46D6D"/>
    <w:rsid w:val="00B47756"/>
    <w:rsid w:val="00B51F93"/>
    <w:rsid w:val="00B523F3"/>
    <w:rsid w:val="00B53800"/>
    <w:rsid w:val="00B54867"/>
    <w:rsid w:val="00B54C59"/>
    <w:rsid w:val="00B55830"/>
    <w:rsid w:val="00B55DAD"/>
    <w:rsid w:val="00B56614"/>
    <w:rsid w:val="00B5683D"/>
    <w:rsid w:val="00B56ABD"/>
    <w:rsid w:val="00B604C1"/>
    <w:rsid w:val="00B606C3"/>
    <w:rsid w:val="00B60BF6"/>
    <w:rsid w:val="00B62A5F"/>
    <w:rsid w:val="00B62ABA"/>
    <w:rsid w:val="00B6316B"/>
    <w:rsid w:val="00B65710"/>
    <w:rsid w:val="00B67553"/>
    <w:rsid w:val="00B71F6B"/>
    <w:rsid w:val="00B7302F"/>
    <w:rsid w:val="00B736A0"/>
    <w:rsid w:val="00B81508"/>
    <w:rsid w:val="00B82617"/>
    <w:rsid w:val="00B843B6"/>
    <w:rsid w:val="00B85912"/>
    <w:rsid w:val="00B85E55"/>
    <w:rsid w:val="00B869E6"/>
    <w:rsid w:val="00B929B8"/>
    <w:rsid w:val="00B958F2"/>
    <w:rsid w:val="00B97830"/>
    <w:rsid w:val="00B97C16"/>
    <w:rsid w:val="00BA2279"/>
    <w:rsid w:val="00BA5418"/>
    <w:rsid w:val="00BA675A"/>
    <w:rsid w:val="00BA6AF5"/>
    <w:rsid w:val="00BA6E9E"/>
    <w:rsid w:val="00BB0056"/>
    <w:rsid w:val="00BB1578"/>
    <w:rsid w:val="00BB159F"/>
    <w:rsid w:val="00BB24EE"/>
    <w:rsid w:val="00BB39A4"/>
    <w:rsid w:val="00BB412D"/>
    <w:rsid w:val="00BB69D5"/>
    <w:rsid w:val="00BB71FF"/>
    <w:rsid w:val="00BB72D8"/>
    <w:rsid w:val="00BB7EB3"/>
    <w:rsid w:val="00BC1A43"/>
    <w:rsid w:val="00BC3A80"/>
    <w:rsid w:val="00BC5AA2"/>
    <w:rsid w:val="00BC62A2"/>
    <w:rsid w:val="00BC7923"/>
    <w:rsid w:val="00BD0018"/>
    <w:rsid w:val="00BD6DFE"/>
    <w:rsid w:val="00BE0FA9"/>
    <w:rsid w:val="00BE2B64"/>
    <w:rsid w:val="00BE2E1F"/>
    <w:rsid w:val="00BE36CA"/>
    <w:rsid w:val="00BE4356"/>
    <w:rsid w:val="00BE51B7"/>
    <w:rsid w:val="00BE5C25"/>
    <w:rsid w:val="00BE70C9"/>
    <w:rsid w:val="00BE7176"/>
    <w:rsid w:val="00BE72AE"/>
    <w:rsid w:val="00BE72B9"/>
    <w:rsid w:val="00BE77B3"/>
    <w:rsid w:val="00BF0098"/>
    <w:rsid w:val="00BF02B3"/>
    <w:rsid w:val="00BF0856"/>
    <w:rsid w:val="00BF1B71"/>
    <w:rsid w:val="00BF4491"/>
    <w:rsid w:val="00BF51AB"/>
    <w:rsid w:val="00BF787C"/>
    <w:rsid w:val="00C01CC9"/>
    <w:rsid w:val="00C05EC8"/>
    <w:rsid w:val="00C07B9B"/>
    <w:rsid w:val="00C07F8A"/>
    <w:rsid w:val="00C10056"/>
    <w:rsid w:val="00C10220"/>
    <w:rsid w:val="00C11B77"/>
    <w:rsid w:val="00C11BB5"/>
    <w:rsid w:val="00C1283B"/>
    <w:rsid w:val="00C12FAA"/>
    <w:rsid w:val="00C15810"/>
    <w:rsid w:val="00C15EBD"/>
    <w:rsid w:val="00C16452"/>
    <w:rsid w:val="00C16DBD"/>
    <w:rsid w:val="00C16FE7"/>
    <w:rsid w:val="00C21B2A"/>
    <w:rsid w:val="00C22D8F"/>
    <w:rsid w:val="00C23B00"/>
    <w:rsid w:val="00C23C38"/>
    <w:rsid w:val="00C24085"/>
    <w:rsid w:val="00C24B2A"/>
    <w:rsid w:val="00C253B3"/>
    <w:rsid w:val="00C26076"/>
    <w:rsid w:val="00C35661"/>
    <w:rsid w:val="00C37083"/>
    <w:rsid w:val="00C376A1"/>
    <w:rsid w:val="00C42520"/>
    <w:rsid w:val="00C42B04"/>
    <w:rsid w:val="00C45354"/>
    <w:rsid w:val="00C46249"/>
    <w:rsid w:val="00C53A11"/>
    <w:rsid w:val="00C5553C"/>
    <w:rsid w:val="00C555D7"/>
    <w:rsid w:val="00C57324"/>
    <w:rsid w:val="00C62470"/>
    <w:rsid w:val="00C63EF4"/>
    <w:rsid w:val="00C645CC"/>
    <w:rsid w:val="00C648A1"/>
    <w:rsid w:val="00C660E9"/>
    <w:rsid w:val="00C704B8"/>
    <w:rsid w:val="00C70CEE"/>
    <w:rsid w:val="00C7124B"/>
    <w:rsid w:val="00C72145"/>
    <w:rsid w:val="00C731AE"/>
    <w:rsid w:val="00C74C61"/>
    <w:rsid w:val="00C76E98"/>
    <w:rsid w:val="00C778FF"/>
    <w:rsid w:val="00C86663"/>
    <w:rsid w:val="00C86782"/>
    <w:rsid w:val="00C86CD5"/>
    <w:rsid w:val="00C87E43"/>
    <w:rsid w:val="00C90A03"/>
    <w:rsid w:val="00C91199"/>
    <w:rsid w:val="00C913C3"/>
    <w:rsid w:val="00C91C00"/>
    <w:rsid w:val="00C940B4"/>
    <w:rsid w:val="00C94471"/>
    <w:rsid w:val="00C95218"/>
    <w:rsid w:val="00C9587B"/>
    <w:rsid w:val="00C96395"/>
    <w:rsid w:val="00C97048"/>
    <w:rsid w:val="00C9799D"/>
    <w:rsid w:val="00C97ED8"/>
    <w:rsid w:val="00CA0B2D"/>
    <w:rsid w:val="00CA18A6"/>
    <w:rsid w:val="00CA2F78"/>
    <w:rsid w:val="00CA3F59"/>
    <w:rsid w:val="00CA52B2"/>
    <w:rsid w:val="00CA5EBD"/>
    <w:rsid w:val="00CB012D"/>
    <w:rsid w:val="00CB2C6A"/>
    <w:rsid w:val="00CB4C64"/>
    <w:rsid w:val="00CB58D8"/>
    <w:rsid w:val="00CB6205"/>
    <w:rsid w:val="00CB6E67"/>
    <w:rsid w:val="00CB70C5"/>
    <w:rsid w:val="00CB75B2"/>
    <w:rsid w:val="00CC056E"/>
    <w:rsid w:val="00CC167A"/>
    <w:rsid w:val="00CC300C"/>
    <w:rsid w:val="00CC42C5"/>
    <w:rsid w:val="00CC42E7"/>
    <w:rsid w:val="00CC5724"/>
    <w:rsid w:val="00CD1FDF"/>
    <w:rsid w:val="00CD23FD"/>
    <w:rsid w:val="00CE37D3"/>
    <w:rsid w:val="00CE3D4B"/>
    <w:rsid w:val="00CE4581"/>
    <w:rsid w:val="00CE4928"/>
    <w:rsid w:val="00CE5924"/>
    <w:rsid w:val="00CF2A8A"/>
    <w:rsid w:val="00CF3F4D"/>
    <w:rsid w:val="00CF52F1"/>
    <w:rsid w:val="00CF550E"/>
    <w:rsid w:val="00CF5A3A"/>
    <w:rsid w:val="00CF63E5"/>
    <w:rsid w:val="00D02075"/>
    <w:rsid w:val="00D04279"/>
    <w:rsid w:val="00D073C0"/>
    <w:rsid w:val="00D079BD"/>
    <w:rsid w:val="00D12661"/>
    <w:rsid w:val="00D1352E"/>
    <w:rsid w:val="00D14418"/>
    <w:rsid w:val="00D165AB"/>
    <w:rsid w:val="00D16CB6"/>
    <w:rsid w:val="00D17C74"/>
    <w:rsid w:val="00D202EA"/>
    <w:rsid w:val="00D206BD"/>
    <w:rsid w:val="00D2077E"/>
    <w:rsid w:val="00D25A77"/>
    <w:rsid w:val="00D2603B"/>
    <w:rsid w:val="00D322CF"/>
    <w:rsid w:val="00D32B20"/>
    <w:rsid w:val="00D33A5C"/>
    <w:rsid w:val="00D34622"/>
    <w:rsid w:val="00D35726"/>
    <w:rsid w:val="00D371AD"/>
    <w:rsid w:val="00D3740A"/>
    <w:rsid w:val="00D3767C"/>
    <w:rsid w:val="00D40D86"/>
    <w:rsid w:val="00D40DAB"/>
    <w:rsid w:val="00D4362B"/>
    <w:rsid w:val="00D465C3"/>
    <w:rsid w:val="00D50EDE"/>
    <w:rsid w:val="00D5267A"/>
    <w:rsid w:val="00D5315E"/>
    <w:rsid w:val="00D5423C"/>
    <w:rsid w:val="00D55289"/>
    <w:rsid w:val="00D553CB"/>
    <w:rsid w:val="00D607B0"/>
    <w:rsid w:val="00D61226"/>
    <w:rsid w:val="00D61719"/>
    <w:rsid w:val="00D622F3"/>
    <w:rsid w:val="00D64885"/>
    <w:rsid w:val="00D67B83"/>
    <w:rsid w:val="00D715C0"/>
    <w:rsid w:val="00D71A3D"/>
    <w:rsid w:val="00D72FCE"/>
    <w:rsid w:val="00D7321F"/>
    <w:rsid w:val="00D73378"/>
    <w:rsid w:val="00D73656"/>
    <w:rsid w:val="00D73CF3"/>
    <w:rsid w:val="00D7798D"/>
    <w:rsid w:val="00D81C97"/>
    <w:rsid w:val="00D81EE5"/>
    <w:rsid w:val="00D8287D"/>
    <w:rsid w:val="00D82FDB"/>
    <w:rsid w:val="00D870A4"/>
    <w:rsid w:val="00D87DC8"/>
    <w:rsid w:val="00D90F32"/>
    <w:rsid w:val="00D936FB"/>
    <w:rsid w:val="00D968FF"/>
    <w:rsid w:val="00D97233"/>
    <w:rsid w:val="00DA2B6A"/>
    <w:rsid w:val="00DA486E"/>
    <w:rsid w:val="00DA6728"/>
    <w:rsid w:val="00DA7C85"/>
    <w:rsid w:val="00DB073C"/>
    <w:rsid w:val="00DB09C5"/>
    <w:rsid w:val="00DB375A"/>
    <w:rsid w:val="00DB764C"/>
    <w:rsid w:val="00DB7C63"/>
    <w:rsid w:val="00DC395B"/>
    <w:rsid w:val="00DC4A71"/>
    <w:rsid w:val="00DC58B2"/>
    <w:rsid w:val="00DC5A8E"/>
    <w:rsid w:val="00DC5D25"/>
    <w:rsid w:val="00DC65F4"/>
    <w:rsid w:val="00DC6A4E"/>
    <w:rsid w:val="00DC750C"/>
    <w:rsid w:val="00DD04B9"/>
    <w:rsid w:val="00DD06FE"/>
    <w:rsid w:val="00DD080B"/>
    <w:rsid w:val="00DD182D"/>
    <w:rsid w:val="00DD2050"/>
    <w:rsid w:val="00DD317D"/>
    <w:rsid w:val="00DD31EF"/>
    <w:rsid w:val="00DD3316"/>
    <w:rsid w:val="00DD6F9A"/>
    <w:rsid w:val="00DD7065"/>
    <w:rsid w:val="00DD7D4E"/>
    <w:rsid w:val="00DE0396"/>
    <w:rsid w:val="00DE03AA"/>
    <w:rsid w:val="00DE0885"/>
    <w:rsid w:val="00DE1BA2"/>
    <w:rsid w:val="00DE1F38"/>
    <w:rsid w:val="00DE50BA"/>
    <w:rsid w:val="00DF11EA"/>
    <w:rsid w:val="00DF2BBA"/>
    <w:rsid w:val="00DF30A8"/>
    <w:rsid w:val="00DF348F"/>
    <w:rsid w:val="00DF7E54"/>
    <w:rsid w:val="00E0086A"/>
    <w:rsid w:val="00E01652"/>
    <w:rsid w:val="00E02219"/>
    <w:rsid w:val="00E03649"/>
    <w:rsid w:val="00E0436D"/>
    <w:rsid w:val="00E07017"/>
    <w:rsid w:val="00E1001C"/>
    <w:rsid w:val="00E104AF"/>
    <w:rsid w:val="00E11C3C"/>
    <w:rsid w:val="00E136CF"/>
    <w:rsid w:val="00E155A7"/>
    <w:rsid w:val="00E1735B"/>
    <w:rsid w:val="00E2004F"/>
    <w:rsid w:val="00E20D9C"/>
    <w:rsid w:val="00E21053"/>
    <w:rsid w:val="00E231D5"/>
    <w:rsid w:val="00E23A7B"/>
    <w:rsid w:val="00E24665"/>
    <w:rsid w:val="00E265B4"/>
    <w:rsid w:val="00E26833"/>
    <w:rsid w:val="00E26CF9"/>
    <w:rsid w:val="00E27E8C"/>
    <w:rsid w:val="00E31039"/>
    <w:rsid w:val="00E33604"/>
    <w:rsid w:val="00E35F4D"/>
    <w:rsid w:val="00E3662F"/>
    <w:rsid w:val="00E36A61"/>
    <w:rsid w:val="00E37B3B"/>
    <w:rsid w:val="00E413AA"/>
    <w:rsid w:val="00E42EBA"/>
    <w:rsid w:val="00E433E6"/>
    <w:rsid w:val="00E45EFD"/>
    <w:rsid w:val="00E47BD3"/>
    <w:rsid w:val="00E47D10"/>
    <w:rsid w:val="00E50201"/>
    <w:rsid w:val="00E50468"/>
    <w:rsid w:val="00E519A8"/>
    <w:rsid w:val="00E54D30"/>
    <w:rsid w:val="00E54D43"/>
    <w:rsid w:val="00E55FB6"/>
    <w:rsid w:val="00E56FBB"/>
    <w:rsid w:val="00E624FD"/>
    <w:rsid w:val="00E63681"/>
    <w:rsid w:val="00E6415A"/>
    <w:rsid w:val="00E644BF"/>
    <w:rsid w:val="00E6471A"/>
    <w:rsid w:val="00E64C3F"/>
    <w:rsid w:val="00E64F23"/>
    <w:rsid w:val="00E6781E"/>
    <w:rsid w:val="00E70781"/>
    <w:rsid w:val="00E730E6"/>
    <w:rsid w:val="00E7588F"/>
    <w:rsid w:val="00E75AC0"/>
    <w:rsid w:val="00E81D05"/>
    <w:rsid w:val="00E81F63"/>
    <w:rsid w:val="00E82374"/>
    <w:rsid w:val="00E84748"/>
    <w:rsid w:val="00E862CD"/>
    <w:rsid w:val="00E87D3D"/>
    <w:rsid w:val="00E87E42"/>
    <w:rsid w:val="00E87FAA"/>
    <w:rsid w:val="00E90D64"/>
    <w:rsid w:val="00E9219F"/>
    <w:rsid w:val="00E928C8"/>
    <w:rsid w:val="00E9538C"/>
    <w:rsid w:val="00E95B4A"/>
    <w:rsid w:val="00EA150E"/>
    <w:rsid w:val="00EA230C"/>
    <w:rsid w:val="00EA2A26"/>
    <w:rsid w:val="00EA2AC7"/>
    <w:rsid w:val="00EA2B3E"/>
    <w:rsid w:val="00EA2E5D"/>
    <w:rsid w:val="00EA3161"/>
    <w:rsid w:val="00EA3812"/>
    <w:rsid w:val="00EA3B44"/>
    <w:rsid w:val="00EA3F2A"/>
    <w:rsid w:val="00EA4E9E"/>
    <w:rsid w:val="00EA61AA"/>
    <w:rsid w:val="00EA6253"/>
    <w:rsid w:val="00EA719D"/>
    <w:rsid w:val="00EB03B3"/>
    <w:rsid w:val="00EB2335"/>
    <w:rsid w:val="00EB71A2"/>
    <w:rsid w:val="00EC2D73"/>
    <w:rsid w:val="00EC459B"/>
    <w:rsid w:val="00EC518C"/>
    <w:rsid w:val="00EC6070"/>
    <w:rsid w:val="00EC624E"/>
    <w:rsid w:val="00EC6957"/>
    <w:rsid w:val="00ED125D"/>
    <w:rsid w:val="00ED24DF"/>
    <w:rsid w:val="00ED33C1"/>
    <w:rsid w:val="00ED386C"/>
    <w:rsid w:val="00ED3CF8"/>
    <w:rsid w:val="00ED52BA"/>
    <w:rsid w:val="00EE1857"/>
    <w:rsid w:val="00EE2975"/>
    <w:rsid w:val="00EE2DE9"/>
    <w:rsid w:val="00EE3E42"/>
    <w:rsid w:val="00EE49BD"/>
    <w:rsid w:val="00EE636C"/>
    <w:rsid w:val="00EE63AD"/>
    <w:rsid w:val="00EF4B55"/>
    <w:rsid w:val="00F00D86"/>
    <w:rsid w:val="00F025EF"/>
    <w:rsid w:val="00F02D76"/>
    <w:rsid w:val="00F04064"/>
    <w:rsid w:val="00F06499"/>
    <w:rsid w:val="00F0692D"/>
    <w:rsid w:val="00F12AF6"/>
    <w:rsid w:val="00F12D0C"/>
    <w:rsid w:val="00F12F4C"/>
    <w:rsid w:val="00F1373A"/>
    <w:rsid w:val="00F14180"/>
    <w:rsid w:val="00F1768B"/>
    <w:rsid w:val="00F22A3D"/>
    <w:rsid w:val="00F250F3"/>
    <w:rsid w:val="00F3093E"/>
    <w:rsid w:val="00F32A25"/>
    <w:rsid w:val="00F34896"/>
    <w:rsid w:val="00F42DB9"/>
    <w:rsid w:val="00F43682"/>
    <w:rsid w:val="00F4387C"/>
    <w:rsid w:val="00F45F34"/>
    <w:rsid w:val="00F4610B"/>
    <w:rsid w:val="00F466AD"/>
    <w:rsid w:val="00F5263F"/>
    <w:rsid w:val="00F54DA7"/>
    <w:rsid w:val="00F54F5A"/>
    <w:rsid w:val="00F5524D"/>
    <w:rsid w:val="00F56529"/>
    <w:rsid w:val="00F612C1"/>
    <w:rsid w:val="00F64FC2"/>
    <w:rsid w:val="00F671E2"/>
    <w:rsid w:val="00F723DB"/>
    <w:rsid w:val="00F734B0"/>
    <w:rsid w:val="00F744E5"/>
    <w:rsid w:val="00F74A70"/>
    <w:rsid w:val="00F77041"/>
    <w:rsid w:val="00F77EA3"/>
    <w:rsid w:val="00F83DDF"/>
    <w:rsid w:val="00F83EFB"/>
    <w:rsid w:val="00F8467C"/>
    <w:rsid w:val="00F87718"/>
    <w:rsid w:val="00F909A8"/>
    <w:rsid w:val="00F91B9B"/>
    <w:rsid w:val="00F9362A"/>
    <w:rsid w:val="00F943F7"/>
    <w:rsid w:val="00FA45DB"/>
    <w:rsid w:val="00FA4B43"/>
    <w:rsid w:val="00FA4E38"/>
    <w:rsid w:val="00FA5477"/>
    <w:rsid w:val="00FA5EBC"/>
    <w:rsid w:val="00FA5F0D"/>
    <w:rsid w:val="00FA7537"/>
    <w:rsid w:val="00FB1B17"/>
    <w:rsid w:val="00FB4367"/>
    <w:rsid w:val="00FB58D6"/>
    <w:rsid w:val="00FB6D50"/>
    <w:rsid w:val="00FC0395"/>
    <w:rsid w:val="00FC0A0F"/>
    <w:rsid w:val="00FC2510"/>
    <w:rsid w:val="00FC2E3F"/>
    <w:rsid w:val="00FC316A"/>
    <w:rsid w:val="00FC3A6C"/>
    <w:rsid w:val="00FC3A96"/>
    <w:rsid w:val="00FC3F3A"/>
    <w:rsid w:val="00FC3F9C"/>
    <w:rsid w:val="00FC4156"/>
    <w:rsid w:val="00FC4BCE"/>
    <w:rsid w:val="00FC4F08"/>
    <w:rsid w:val="00FC5DB0"/>
    <w:rsid w:val="00FC5FD4"/>
    <w:rsid w:val="00FD3683"/>
    <w:rsid w:val="00FD4F5C"/>
    <w:rsid w:val="00FD52D9"/>
    <w:rsid w:val="00FE091C"/>
    <w:rsid w:val="00FE0F97"/>
    <w:rsid w:val="00FE2048"/>
    <w:rsid w:val="00FE3C23"/>
    <w:rsid w:val="00FE4179"/>
    <w:rsid w:val="00FE43FA"/>
    <w:rsid w:val="00FE4A47"/>
    <w:rsid w:val="00FE5B40"/>
    <w:rsid w:val="00FE6875"/>
    <w:rsid w:val="00FE6F9E"/>
    <w:rsid w:val="00FE7E66"/>
    <w:rsid w:val="00FE7EBC"/>
    <w:rsid w:val="00FF3223"/>
    <w:rsid w:val="00FF322D"/>
    <w:rsid w:val="00FF5478"/>
    <w:rsid w:val="00FF6348"/>
    <w:rsid w:val="00FF7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38ED2AD6"/>
  <w15:docId w15:val="{EE234C5C-4556-45AF-BCC2-8BAC71B5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674"/>
    <w:pPr>
      <w:spacing w:line="274" w:lineRule="auto"/>
    </w:pPr>
    <w:rPr>
      <w:rFonts w:ascii="Arial" w:hAnsi="Arial"/>
      <w:szCs w:val="20"/>
    </w:rPr>
  </w:style>
  <w:style w:type="paragraph" w:styleId="Heading1">
    <w:name w:val="heading 1"/>
    <w:aliases w:val="heading 1"/>
    <w:basedOn w:val="Normal"/>
    <w:next w:val="BodyText"/>
    <w:link w:val="Heading1Char"/>
    <w:qFormat/>
    <w:rsid w:val="00026C60"/>
    <w:pPr>
      <w:keepNext/>
      <w:pageBreakBefore/>
      <w:numPr>
        <w:numId w:val="1"/>
      </w:numPr>
      <w:spacing w:before="360" w:after="360"/>
      <w:outlineLvl w:val="0"/>
    </w:pPr>
    <w:rPr>
      <w:b/>
      <w:caps/>
      <w:sz w:val="32"/>
    </w:rPr>
  </w:style>
  <w:style w:type="paragraph" w:styleId="Heading2">
    <w:name w:val="heading 2"/>
    <w:aliases w:val="heading 2"/>
    <w:basedOn w:val="Normal"/>
    <w:next w:val="BodyText"/>
    <w:link w:val="Heading2Char"/>
    <w:qFormat/>
    <w:rsid w:val="00026C60"/>
    <w:pPr>
      <w:keepNext/>
      <w:numPr>
        <w:ilvl w:val="1"/>
        <w:numId w:val="1"/>
      </w:numPr>
      <w:spacing w:before="360"/>
      <w:outlineLvl w:val="1"/>
    </w:pPr>
    <w:rPr>
      <w:b/>
      <w:sz w:val="28"/>
    </w:rPr>
  </w:style>
  <w:style w:type="paragraph" w:styleId="Heading3">
    <w:name w:val="heading 3"/>
    <w:aliases w:val="heading 3"/>
    <w:basedOn w:val="Heading2"/>
    <w:next w:val="BodyText2"/>
    <w:link w:val="Heading3Char"/>
    <w:qFormat/>
    <w:rsid w:val="009E0AB3"/>
    <w:pPr>
      <w:numPr>
        <w:ilvl w:val="2"/>
      </w:numPr>
      <w:tabs>
        <w:tab w:val="clear" w:pos="1440"/>
      </w:tabs>
      <w:ind w:left="1080" w:hanging="360"/>
      <w:outlineLvl w:val="2"/>
    </w:pPr>
    <w:rPr>
      <w:sz w:val="24"/>
    </w:rPr>
  </w:style>
  <w:style w:type="paragraph" w:styleId="Heading4">
    <w:name w:val="heading 4"/>
    <w:basedOn w:val="Heading3"/>
    <w:next w:val="BodyText2"/>
    <w:link w:val="Heading4Char"/>
    <w:qFormat/>
    <w:rsid w:val="00026C60"/>
    <w:pPr>
      <w:numPr>
        <w:ilvl w:val="3"/>
      </w:numPr>
      <w:spacing w:before="240"/>
      <w:outlineLvl w:val="3"/>
    </w:pPr>
    <w:rPr>
      <w:rFonts w:cs="Arial"/>
      <w:sz w:val="22"/>
    </w:rPr>
  </w:style>
  <w:style w:type="paragraph" w:styleId="Heading5">
    <w:name w:val="heading 5"/>
    <w:basedOn w:val="Heading4"/>
    <w:next w:val="Normal"/>
    <w:link w:val="Heading5Char"/>
    <w:qFormat/>
    <w:rsid w:val="00026C60"/>
    <w:pPr>
      <w:numPr>
        <w:ilvl w:val="4"/>
      </w:numPr>
      <w:tabs>
        <w:tab w:val="left" w:pos="990"/>
      </w:tabs>
      <w:jc w:val="both"/>
      <w:outlineLvl w:val="4"/>
    </w:pPr>
  </w:style>
  <w:style w:type="paragraph" w:styleId="Heading6">
    <w:name w:val="heading 6"/>
    <w:basedOn w:val="Normal"/>
    <w:next w:val="Normal"/>
    <w:link w:val="Heading6Char"/>
    <w:uiPriority w:val="99"/>
    <w:qFormat/>
    <w:rsid w:val="00026C60"/>
    <w:pPr>
      <w:keepNext/>
      <w:jc w:val="right"/>
      <w:outlineLvl w:val="5"/>
    </w:pPr>
    <w:rPr>
      <w:b/>
      <w:i/>
      <w:sz w:val="18"/>
    </w:rPr>
  </w:style>
  <w:style w:type="paragraph" w:styleId="Heading7">
    <w:name w:val="heading 7"/>
    <w:basedOn w:val="Normal"/>
    <w:next w:val="Normal"/>
    <w:link w:val="Heading7Char"/>
    <w:uiPriority w:val="99"/>
    <w:qFormat/>
    <w:rsid w:val="00026C60"/>
    <w:pPr>
      <w:keepNext/>
      <w:outlineLvl w:val="6"/>
    </w:pPr>
    <w:rPr>
      <w:b/>
    </w:rPr>
  </w:style>
  <w:style w:type="paragraph" w:styleId="Heading8">
    <w:name w:val="heading 8"/>
    <w:basedOn w:val="Normal"/>
    <w:next w:val="Normal"/>
    <w:link w:val="Heading8Char"/>
    <w:uiPriority w:val="99"/>
    <w:qFormat/>
    <w:rsid w:val="00026C60"/>
    <w:pPr>
      <w:keepNext/>
      <w:spacing w:before="120"/>
      <w:outlineLvl w:val="7"/>
    </w:pPr>
    <w:rPr>
      <w:b/>
      <w:sz w:val="28"/>
    </w:rPr>
  </w:style>
  <w:style w:type="paragraph" w:styleId="Heading9">
    <w:name w:val="heading 9"/>
    <w:basedOn w:val="Normal"/>
    <w:next w:val="Normal"/>
    <w:link w:val="Heading9Char"/>
    <w:uiPriority w:val="99"/>
    <w:qFormat/>
    <w:rsid w:val="00026C60"/>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w:basedOn w:val="DefaultParagraphFont"/>
    <w:link w:val="Heading1"/>
    <w:rsid w:val="00A869BE"/>
    <w:rPr>
      <w:rFonts w:ascii="Arial" w:hAnsi="Arial"/>
      <w:b/>
      <w:caps/>
      <w:sz w:val="32"/>
      <w:szCs w:val="20"/>
    </w:rPr>
  </w:style>
  <w:style w:type="character" w:customStyle="1" w:styleId="Heading2Char">
    <w:name w:val="Heading 2 Char"/>
    <w:aliases w:val="heading 2 Char"/>
    <w:basedOn w:val="DefaultParagraphFont"/>
    <w:link w:val="Heading2"/>
    <w:rsid w:val="00A869BE"/>
    <w:rPr>
      <w:rFonts w:ascii="Arial" w:hAnsi="Arial"/>
      <w:b/>
      <w:sz w:val="28"/>
      <w:szCs w:val="20"/>
    </w:rPr>
  </w:style>
  <w:style w:type="character" w:customStyle="1" w:styleId="Heading3Char">
    <w:name w:val="Heading 3 Char"/>
    <w:aliases w:val="heading 3 Char"/>
    <w:basedOn w:val="DefaultParagraphFont"/>
    <w:link w:val="Heading3"/>
    <w:rsid w:val="009E0AB3"/>
    <w:rPr>
      <w:rFonts w:ascii="Arial" w:hAnsi="Arial"/>
      <w:b/>
      <w:sz w:val="24"/>
      <w:szCs w:val="20"/>
    </w:rPr>
  </w:style>
  <w:style w:type="character" w:customStyle="1" w:styleId="Heading4Char">
    <w:name w:val="Heading 4 Char"/>
    <w:basedOn w:val="DefaultParagraphFont"/>
    <w:link w:val="Heading4"/>
    <w:rsid w:val="00A869BE"/>
    <w:rPr>
      <w:rFonts w:ascii="Arial" w:hAnsi="Arial" w:cs="Arial"/>
      <w:b/>
      <w:szCs w:val="20"/>
    </w:rPr>
  </w:style>
  <w:style w:type="character" w:customStyle="1" w:styleId="Heading5Char">
    <w:name w:val="Heading 5 Char"/>
    <w:basedOn w:val="DefaultParagraphFont"/>
    <w:link w:val="Heading5"/>
    <w:uiPriority w:val="99"/>
    <w:rsid w:val="00A869BE"/>
    <w:rPr>
      <w:rFonts w:ascii="Arial" w:hAnsi="Arial" w:cs="Arial"/>
      <w:b/>
      <w:szCs w:val="20"/>
    </w:rPr>
  </w:style>
  <w:style w:type="character" w:customStyle="1" w:styleId="Heading6Char">
    <w:name w:val="Heading 6 Char"/>
    <w:basedOn w:val="DefaultParagraphFont"/>
    <w:link w:val="Heading6"/>
    <w:uiPriority w:val="9"/>
    <w:semiHidden/>
    <w:rsid w:val="00A869BE"/>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869BE"/>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869BE"/>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869BE"/>
    <w:rPr>
      <w:rFonts w:asciiTheme="majorHAnsi" w:eastAsiaTheme="majorEastAsia" w:hAnsiTheme="majorHAnsi" w:cstheme="majorBidi"/>
    </w:rPr>
  </w:style>
  <w:style w:type="paragraph" w:styleId="BodyText">
    <w:name w:val="Body Text"/>
    <w:basedOn w:val="Normal"/>
    <w:link w:val="BodyTextChar"/>
    <w:uiPriority w:val="99"/>
    <w:rsid w:val="00026C60"/>
    <w:pPr>
      <w:spacing w:before="240"/>
    </w:pPr>
  </w:style>
  <w:style w:type="character" w:customStyle="1" w:styleId="BodyTextChar">
    <w:name w:val="Body Text Char"/>
    <w:basedOn w:val="DefaultParagraphFont"/>
    <w:link w:val="BodyText"/>
    <w:uiPriority w:val="99"/>
    <w:rsid w:val="00A869BE"/>
    <w:rPr>
      <w:rFonts w:ascii="Arial" w:hAnsi="Arial"/>
      <w:szCs w:val="20"/>
    </w:rPr>
  </w:style>
  <w:style w:type="paragraph" w:styleId="BodyText2">
    <w:name w:val="Body Text 2"/>
    <w:basedOn w:val="Normal"/>
    <w:link w:val="BodyText2Char"/>
    <w:uiPriority w:val="99"/>
    <w:rsid w:val="00026C60"/>
    <w:pPr>
      <w:spacing w:before="240"/>
      <w:ind w:left="720"/>
    </w:pPr>
    <w:rPr>
      <w:color w:val="000000"/>
    </w:rPr>
  </w:style>
  <w:style w:type="character" w:customStyle="1" w:styleId="BodyText2Char">
    <w:name w:val="Body Text 2 Char"/>
    <w:basedOn w:val="DefaultParagraphFont"/>
    <w:link w:val="BodyText2"/>
    <w:uiPriority w:val="99"/>
    <w:semiHidden/>
    <w:rsid w:val="00A869BE"/>
    <w:rPr>
      <w:rFonts w:ascii="Arial" w:hAnsi="Arial"/>
      <w:szCs w:val="20"/>
    </w:rPr>
  </w:style>
  <w:style w:type="paragraph" w:styleId="TOC1">
    <w:name w:val="toc 1"/>
    <w:basedOn w:val="Normal"/>
    <w:next w:val="Normal"/>
    <w:autoRedefine/>
    <w:uiPriority w:val="39"/>
    <w:rsid w:val="0040275E"/>
    <w:pPr>
      <w:tabs>
        <w:tab w:val="right" w:leader="dot" w:pos="9360"/>
      </w:tabs>
      <w:ind w:left="547" w:hanging="547"/>
    </w:pPr>
    <w:rPr>
      <w:rFonts w:cs="Arial"/>
      <w:noProof/>
    </w:rPr>
  </w:style>
  <w:style w:type="paragraph" w:styleId="TOC2">
    <w:name w:val="toc 2"/>
    <w:basedOn w:val="Normal"/>
    <w:next w:val="Normal"/>
    <w:autoRedefine/>
    <w:uiPriority w:val="39"/>
    <w:rsid w:val="00026C60"/>
    <w:pPr>
      <w:tabs>
        <w:tab w:val="left" w:pos="1260"/>
        <w:tab w:val="right" w:leader="dot" w:pos="9360"/>
      </w:tabs>
      <w:ind w:left="1260" w:right="360" w:hanging="720"/>
    </w:pPr>
    <w:rPr>
      <w:noProof/>
      <w:szCs w:val="28"/>
    </w:rPr>
  </w:style>
  <w:style w:type="paragraph" w:styleId="TOC3">
    <w:name w:val="toc 3"/>
    <w:basedOn w:val="Normal"/>
    <w:next w:val="Normal"/>
    <w:autoRedefine/>
    <w:uiPriority w:val="39"/>
    <w:rsid w:val="00026C60"/>
    <w:pPr>
      <w:tabs>
        <w:tab w:val="left" w:pos="1980"/>
        <w:tab w:val="right" w:leader="dot" w:pos="9360"/>
      </w:tabs>
      <w:ind w:left="1980" w:right="360" w:hanging="720"/>
    </w:pPr>
    <w:rPr>
      <w:noProof/>
    </w:rPr>
  </w:style>
  <w:style w:type="paragraph" w:styleId="TOC4">
    <w:name w:val="toc 4"/>
    <w:basedOn w:val="Normal"/>
    <w:next w:val="Normal"/>
    <w:autoRedefine/>
    <w:uiPriority w:val="39"/>
    <w:rsid w:val="00026C60"/>
    <w:pPr>
      <w:tabs>
        <w:tab w:val="left" w:pos="2700"/>
        <w:tab w:val="right" w:leader="dot" w:pos="9360"/>
      </w:tabs>
      <w:ind w:left="2700" w:hanging="900"/>
    </w:pPr>
    <w:rPr>
      <w:noProof/>
    </w:rPr>
  </w:style>
  <w:style w:type="paragraph" w:styleId="Footer">
    <w:name w:val="footer"/>
    <w:basedOn w:val="Normal"/>
    <w:link w:val="FooterChar"/>
    <w:uiPriority w:val="99"/>
    <w:rsid w:val="00026C60"/>
    <w:pPr>
      <w:tabs>
        <w:tab w:val="center" w:pos="4320"/>
        <w:tab w:val="right" w:pos="8640"/>
      </w:tabs>
    </w:pPr>
  </w:style>
  <w:style w:type="character" w:customStyle="1" w:styleId="FooterChar">
    <w:name w:val="Footer Char"/>
    <w:basedOn w:val="DefaultParagraphFont"/>
    <w:link w:val="Footer"/>
    <w:uiPriority w:val="99"/>
    <w:rsid w:val="00A869BE"/>
    <w:rPr>
      <w:rFonts w:ascii="Arial" w:hAnsi="Arial"/>
      <w:szCs w:val="20"/>
    </w:rPr>
  </w:style>
  <w:style w:type="paragraph" w:styleId="TOC5">
    <w:name w:val="toc 5"/>
    <w:basedOn w:val="Normal"/>
    <w:next w:val="Normal"/>
    <w:autoRedefine/>
    <w:uiPriority w:val="39"/>
    <w:rsid w:val="00026C60"/>
    <w:pPr>
      <w:tabs>
        <w:tab w:val="right" w:leader="dot" w:pos="9350"/>
      </w:tabs>
    </w:pPr>
    <w:rPr>
      <w:noProof/>
    </w:rPr>
  </w:style>
  <w:style w:type="paragraph" w:styleId="TOC6">
    <w:name w:val="toc 6"/>
    <w:basedOn w:val="Normal"/>
    <w:next w:val="Normal"/>
    <w:autoRedefine/>
    <w:uiPriority w:val="39"/>
    <w:rsid w:val="00026C60"/>
    <w:pPr>
      <w:ind w:left="1000"/>
    </w:pPr>
  </w:style>
  <w:style w:type="paragraph" w:styleId="TOC7">
    <w:name w:val="toc 7"/>
    <w:basedOn w:val="Normal"/>
    <w:next w:val="Normal"/>
    <w:autoRedefine/>
    <w:uiPriority w:val="39"/>
    <w:rsid w:val="00026C60"/>
    <w:pPr>
      <w:ind w:left="1200"/>
    </w:pPr>
  </w:style>
  <w:style w:type="paragraph" w:styleId="TOC8">
    <w:name w:val="toc 8"/>
    <w:basedOn w:val="Normal"/>
    <w:next w:val="Normal"/>
    <w:autoRedefine/>
    <w:uiPriority w:val="39"/>
    <w:rsid w:val="00026C60"/>
    <w:pPr>
      <w:ind w:left="1400"/>
    </w:pPr>
  </w:style>
  <w:style w:type="paragraph" w:styleId="TOC9">
    <w:name w:val="toc 9"/>
    <w:basedOn w:val="Normal"/>
    <w:next w:val="Normal"/>
    <w:autoRedefine/>
    <w:uiPriority w:val="39"/>
    <w:rsid w:val="00026C60"/>
    <w:pPr>
      <w:ind w:left="1600"/>
    </w:pPr>
  </w:style>
  <w:style w:type="character" w:styleId="Hyperlink">
    <w:name w:val="Hyperlink"/>
    <w:basedOn w:val="DefaultParagraphFont"/>
    <w:uiPriority w:val="99"/>
    <w:rsid w:val="00026C60"/>
    <w:rPr>
      <w:rFonts w:ascii="Arial" w:hAnsi="Arial" w:cs="Times New Roman"/>
      <w:color w:val="0000FF"/>
      <w:sz w:val="22"/>
      <w:u w:val="single"/>
    </w:rPr>
  </w:style>
  <w:style w:type="paragraph" w:styleId="BodyText3">
    <w:name w:val="Body Text 3"/>
    <w:basedOn w:val="Normal"/>
    <w:link w:val="BodyText3Char"/>
    <w:uiPriority w:val="99"/>
    <w:rsid w:val="00026C60"/>
    <w:pPr>
      <w:tabs>
        <w:tab w:val="left" w:pos="1440"/>
      </w:tabs>
      <w:spacing w:before="120"/>
      <w:ind w:left="720"/>
    </w:pPr>
    <w:rPr>
      <w:rFonts w:cs="Arial"/>
    </w:rPr>
  </w:style>
  <w:style w:type="character" w:customStyle="1" w:styleId="BodyText3Char">
    <w:name w:val="Body Text 3 Char"/>
    <w:basedOn w:val="DefaultParagraphFont"/>
    <w:link w:val="BodyText3"/>
    <w:uiPriority w:val="99"/>
    <w:semiHidden/>
    <w:rsid w:val="00A869BE"/>
    <w:rPr>
      <w:rFonts w:ascii="Arial" w:hAnsi="Arial"/>
      <w:sz w:val="16"/>
      <w:szCs w:val="16"/>
    </w:rPr>
  </w:style>
  <w:style w:type="character" w:styleId="PageNumber">
    <w:name w:val="page number"/>
    <w:basedOn w:val="DefaultParagraphFont"/>
    <w:rsid w:val="00026C60"/>
    <w:rPr>
      <w:rFonts w:cs="Times New Roman"/>
    </w:rPr>
  </w:style>
  <w:style w:type="paragraph" w:customStyle="1" w:styleId="SchemaBullet1">
    <w:name w:val="SchemaBullet1"/>
    <w:basedOn w:val="SchemaTxt"/>
    <w:uiPriority w:val="99"/>
    <w:rsid w:val="00026C60"/>
    <w:pPr>
      <w:tabs>
        <w:tab w:val="num" w:pos="432"/>
      </w:tabs>
      <w:spacing w:before="60"/>
      <w:ind w:left="432" w:hanging="432"/>
    </w:pPr>
  </w:style>
  <w:style w:type="paragraph" w:customStyle="1" w:styleId="SchemaTxt">
    <w:name w:val="SchemaTxt"/>
    <w:basedOn w:val="Normal"/>
    <w:uiPriority w:val="99"/>
    <w:rsid w:val="00026C60"/>
    <w:pPr>
      <w:tabs>
        <w:tab w:val="left" w:pos="2160"/>
      </w:tabs>
      <w:ind w:left="2160" w:hanging="2160"/>
    </w:pPr>
    <w:rPr>
      <w:bCs/>
    </w:rPr>
  </w:style>
  <w:style w:type="paragraph" w:customStyle="1" w:styleId="Bulletlisting">
    <w:name w:val="Bullet (listing)"/>
    <w:basedOn w:val="Normal"/>
    <w:uiPriority w:val="99"/>
    <w:rsid w:val="00026C60"/>
    <w:pPr>
      <w:tabs>
        <w:tab w:val="num" w:pos="360"/>
      </w:tabs>
      <w:spacing w:before="120"/>
      <w:ind w:left="360" w:hanging="360"/>
    </w:pPr>
  </w:style>
  <w:style w:type="paragraph" w:styleId="ListBullet2">
    <w:name w:val="List Bullet 2"/>
    <w:basedOn w:val="Normal"/>
    <w:autoRedefine/>
    <w:uiPriority w:val="99"/>
    <w:rsid w:val="00026C60"/>
    <w:pPr>
      <w:tabs>
        <w:tab w:val="num" w:pos="1080"/>
      </w:tabs>
      <w:spacing w:before="120"/>
      <w:ind w:left="1080" w:hanging="360"/>
    </w:pPr>
  </w:style>
  <w:style w:type="paragraph" w:customStyle="1" w:styleId="Bulletlisting2">
    <w:name w:val="Bullet (listing)2"/>
    <w:basedOn w:val="ListBullet2"/>
    <w:uiPriority w:val="99"/>
    <w:rsid w:val="00026C60"/>
    <w:pPr>
      <w:tabs>
        <w:tab w:val="num" w:pos="792"/>
        <w:tab w:val="left" w:pos="1080"/>
      </w:tabs>
      <w:spacing w:before="60"/>
    </w:pPr>
  </w:style>
  <w:style w:type="paragraph" w:customStyle="1" w:styleId="ListNumber2">
    <w:name w:val="List Number2"/>
    <w:basedOn w:val="ListBullet2"/>
    <w:uiPriority w:val="99"/>
    <w:rsid w:val="00026C60"/>
  </w:style>
  <w:style w:type="paragraph" w:customStyle="1" w:styleId="ListNumber2a">
    <w:name w:val="List Number2a"/>
    <w:basedOn w:val="Normal"/>
    <w:uiPriority w:val="99"/>
    <w:rsid w:val="00026C60"/>
    <w:pPr>
      <w:tabs>
        <w:tab w:val="num" w:pos="1260"/>
      </w:tabs>
      <w:spacing w:before="120"/>
      <w:ind w:left="1267" w:hanging="360"/>
    </w:pPr>
  </w:style>
  <w:style w:type="paragraph" w:customStyle="1" w:styleId="ListNumber1">
    <w:name w:val="ListNumber1"/>
    <w:basedOn w:val="Normal"/>
    <w:uiPriority w:val="99"/>
    <w:rsid w:val="00026C60"/>
    <w:pPr>
      <w:tabs>
        <w:tab w:val="num" w:pos="360"/>
      </w:tabs>
      <w:spacing w:before="120"/>
      <w:ind w:left="360" w:hanging="360"/>
    </w:pPr>
  </w:style>
  <w:style w:type="paragraph" w:customStyle="1" w:styleId="Section">
    <w:name w:val="Section"/>
    <w:basedOn w:val="Normal"/>
    <w:next w:val="BodyText"/>
    <w:autoRedefine/>
    <w:uiPriority w:val="99"/>
    <w:rsid w:val="00026C60"/>
    <w:pPr>
      <w:tabs>
        <w:tab w:val="num" w:pos="1800"/>
      </w:tabs>
      <w:spacing w:before="360" w:after="360" w:line="280" w:lineRule="atLeast"/>
    </w:pPr>
    <w:rPr>
      <w:b/>
      <w:caps/>
      <w:sz w:val="32"/>
    </w:rPr>
  </w:style>
  <w:style w:type="paragraph" w:customStyle="1" w:styleId="SchemaTitle">
    <w:name w:val="SchemaTitle"/>
    <w:basedOn w:val="Normal"/>
    <w:uiPriority w:val="99"/>
    <w:rsid w:val="00026C60"/>
    <w:pPr>
      <w:spacing w:before="240" w:after="240"/>
      <w:jc w:val="center"/>
    </w:pPr>
    <w:rPr>
      <w:b/>
      <w:caps/>
      <w:sz w:val="24"/>
      <w:szCs w:val="24"/>
    </w:rPr>
  </w:style>
  <w:style w:type="paragraph" w:customStyle="1" w:styleId="Bulletlisting3">
    <w:name w:val="Bullet (listing)3"/>
    <w:basedOn w:val="Normal"/>
    <w:uiPriority w:val="99"/>
    <w:rsid w:val="00026C60"/>
    <w:pPr>
      <w:tabs>
        <w:tab w:val="num" w:pos="1080"/>
      </w:tabs>
      <w:spacing w:before="120"/>
      <w:ind w:left="1080" w:hanging="360"/>
    </w:pPr>
    <w:rPr>
      <w:rFonts w:cs="Arial"/>
    </w:rPr>
  </w:style>
  <w:style w:type="paragraph" w:customStyle="1" w:styleId="Appendix">
    <w:name w:val="Appendix"/>
    <w:basedOn w:val="Heading1"/>
    <w:next w:val="BodyText"/>
    <w:uiPriority w:val="99"/>
    <w:rsid w:val="00026C60"/>
    <w:pPr>
      <w:numPr>
        <w:numId w:val="0"/>
      </w:numPr>
      <w:jc w:val="center"/>
    </w:pPr>
    <w:rPr>
      <w:rFonts w:cs="Arial"/>
      <w:sz w:val="28"/>
    </w:rPr>
  </w:style>
  <w:style w:type="paragraph" w:styleId="Header">
    <w:name w:val="header"/>
    <w:basedOn w:val="Normal"/>
    <w:link w:val="HeaderChar"/>
    <w:uiPriority w:val="99"/>
    <w:rsid w:val="00026C60"/>
    <w:pPr>
      <w:tabs>
        <w:tab w:val="center" w:pos="4320"/>
        <w:tab w:val="right" w:pos="8640"/>
      </w:tabs>
    </w:pPr>
  </w:style>
  <w:style w:type="character" w:customStyle="1" w:styleId="HeaderChar">
    <w:name w:val="Header Char"/>
    <w:basedOn w:val="DefaultParagraphFont"/>
    <w:link w:val="Header"/>
    <w:uiPriority w:val="99"/>
    <w:rsid w:val="00A869BE"/>
    <w:rPr>
      <w:rFonts w:ascii="Arial" w:hAnsi="Arial"/>
      <w:szCs w:val="20"/>
    </w:rPr>
  </w:style>
  <w:style w:type="paragraph" w:styleId="CommentText">
    <w:name w:val="annotation text"/>
    <w:basedOn w:val="Normal"/>
    <w:link w:val="CommentTextChar"/>
    <w:semiHidden/>
    <w:rsid w:val="00026C60"/>
    <w:pPr>
      <w:spacing w:line="240" w:lineRule="auto"/>
    </w:pPr>
    <w:rPr>
      <w:sz w:val="20"/>
    </w:rPr>
  </w:style>
  <w:style w:type="character" w:customStyle="1" w:styleId="CommentTextChar">
    <w:name w:val="Comment Text Char"/>
    <w:basedOn w:val="DefaultParagraphFont"/>
    <w:link w:val="CommentText"/>
    <w:semiHidden/>
    <w:rsid w:val="00A869BE"/>
    <w:rPr>
      <w:rFonts w:ascii="Arial" w:hAnsi="Arial"/>
      <w:sz w:val="20"/>
      <w:szCs w:val="20"/>
    </w:rPr>
  </w:style>
  <w:style w:type="character" w:styleId="FollowedHyperlink">
    <w:name w:val="FollowedHyperlink"/>
    <w:basedOn w:val="DefaultParagraphFont"/>
    <w:uiPriority w:val="99"/>
    <w:rsid w:val="00026C60"/>
    <w:rPr>
      <w:rFonts w:cs="Times New Roman"/>
      <w:color w:val="800080"/>
      <w:u w:val="single"/>
    </w:rPr>
  </w:style>
  <w:style w:type="paragraph" w:customStyle="1" w:styleId="BodyText4">
    <w:name w:val="Body Text 4"/>
    <w:basedOn w:val="BodyText3"/>
    <w:uiPriority w:val="99"/>
    <w:rsid w:val="00026C60"/>
    <w:pPr>
      <w:ind w:left="1440"/>
    </w:pPr>
  </w:style>
  <w:style w:type="paragraph" w:styleId="BalloonText">
    <w:name w:val="Balloon Text"/>
    <w:basedOn w:val="Normal"/>
    <w:link w:val="BalloonTextChar"/>
    <w:uiPriority w:val="99"/>
    <w:semiHidden/>
    <w:rsid w:val="00026C60"/>
    <w:rPr>
      <w:rFonts w:ascii="Tahoma" w:hAnsi="Tahoma" w:cs="Tahoma"/>
      <w:sz w:val="16"/>
      <w:szCs w:val="16"/>
    </w:rPr>
  </w:style>
  <w:style w:type="character" w:customStyle="1" w:styleId="BalloonTextChar">
    <w:name w:val="Balloon Text Char"/>
    <w:basedOn w:val="DefaultParagraphFont"/>
    <w:link w:val="BalloonText"/>
    <w:uiPriority w:val="99"/>
    <w:semiHidden/>
    <w:rsid w:val="00A869BE"/>
    <w:rPr>
      <w:sz w:val="0"/>
      <w:szCs w:val="0"/>
    </w:rPr>
  </w:style>
  <w:style w:type="paragraph" w:styleId="Title">
    <w:name w:val="Title"/>
    <w:basedOn w:val="Normal"/>
    <w:link w:val="TitleChar"/>
    <w:qFormat/>
    <w:rsid w:val="00026C60"/>
    <w:pPr>
      <w:spacing w:before="120" w:after="240" w:line="240" w:lineRule="auto"/>
      <w:jc w:val="center"/>
    </w:pPr>
    <w:rPr>
      <w:sz w:val="24"/>
      <w:szCs w:val="24"/>
    </w:rPr>
  </w:style>
  <w:style w:type="character" w:customStyle="1" w:styleId="TitleChar">
    <w:name w:val="Title Char"/>
    <w:basedOn w:val="DefaultParagraphFont"/>
    <w:link w:val="Title"/>
    <w:uiPriority w:val="10"/>
    <w:rsid w:val="00A869BE"/>
    <w:rPr>
      <w:rFonts w:asciiTheme="majorHAnsi" w:eastAsiaTheme="majorEastAsia" w:hAnsiTheme="majorHAnsi" w:cstheme="majorBidi"/>
      <w:b/>
      <w:bCs/>
      <w:kern w:val="28"/>
      <w:sz w:val="32"/>
      <w:szCs w:val="32"/>
    </w:rPr>
  </w:style>
  <w:style w:type="paragraph" w:customStyle="1" w:styleId="Normal-text">
    <w:name w:val="Normal-text"/>
    <w:basedOn w:val="Normal"/>
    <w:uiPriority w:val="99"/>
    <w:rsid w:val="00026C60"/>
    <w:pPr>
      <w:tabs>
        <w:tab w:val="left" w:pos="0"/>
      </w:tabs>
      <w:suppressAutoHyphens/>
      <w:spacing w:before="60" w:after="120" w:line="240" w:lineRule="auto"/>
      <w:jc w:val="both"/>
    </w:pPr>
    <w:rPr>
      <w:rFonts w:ascii="Times New Roman" w:hAnsi="Times New Roman"/>
      <w:sz w:val="24"/>
    </w:rPr>
  </w:style>
  <w:style w:type="paragraph" w:customStyle="1" w:styleId="BodyText2Italic">
    <w:name w:val="Body Text 2 + Italic"/>
    <w:aliases w:val="Black"/>
    <w:basedOn w:val="BodyText"/>
    <w:uiPriority w:val="99"/>
    <w:rsid w:val="00026C60"/>
    <w:rPr>
      <w:i/>
      <w:iCs/>
      <w:color w:val="000000"/>
    </w:rPr>
  </w:style>
  <w:style w:type="paragraph" w:customStyle="1" w:styleId="InstructionalText">
    <w:name w:val="Instructional Text"/>
    <w:basedOn w:val="BodyText"/>
    <w:uiPriority w:val="99"/>
    <w:rsid w:val="00026C60"/>
    <w:pPr>
      <w:spacing w:line="240" w:lineRule="auto"/>
    </w:pPr>
    <w:rPr>
      <w:i/>
      <w:iCs/>
      <w:color w:val="000000"/>
    </w:rPr>
  </w:style>
  <w:style w:type="paragraph" w:styleId="Subtitle">
    <w:name w:val="Subtitle"/>
    <w:basedOn w:val="Normal"/>
    <w:link w:val="SubtitleChar"/>
    <w:uiPriority w:val="99"/>
    <w:qFormat/>
    <w:rsid w:val="00026C60"/>
    <w:pPr>
      <w:spacing w:line="240" w:lineRule="auto"/>
      <w:jc w:val="center"/>
    </w:pPr>
    <w:rPr>
      <w:rFonts w:ascii="Times New Roman" w:hAnsi="Times New Roman"/>
      <w:sz w:val="24"/>
    </w:rPr>
  </w:style>
  <w:style w:type="character" w:customStyle="1" w:styleId="SubtitleChar">
    <w:name w:val="Subtitle Char"/>
    <w:basedOn w:val="DefaultParagraphFont"/>
    <w:link w:val="Subtitle"/>
    <w:uiPriority w:val="11"/>
    <w:rsid w:val="00A869BE"/>
    <w:rPr>
      <w:rFonts w:asciiTheme="majorHAnsi" w:eastAsiaTheme="majorEastAsia" w:hAnsiTheme="majorHAnsi" w:cstheme="majorBidi"/>
      <w:sz w:val="24"/>
      <w:szCs w:val="24"/>
    </w:rPr>
  </w:style>
  <w:style w:type="character" w:customStyle="1" w:styleId="Char">
    <w:name w:val="Char"/>
    <w:basedOn w:val="DefaultParagraphFont"/>
    <w:uiPriority w:val="99"/>
    <w:rsid w:val="00026C60"/>
    <w:rPr>
      <w:rFonts w:ascii="Arial" w:hAnsi="Arial" w:cs="Times New Roman"/>
      <w:sz w:val="22"/>
      <w:lang w:val="en-US" w:eastAsia="en-US" w:bidi="ar-SA"/>
    </w:rPr>
  </w:style>
  <w:style w:type="character" w:styleId="CommentReference">
    <w:name w:val="annotation reference"/>
    <w:basedOn w:val="DefaultParagraphFont"/>
    <w:semiHidden/>
    <w:rsid w:val="00026C60"/>
    <w:rPr>
      <w:rFonts w:cs="Times New Roman"/>
      <w:sz w:val="16"/>
      <w:szCs w:val="16"/>
    </w:rPr>
  </w:style>
  <w:style w:type="paragraph" w:styleId="CommentSubject">
    <w:name w:val="annotation subject"/>
    <w:basedOn w:val="CommentText"/>
    <w:next w:val="CommentText"/>
    <w:link w:val="CommentSubjectChar"/>
    <w:uiPriority w:val="99"/>
    <w:semiHidden/>
    <w:rsid w:val="00026C60"/>
    <w:pPr>
      <w:spacing w:line="274" w:lineRule="auto"/>
    </w:pPr>
    <w:rPr>
      <w:b/>
      <w:bCs/>
    </w:rPr>
  </w:style>
  <w:style w:type="character" w:customStyle="1" w:styleId="CommentSubjectChar">
    <w:name w:val="Comment Subject Char"/>
    <w:basedOn w:val="CommentTextChar"/>
    <w:link w:val="CommentSubject"/>
    <w:uiPriority w:val="99"/>
    <w:semiHidden/>
    <w:rsid w:val="00A869BE"/>
    <w:rPr>
      <w:rFonts w:ascii="Arial" w:hAnsi="Arial"/>
      <w:b/>
      <w:bCs/>
      <w:sz w:val="20"/>
      <w:szCs w:val="20"/>
    </w:rPr>
  </w:style>
  <w:style w:type="paragraph" w:styleId="NormalWeb">
    <w:name w:val="Normal (Web)"/>
    <w:basedOn w:val="Normal"/>
    <w:uiPriority w:val="99"/>
    <w:rsid w:val="00026C60"/>
    <w:pPr>
      <w:spacing w:before="100" w:beforeAutospacing="1" w:after="100" w:afterAutospacing="1" w:line="288" w:lineRule="atLeast"/>
    </w:pPr>
    <w:rPr>
      <w:rFonts w:ascii="Verdana" w:hAnsi="Verdana"/>
      <w:sz w:val="18"/>
      <w:szCs w:val="18"/>
    </w:rPr>
  </w:style>
  <w:style w:type="character" w:styleId="HTMLCite">
    <w:name w:val="HTML Cite"/>
    <w:basedOn w:val="DefaultParagraphFont"/>
    <w:uiPriority w:val="99"/>
    <w:rsid w:val="00026C60"/>
    <w:rPr>
      <w:rFonts w:cs="Times New Roman"/>
      <w:i/>
      <w:iCs/>
    </w:rPr>
  </w:style>
  <w:style w:type="paragraph" w:customStyle="1" w:styleId="HeadingLeft">
    <w:name w:val="Heading Left"/>
    <w:next w:val="BodyText"/>
    <w:rsid w:val="0070279B"/>
    <w:pPr>
      <w:spacing w:after="40"/>
    </w:pPr>
    <w:rPr>
      <w:rFonts w:eastAsia="Batang" w:cs="Courier New"/>
      <w:b/>
      <w:kern w:val="2"/>
      <w:sz w:val="24"/>
      <w:szCs w:val="20"/>
      <w:lang w:eastAsia="ko-KR"/>
    </w:rPr>
  </w:style>
  <w:style w:type="paragraph" w:customStyle="1" w:styleId="Tableheading">
    <w:name w:val="Tableheading"/>
    <w:basedOn w:val="Normal"/>
    <w:rsid w:val="002D5788"/>
    <w:pPr>
      <w:keepNext/>
      <w:spacing w:before="40" w:after="40" w:line="240" w:lineRule="auto"/>
      <w:jc w:val="center"/>
    </w:pPr>
    <w:rPr>
      <w:rFonts w:ascii="Times New Roman" w:hAnsi="Times New Roman"/>
      <w:b/>
      <w:sz w:val="20"/>
      <w:szCs w:val="24"/>
    </w:rPr>
  </w:style>
  <w:style w:type="paragraph" w:styleId="Caption">
    <w:name w:val="caption"/>
    <w:basedOn w:val="Normal"/>
    <w:next w:val="Normal"/>
    <w:link w:val="CaptionChar"/>
    <w:qFormat/>
    <w:locked/>
    <w:rsid w:val="00906CD6"/>
    <w:pPr>
      <w:keepNext/>
      <w:spacing w:before="240" w:after="120" w:line="240" w:lineRule="auto"/>
      <w:ind w:left="1152" w:hanging="1152"/>
      <w:jc w:val="center"/>
    </w:pPr>
    <w:rPr>
      <w:rFonts w:cs="Arial"/>
      <w:b/>
      <w:bCs/>
      <w:szCs w:val="22"/>
    </w:rPr>
  </w:style>
  <w:style w:type="paragraph" w:customStyle="1" w:styleId="Tabletext-C">
    <w:name w:val="Tabletext-C"/>
    <w:basedOn w:val="Normal"/>
    <w:rsid w:val="002D5788"/>
    <w:pPr>
      <w:keepNext/>
      <w:spacing w:before="40" w:after="40" w:line="240" w:lineRule="auto"/>
      <w:jc w:val="center"/>
    </w:pPr>
    <w:rPr>
      <w:rFonts w:ascii="Times New Roman" w:hAnsi="Times New Roman"/>
      <w:sz w:val="20"/>
      <w:szCs w:val="24"/>
    </w:rPr>
  </w:style>
  <w:style w:type="paragraph" w:customStyle="1" w:styleId="ZNormal">
    <w:name w:val="ZNormal"/>
    <w:basedOn w:val="Normal"/>
    <w:link w:val="ZNormalChar"/>
    <w:qFormat/>
    <w:rsid w:val="002D5788"/>
    <w:pPr>
      <w:spacing w:before="180" w:after="180" w:line="276" w:lineRule="auto"/>
    </w:pPr>
    <w:rPr>
      <w:rFonts w:ascii="Times New Roman" w:hAnsi="Times New Roman"/>
      <w:sz w:val="24"/>
      <w:szCs w:val="24"/>
    </w:rPr>
  </w:style>
  <w:style w:type="character" w:customStyle="1" w:styleId="ZNormalChar">
    <w:name w:val="ZNormal Char"/>
    <w:basedOn w:val="DefaultParagraphFont"/>
    <w:link w:val="ZNormal"/>
    <w:rsid w:val="002D5788"/>
    <w:rPr>
      <w:sz w:val="24"/>
      <w:szCs w:val="24"/>
    </w:rPr>
  </w:style>
  <w:style w:type="paragraph" w:styleId="ListParagraph">
    <w:name w:val="List Paragraph"/>
    <w:basedOn w:val="Normal"/>
    <w:uiPriority w:val="34"/>
    <w:qFormat/>
    <w:rsid w:val="007030F1"/>
    <w:pPr>
      <w:spacing w:after="200" w:line="276" w:lineRule="auto"/>
      <w:ind w:left="720"/>
      <w:contextualSpacing/>
    </w:pPr>
    <w:rPr>
      <w:rFonts w:asciiTheme="minorHAnsi" w:eastAsiaTheme="minorHAnsi" w:hAnsiTheme="minorHAnsi" w:cstheme="minorBidi"/>
      <w:szCs w:val="22"/>
      <w:lang w:val="en-ZA"/>
    </w:rPr>
  </w:style>
  <w:style w:type="character" w:styleId="Emphasis">
    <w:name w:val="Emphasis"/>
    <w:qFormat/>
    <w:locked/>
    <w:rsid w:val="0093096C"/>
    <w:rPr>
      <w:i/>
      <w:iCs/>
    </w:rPr>
  </w:style>
  <w:style w:type="table" w:styleId="TableGrid">
    <w:name w:val="Table Grid"/>
    <w:basedOn w:val="TableNormal"/>
    <w:locked/>
    <w:rsid w:val="0093096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2">
    <w:name w:val="Indent2"/>
    <w:basedOn w:val="Normal"/>
    <w:link w:val="Indent2Char"/>
    <w:uiPriority w:val="99"/>
    <w:rsid w:val="00C648A1"/>
    <w:pPr>
      <w:spacing w:before="120" w:after="120" w:line="240" w:lineRule="auto"/>
      <w:ind w:left="360"/>
    </w:pPr>
    <w:rPr>
      <w:rFonts w:ascii="Times New Roman" w:hAnsi="Times New Roman"/>
      <w:sz w:val="24"/>
    </w:rPr>
  </w:style>
  <w:style w:type="character" w:customStyle="1" w:styleId="Indent2Char">
    <w:name w:val="Indent2 Char"/>
    <w:link w:val="Indent2"/>
    <w:uiPriority w:val="99"/>
    <w:locked/>
    <w:rsid w:val="00C648A1"/>
    <w:rPr>
      <w:sz w:val="24"/>
      <w:szCs w:val="20"/>
    </w:rPr>
  </w:style>
  <w:style w:type="paragraph" w:customStyle="1" w:styleId="ColorfulList-Accent11">
    <w:name w:val="Colorful List - Accent 11"/>
    <w:basedOn w:val="Normal"/>
    <w:uiPriority w:val="99"/>
    <w:rsid w:val="00C648A1"/>
    <w:pPr>
      <w:ind w:left="720"/>
      <w:contextualSpacing/>
    </w:pPr>
  </w:style>
  <w:style w:type="paragraph" w:customStyle="1" w:styleId="Default">
    <w:name w:val="Default"/>
    <w:rsid w:val="00B111A4"/>
    <w:pPr>
      <w:autoSpaceDE w:val="0"/>
      <w:autoSpaceDN w:val="0"/>
      <w:adjustRightInd w:val="0"/>
    </w:pPr>
    <w:rPr>
      <w:rFonts w:ascii="Arial" w:hAnsi="Arial" w:cs="Arial"/>
      <w:color w:val="000000"/>
      <w:sz w:val="24"/>
      <w:szCs w:val="24"/>
    </w:rPr>
  </w:style>
  <w:style w:type="paragraph" w:customStyle="1" w:styleId="Tabletext-Dec">
    <w:name w:val="Tabletext-Dec"/>
    <w:basedOn w:val="Normal"/>
    <w:rsid w:val="00300759"/>
    <w:pPr>
      <w:keepNext/>
      <w:tabs>
        <w:tab w:val="decimal" w:pos="1414"/>
      </w:tabs>
      <w:spacing w:before="40" w:after="40" w:line="240" w:lineRule="auto"/>
      <w:ind w:left="216" w:hanging="216"/>
    </w:pPr>
    <w:rPr>
      <w:rFonts w:ascii="Times New Roman" w:hAnsi="Times New Roman"/>
      <w:sz w:val="20"/>
      <w:szCs w:val="24"/>
    </w:rPr>
  </w:style>
  <w:style w:type="character" w:customStyle="1" w:styleId="CaptionChar">
    <w:name w:val="Caption Char"/>
    <w:link w:val="Caption"/>
    <w:rsid w:val="00906CD6"/>
    <w:rPr>
      <w:rFonts w:ascii="Arial" w:hAnsi="Arial" w:cs="Arial"/>
      <w:b/>
      <w:bCs/>
    </w:rPr>
  </w:style>
  <w:style w:type="paragraph" w:styleId="TableofFigures">
    <w:name w:val="table of figures"/>
    <w:basedOn w:val="Normal"/>
    <w:next w:val="Normal"/>
    <w:uiPriority w:val="99"/>
    <w:unhideWhenUsed/>
    <w:rsid w:val="005B3567"/>
    <w:pPr>
      <w:ind w:left="1152" w:hanging="1152"/>
    </w:pPr>
  </w:style>
  <w:style w:type="paragraph" w:styleId="Revision">
    <w:name w:val="Revision"/>
    <w:hidden/>
    <w:uiPriority w:val="99"/>
    <w:semiHidden/>
    <w:rsid w:val="002B4648"/>
    <w:rPr>
      <w:rFonts w:ascii="Arial" w:hAnsi="Arial"/>
      <w:szCs w:val="20"/>
    </w:rPr>
  </w:style>
  <w:style w:type="paragraph" w:customStyle="1" w:styleId="EndNoteBibliographyTitle">
    <w:name w:val="EndNote Bibliography Title"/>
    <w:basedOn w:val="Normal"/>
    <w:rsid w:val="00A76440"/>
    <w:pPr>
      <w:jc w:val="center"/>
    </w:pPr>
    <w:rPr>
      <w:rFonts w:cs="Arial"/>
    </w:rPr>
  </w:style>
  <w:style w:type="paragraph" w:customStyle="1" w:styleId="EndNoteBibliography">
    <w:name w:val="EndNote Bibliography"/>
    <w:basedOn w:val="Normal"/>
    <w:rsid w:val="00A76440"/>
    <w:pPr>
      <w:spacing w:line="240" w:lineRule="auto"/>
    </w:pPr>
    <w:rPr>
      <w:rFonts w:cs="Arial"/>
    </w:rPr>
  </w:style>
  <w:style w:type="character" w:styleId="PlaceholderText">
    <w:name w:val="Placeholder Text"/>
    <w:basedOn w:val="DefaultParagraphFont"/>
    <w:uiPriority w:val="99"/>
    <w:semiHidden/>
    <w:rsid w:val="00185B55"/>
    <w:rPr>
      <w:color w:val="808080"/>
    </w:rPr>
  </w:style>
  <w:style w:type="paragraph" w:customStyle="1" w:styleId="Bullet2">
    <w:name w:val="Bullet2"/>
    <w:basedOn w:val="Normal"/>
    <w:rsid w:val="000717B2"/>
    <w:pPr>
      <w:tabs>
        <w:tab w:val="left" w:pos="1080"/>
      </w:tabs>
      <w:spacing w:before="60" w:after="60" w:line="240" w:lineRule="auto"/>
      <w:ind w:left="1080" w:hanging="360"/>
    </w:pPr>
    <w:rPr>
      <w:rFonts w:ascii="Times New Roman" w:hAnsi="Times New Roman"/>
      <w:sz w:val="24"/>
      <w:szCs w:val="24"/>
    </w:rPr>
  </w:style>
  <w:style w:type="paragraph" w:customStyle="1" w:styleId="IndentHeader1">
    <w:name w:val="IndentHeader1"/>
    <w:basedOn w:val="Normal"/>
    <w:link w:val="IndentHeader1Char"/>
    <w:rsid w:val="00E624FD"/>
    <w:pPr>
      <w:autoSpaceDE w:val="0"/>
      <w:autoSpaceDN w:val="0"/>
      <w:adjustRightInd w:val="0"/>
      <w:spacing w:before="180" w:after="180" w:line="240" w:lineRule="auto"/>
    </w:pPr>
    <w:rPr>
      <w:rFonts w:ascii="Times New Roman" w:hAnsi="Times New Roman"/>
      <w:sz w:val="24"/>
      <w:szCs w:val="24"/>
    </w:rPr>
  </w:style>
  <w:style w:type="paragraph" w:customStyle="1" w:styleId="IndentHeader2">
    <w:name w:val="IndentHeader2"/>
    <w:basedOn w:val="Normal"/>
    <w:link w:val="IndentHeader2Char"/>
    <w:rsid w:val="00E624FD"/>
    <w:pPr>
      <w:spacing w:before="180" w:after="180" w:line="240" w:lineRule="auto"/>
      <w:ind w:left="360"/>
    </w:pPr>
    <w:rPr>
      <w:rFonts w:ascii="Times New Roman" w:hAnsi="Times New Roman"/>
      <w:sz w:val="24"/>
      <w:szCs w:val="24"/>
    </w:rPr>
  </w:style>
  <w:style w:type="character" w:customStyle="1" w:styleId="IndentHeader1Char">
    <w:name w:val="IndentHeader1 Char"/>
    <w:link w:val="IndentHeader1"/>
    <w:rsid w:val="00E624FD"/>
    <w:rPr>
      <w:sz w:val="24"/>
      <w:szCs w:val="24"/>
    </w:rPr>
  </w:style>
  <w:style w:type="character" w:customStyle="1" w:styleId="IndentHeader2Char">
    <w:name w:val="IndentHeader2 Char"/>
    <w:link w:val="IndentHeader2"/>
    <w:rsid w:val="00E624FD"/>
    <w:rPr>
      <w:sz w:val="24"/>
      <w:szCs w:val="24"/>
    </w:rPr>
  </w:style>
  <w:style w:type="paragraph" w:styleId="PlainText">
    <w:name w:val="Plain Text"/>
    <w:basedOn w:val="Normal"/>
    <w:link w:val="PlainTextChar"/>
    <w:uiPriority w:val="99"/>
    <w:semiHidden/>
    <w:unhideWhenUsed/>
    <w:rsid w:val="006E4A94"/>
    <w:pPr>
      <w:spacing w:before="100" w:beforeAutospacing="1" w:after="100" w:afterAutospacing="1" w:line="240" w:lineRule="auto"/>
    </w:pPr>
    <w:rPr>
      <w:rFonts w:ascii="Times New Roman" w:eastAsiaTheme="minorHAnsi" w:hAnsi="Times New Roman"/>
      <w:sz w:val="24"/>
      <w:szCs w:val="24"/>
    </w:rPr>
  </w:style>
  <w:style w:type="character" w:customStyle="1" w:styleId="PlainTextChar">
    <w:name w:val="Plain Text Char"/>
    <w:basedOn w:val="DefaultParagraphFont"/>
    <w:link w:val="PlainText"/>
    <w:uiPriority w:val="99"/>
    <w:semiHidden/>
    <w:rsid w:val="006E4A94"/>
    <w:rPr>
      <w:rFonts w:eastAsiaTheme="minorHAnsi"/>
      <w:sz w:val="24"/>
      <w:szCs w:val="24"/>
    </w:rPr>
  </w:style>
  <w:style w:type="paragraph" w:customStyle="1" w:styleId="Indent3">
    <w:name w:val="Indent3"/>
    <w:basedOn w:val="Normal"/>
    <w:rsid w:val="009040C7"/>
    <w:pPr>
      <w:spacing w:before="120" w:after="120" w:line="240" w:lineRule="auto"/>
      <w:ind w:left="7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828249">
      <w:bodyDiv w:val="1"/>
      <w:marLeft w:val="0"/>
      <w:marRight w:val="0"/>
      <w:marTop w:val="0"/>
      <w:marBottom w:val="0"/>
      <w:divBdr>
        <w:top w:val="none" w:sz="0" w:space="0" w:color="auto"/>
        <w:left w:val="none" w:sz="0" w:space="0" w:color="auto"/>
        <w:bottom w:val="none" w:sz="0" w:space="0" w:color="auto"/>
        <w:right w:val="none" w:sz="0" w:space="0" w:color="auto"/>
      </w:divBdr>
    </w:div>
    <w:div w:id="739593249">
      <w:bodyDiv w:val="1"/>
      <w:marLeft w:val="0"/>
      <w:marRight w:val="0"/>
      <w:marTop w:val="0"/>
      <w:marBottom w:val="0"/>
      <w:divBdr>
        <w:top w:val="none" w:sz="0" w:space="0" w:color="auto"/>
        <w:left w:val="none" w:sz="0" w:space="0" w:color="auto"/>
        <w:bottom w:val="none" w:sz="0" w:space="0" w:color="auto"/>
        <w:right w:val="none" w:sz="0" w:space="0" w:color="auto"/>
      </w:divBdr>
    </w:div>
    <w:div w:id="1264801444">
      <w:bodyDiv w:val="1"/>
      <w:marLeft w:val="0"/>
      <w:marRight w:val="0"/>
      <w:marTop w:val="0"/>
      <w:marBottom w:val="0"/>
      <w:divBdr>
        <w:top w:val="none" w:sz="0" w:space="0" w:color="auto"/>
        <w:left w:val="none" w:sz="0" w:space="0" w:color="auto"/>
        <w:bottom w:val="none" w:sz="0" w:space="0" w:color="auto"/>
        <w:right w:val="none" w:sz="0" w:space="0" w:color="auto"/>
      </w:divBdr>
    </w:div>
    <w:div w:id="1672365864">
      <w:bodyDiv w:val="1"/>
      <w:marLeft w:val="0"/>
      <w:marRight w:val="0"/>
      <w:marTop w:val="0"/>
      <w:marBottom w:val="0"/>
      <w:divBdr>
        <w:top w:val="none" w:sz="0" w:space="0" w:color="auto"/>
        <w:left w:val="none" w:sz="0" w:space="0" w:color="auto"/>
        <w:bottom w:val="none" w:sz="0" w:space="0" w:color="auto"/>
        <w:right w:val="none" w:sz="0" w:space="0" w:color="auto"/>
      </w:divBdr>
      <w:divsChild>
        <w:div w:id="1396247">
          <w:marLeft w:val="547"/>
          <w:marRight w:val="0"/>
          <w:marTop w:val="115"/>
          <w:marBottom w:val="0"/>
          <w:divBdr>
            <w:top w:val="none" w:sz="0" w:space="0" w:color="auto"/>
            <w:left w:val="none" w:sz="0" w:space="0" w:color="auto"/>
            <w:bottom w:val="none" w:sz="0" w:space="0" w:color="auto"/>
            <w:right w:val="none" w:sz="0" w:space="0" w:color="auto"/>
          </w:divBdr>
        </w:div>
      </w:divsChild>
    </w:div>
    <w:div w:id="175003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Name xmlns="c2914e18-f8c1-4067-a1ee-2ef6ffd81a82">
      <Url>https://www.dmidcroms.com/CRS/ProtocolDevelopment/ProtocolDevelopment/DMID%20Interventional%20Protocol%20Template%20-%20v5.0%20-%2025March2011.docx</Url>
      <Description>DMID Interventional Protocol Template and Instructions</Description>
    </Document_x0020_Name>
    <Order0 xmlns="c2914e18-f8c1-4067-a1ee-2ef6ffd81a82">1</Order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5609ADEA45AD419BC84A0CD641396F" ma:contentTypeVersion="2" ma:contentTypeDescription="Create a new document." ma:contentTypeScope="" ma:versionID="9daa29cd465bf6d3f4fb6a331331e321">
  <xsd:schema xmlns:xsd="http://www.w3.org/2001/XMLSchema" xmlns:xs="http://www.w3.org/2001/XMLSchema" xmlns:p="http://schemas.microsoft.com/office/2006/metadata/properties" xmlns:ns2="c2914e18-f8c1-4067-a1ee-2ef6ffd81a82" targetNamespace="http://schemas.microsoft.com/office/2006/metadata/properties" ma:root="true" ma:fieldsID="f07b34fe5a7950df9e0058b08af83041" ns2:_="">
    <xsd:import namespace="c2914e18-f8c1-4067-a1ee-2ef6ffd81a82"/>
    <xsd:element name="properties">
      <xsd:complexType>
        <xsd:sequence>
          <xsd:element name="documentManagement">
            <xsd:complexType>
              <xsd:all>
                <xsd:element ref="ns2:Document_x0020_Name" minOccurs="0"/>
                <xsd:element ref="ns2: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914e18-f8c1-4067-a1ee-2ef6ffd81a82" elementFormDefault="qualified">
    <xsd:import namespace="http://schemas.microsoft.com/office/2006/documentManagement/types"/>
    <xsd:import namespace="http://schemas.microsoft.com/office/infopath/2007/PartnerControls"/>
    <xsd:element name="Document_x0020_Name" ma:index="8" nillable="true" ma:displayName="Document Name" ma:format="Hyperlink" ma:internalName="Document_x0020_Name">
      <xsd:complexType>
        <xsd:complexContent>
          <xsd:extension base="dms:URL">
            <xsd:sequence>
              <xsd:element name="Url" type="dms:ValidUrl" minOccurs="0" nillable="true"/>
              <xsd:element name="Description" type="xsd:string" nillable="true"/>
            </xsd:sequence>
          </xsd:extension>
        </xsd:complexContent>
      </xsd:complexType>
    </xsd:element>
    <xsd:element name="Order0" ma:index="9" nillable="true" ma:displayName="Order" ma:internalName="Order0">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1F520-E25F-4CD7-8B2C-9B9F0A6F63CE}">
  <ds:schemaRefs>
    <ds:schemaRef ds:uri="http://purl.org/dc/dcmitype/"/>
    <ds:schemaRef ds:uri="http://schemas.microsoft.com/office/2006/metadata/properties"/>
    <ds:schemaRef ds:uri="http://www.w3.org/XML/1998/namespace"/>
    <ds:schemaRef ds:uri="http://schemas.microsoft.com/office/2006/documentManagement/types"/>
    <ds:schemaRef ds:uri="http://purl.org/dc/terms/"/>
    <ds:schemaRef ds:uri="c2914e18-f8c1-4067-a1ee-2ef6ffd81a82"/>
    <ds:schemaRef ds:uri="http://purl.org/dc/elements/1.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DEDFCB88-F230-4AE2-BE70-728C29AC6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914e18-f8c1-4067-a1ee-2ef6ffd81a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201551-49C4-471C-AA57-DF55329A6976}">
  <ds:schemaRefs>
    <ds:schemaRef ds:uri="http://schemas.microsoft.com/sharepoint/v3/contenttype/forms"/>
  </ds:schemaRefs>
</ds:datastoreItem>
</file>

<file path=customXml/itemProps4.xml><?xml version="1.0" encoding="utf-8"?>
<ds:datastoreItem xmlns:ds="http://schemas.openxmlformats.org/officeDocument/2006/customXml" ds:itemID="{A50514D7-577E-4550-9EAB-566870DE2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30748</Words>
  <Characters>175267</Characters>
  <Application>Microsoft Office Word</Application>
  <DocSecurity>4</DocSecurity>
  <Lines>1460</Lines>
  <Paragraphs>411</Paragraphs>
  <ScaleCrop>false</ScaleCrop>
  <HeadingPairs>
    <vt:vector size="2" baseType="variant">
      <vt:variant>
        <vt:lpstr>Title</vt:lpstr>
      </vt:variant>
      <vt:variant>
        <vt:i4>1</vt:i4>
      </vt:variant>
    </vt:vector>
  </HeadingPairs>
  <TitlesOfParts>
    <vt:vector size="1" baseType="lpstr">
      <vt:lpstr>IDRI-TBVPX-203</vt:lpstr>
    </vt:vector>
  </TitlesOfParts>
  <Company>Microsoft</Company>
  <LinksUpToDate>false</LinksUpToDate>
  <CharactersWithSpaces>205604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IDRI-TBVPX-203</dc:title>
  <dc:creator>Infectious Disease Research Institute</dc:creator>
  <cp:lastModifiedBy>Fiore-Gartland, Andrew J</cp:lastModifiedBy>
  <cp:revision>2</cp:revision>
  <cp:lastPrinted>2017-08-25T16:26:00Z</cp:lastPrinted>
  <dcterms:created xsi:type="dcterms:W3CDTF">2017-08-25T16:27:00Z</dcterms:created>
  <dcterms:modified xsi:type="dcterms:W3CDTF">2017-08-25T16:27:00Z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System Account</vt:lpwstr>
  </property>
  <property fmtid="{D5CDD505-2E9C-101B-9397-08002B2CF9AE}" pid="3" name="display_urn:schemas-microsoft-com:office:office#Author">
    <vt:lpwstr>System Account</vt:lpwstr>
  </property>
  <property fmtid="{D5CDD505-2E9C-101B-9397-08002B2CF9AE}" pid="4" name="xd_Signature">
    <vt:lpwstr/>
  </property>
  <property fmtid="{D5CDD505-2E9C-101B-9397-08002B2CF9AE}" pid="5" name="TemplateUrl">
    <vt:lpwstr/>
  </property>
  <property fmtid="{D5CDD505-2E9C-101B-9397-08002B2CF9AE}" pid="6" name="xd_ProgID">
    <vt:lpwstr/>
  </property>
  <property fmtid="{D5CDD505-2E9C-101B-9397-08002B2CF9AE}" pid="7" name="ContentTypeId">
    <vt:lpwstr>0x010100145609ADEA45AD419BC84A0CD641396F</vt:lpwstr>
  </property>
  <property fmtid="{D5CDD505-2E9C-101B-9397-08002B2CF9AE}" pid="8" name="_SourceUrl">
    <vt:lpwstr/>
  </property>
  <property fmtid="{D5CDD505-2E9C-101B-9397-08002B2CF9AE}" pid="9" name="PublishingExpirationDate">
    <vt:lpwstr/>
  </property>
  <property fmtid="{D5CDD505-2E9C-101B-9397-08002B2CF9AE}" pid="10" name="PublishingStartDate">
    <vt:lpwstr/>
  </property>
  <property fmtid="{D5CDD505-2E9C-101B-9397-08002B2CF9AE}" pid="11" name="Language">
    <vt:lpwstr>English</vt:lpwstr>
  </property>
</Properties>
</file>