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0"/>
          <w:szCs w:val="40"/>
          <w:highlight w:val="yellow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highlight w:val="yellow"/>
          <w:rtl w:val="0"/>
        </w:rPr>
        <w:t xml:space="preserve">ARCFOX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Grupo inversor: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d35"/>
          <w:sz w:val="24"/>
          <w:szCs w:val="24"/>
          <w:highlight w:val="white"/>
          <w:rtl w:val="0"/>
        </w:rPr>
        <w:t xml:space="preserve">Grupo Belcastro)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Sitio oficial: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arcfox.com.ar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Año de lanzamiento: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9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170"/>
        <w:gridCol w:w="1545"/>
        <w:gridCol w:w="1080"/>
        <w:gridCol w:w="1455"/>
        <w:gridCol w:w="1470"/>
        <w:gridCol w:w="1365"/>
        <w:gridCol w:w="1455"/>
        <w:tblGridChange w:id="0">
          <w:tblGrid>
            <w:gridCol w:w="1155"/>
            <w:gridCol w:w="1170"/>
            <w:gridCol w:w="1545"/>
            <w:gridCol w:w="1080"/>
            <w:gridCol w:w="1455"/>
            <w:gridCol w:w="1470"/>
            <w:gridCol w:w="1365"/>
            <w:gridCol w:w="1455"/>
          </w:tblGrid>
        </w:tblGridChange>
      </w:tblGrid>
      <w:tr>
        <w:trPr>
          <w:cantSplit w:val="0"/>
          <w:trHeight w:val="320.97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Año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Potencia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Consumo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Autonomía</w:t>
            </w:r>
          </w:p>
        </w:tc>
      </w:tr>
      <w:tr>
        <w:trPr>
          <w:cantSplit w:val="0"/>
          <w:trHeight w:val="911.0742187499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Alpha 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29.500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Eléctrico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95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14-15 kWh/100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airbags, ESP, ADAS, AEB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310 km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Kaola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33.800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Eléctrico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160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14-16 kWh/100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airbags, ESP, 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 km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39.600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Eléctrico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272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15-16 kWh/100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airbags, ADAS nivel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520 km</w:t>
            </w:r>
          </w:p>
        </w:tc>
      </w:tr>
      <w:tr>
        <w:trPr>
          <w:cantSplit w:val="0"/>
          <w:trHeight w:val="1080.80566406249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USD 39.800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Eléctrico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530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13-15 kWh/100 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 airbags, ADAS nivel 2+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560 km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l4jlrkp0t2a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Alpha T1 Vigente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526128" cy="24919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128" cy="2491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KAOLA Vigente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0" distT="0" distL="0" distR="0">
            <wp:extent cx="3767138" cy="2831590"/>
            <wp:effectExtent b="0" l="0" r="0" t="0"/>
            <wp:docPr descr="ARCFOX KAOLA – EV EUROPE" id="3" name="image2.png"/>
            <a:graphic>
              <a:graphicData uri="http://schemas.openxmlformats.org/drawingml/2006/picture">
                <pic:pic>
                  <pic:nvPicPr>
                    <pic:cNvPr descr="ARCFOX KAOLA – EV EUROPE" id="0" name="image2.png"/>
                    <pic:cNvPicPr preferRelativeResize="0"/>
                  </pic:nvPicPr>
                  <pic:blipFill>
                    <a:blip r:embed="rId9"/>
                    <a:srcRect b="20744" l="25651" r="25250" t="15081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2831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Alpha T5 Vigente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0" distT="0" distL="0" distR="0">
            <wp:extent cx="3939000" cy="1772656"/>
            <wp:effectExtent b="0" l="0" r="0" t="0"/>
            <wp:docPr descr="Arcfox Argentina - T5" id="2" name="image1.png"/>
            <a:graphic>
              <a:graphicData uri="http://schemas.openxmlformats.org/drawingml/2006/picture">
                <pic:pic>
                  <pic:nvPicPr>
                    <pic:cNvPr descr="Arcfox Argentina - T5" id="0" name="image1.png"/>
                    <pic:cNvPicPr preferRelativeResize="0"/>
                  </pic:nvPicPr>
                  <pic:blipFill>
                    <a:blip r:embed="rId10"/>
                    <a:srcRect b="14796" l="0" r="0" t="3136"/>
                    <a:stretch>
                      <a:fillRect/>
                    </a:stretch>
                  </pic:blipFill>
                  <pic:spPr>
                    <a:xfrm>
                      <a:off x="0" y="0"/>
                      <a:ext cx="3939000" cy="1772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Alpha S5 Vigente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4528063" cy="30241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063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rcfox.com.ar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hDEjetCZ+kHDaSnbwJvFmDiCoQ==">CgMxLjAyDmgubDRqbHJrcDB0MmF4OAByITFYWEdwaGJ4d18zaHdjYlN3WEhYakVPTG01Y2p2RWczVw==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